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3A5" w:rsidRDefault="004E13A5">
      <w:pPr>
        <w:pStyle w:val="BodyText"/>
        <w:spacing w:before="0"/>
        <w:ind w:left="0"/>
        <w:rPr>
          <w:sz w:val="20"/>
        </w:rPr>
      </w:pPr>
    </w:p>
    <w:p w:rsidR="004E13A5" w:rsidRDefault="004E13A5">
      <w:pPr>
        <w:pStyle w:val="BodyText"/>
        <w:spacing w:before="11"/>
        <w:ind w:left="0"/>
        <w:rPr>
          <w:sz w:val="15"/>
        </w:rPr>
      </w:pPr>
    </w:p>
    <w:p w:rsidR="004E13A5" w:rsidRDefault="00681463">
      <w:pPr>
        <w:pStyle w:val="Heading2"/>
        <w:spacing w:before="89" w:line="480" w:lineRule="auto"/>
        <w:ind w:right="2861"/>
      </w:pPr>
      <w:r>
        <w:t xml:space="preserve">ADMINISTRATIVE PLAN </w:t>
      </w:r>
      <w:r w:rsidR="00BA59C9">
        <w:t xml:space="preserve"> </w:t>
      </w:r>
      <w:r>
        <w:t>FOR THE</w:t>
      </w:r>
    </w:p>
    <w:p w:rsidR="004E13A5" w:rsidRDefault="00681463">
      <w:pPr>
        <w:spacing w:before="13"/>
        <w:ind w:left="1972" w:right="1951"/>
        <w:jc w:val="center"/>
        <w:rPr>
          <w:b/>
          <w:sz w:val="28"/>
        </w:rPr>
      </w:pPr>
      <w:r>
        <w:rPr>
          <w:b/>
          <w:sz w:val="28"/>
        </w:rPr>
        <w:t>HOUSING CHOICE VOUCHER PROGRAM</w:t>
      </w:r>
    </w:p>
    <w:p w:rsidR="004E13A5" w:rsidRDefault="004E13A5">
      <w:pPr>
        <w:pStyle w:val="BodyText"/>
        <w:spacing w:before="10"/>
        <w:ind w:left="0"/>
        <w:rPr>
          <w:b/>
          <w:sz w:val="27"/>
        </w:rPr>
      </w:pPr>
    </w:p>
    <w:p w:rsidR="004E13A5" w:rsidRDefault="00681463">
      <w:pPr>
        <w:ind w:left="2885" w:right="2864"/>
        <w:jc w:val="center"/>
        <w:rPr>
          <w:b/>
          <w:sz w:val="28"/>
        </w:rPr>
      </w:pPr>
      <w:r>
        <w:rPr>
          <w:b/>
          <w:sz w:val="28"/>
        </w:rPr>
        <w:t>Coos-Curry Housing Authority</w:t>
      </w:r>
      <w:r w:rsidR="00BA59C9">
        <w:rPr>
          <w:b/>
          <w:sz w:val="28"/>
        </w:rPr>
        <w:t xml:space="preserve">  </w:t>
      </w:r>
    </w:p>
    <w:p w:rsidR="004E13A5" w:rsidRDefault="004E13A5">
      <w:pPr>
        <w:pStyle w:val="BodyText"/>
        <w:spacing w:before="0"/>
        <w:ind w:left="0"/>
        <w:rPr>
          <w:b/>
          <w:sz w:val="30"/>
        </w:rPr>
      </w:pPr>
    </w:p>
    <w:p w:rsidR="004E13A5" w:rsidRDefault="004E13A5">
      <w:pPr>
        <w:pStyle w:val="BodyText"/>
        <w:spacing w:before="10"/>
        <w:ind w:left="0"/>
        <w:rPr>
          <w:b/>
          <w:sz w:val="25"/>
        </w:rPr>
      </w:pPr>
    </w:p>
    <w:p w:rsidR="004E13A5" w:rsidRDefault="00681463">
      <w:pPr>
        <w:ind w:left="2884" w:right="2864"/>
        <w:jc w:val="center"/>
        <w:rPr>
          <w:sz w:val="28"/>
        </w:rPr>
      </w:pPr>
      <w:r>
        <w:rPr>
          <w:sz w:val="28"/>
        </w:rPr>
        <w:t>Product # 301-002</w:t>
      </w: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16"/>
        </w:rPr>
      </w:pPr>
    </w:p>
    <w:tbl>
      <w:tblPr>
        <w:tblW w:w="0" w:type="auto"/>
        <w:tblInd w:w="8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1"/>
        <w:gridCol w:w="4052"/>
      </w:tblGrid>
      <w:tr w:rsidR="004E13A5">
        <w:trPr>
          <w:trHeight w:hRule="exact" w:val="360"/>
        </w:trPr>
        <w:tc>
          <w:tcPr>
            <w:tcW w:w="3961" w:type="dxa"/>
          </w:tcPr>
          <w:p w:rsidR="004E13A5" w:rsidRDefault="00681463">
            <w:pPr>
              <w:pStyle w:val="TableParagraph"/>
              <w:ind w:left="1176"/>
              <w:rPr>
                <w:sz w:val="28"/>
              </w:rPr>
            </w:pPr>
            <w:r>
              <w:rPr>
                <w:sz w:val="28"/>
              </w:rPr>
              <w:t>Revision Date</w:t>
            </w:r>
          </w:p>
        </w:tc>
        <w:tc>
          <w:tcPr>
            <w:tcW w:w="4052" w:type="dxa"/>
          </w:tcPr>
          <w:p w:rsidR="004E13A5" w:rsidRDefault="00681463">
            <w:pPr>
              <w:pStyle w:val="TableParagraph"/>
              <w:ind w:left="1219"/>
              <w:rPr>
                <w:sz w:val="28"/>
              </w:rPr>
            </w:pPr>
            <w:r>
              <w:rPr>
                <w:sz w:val="28"/>
              </w:rPr>
              <w:t>Revision Date</w:t>
            </w:r>
          </w:p>
        </w:tc>
      </w:tr>
      <w:tr w:rsidR="004E13A5">
        <w:trPr>
          <w:trHeight w:hRule="exact" w:val="418"/>
        </w:trPr>
        <w:tc>
          <w:tcPr>
            <w:tcW w:w="3961" w:type="dxa"/>
          </w:tcPr>
          <w:p w:rsidR="004E13A5" w:rsidRDefault="00681463">
            <w:pPr>
              <w:pStyle w:val="TableParagraph"/>
              <w:spacing w:before="41"/>
              <w:ind w:left="100"/>
              <w:rPr>
                <w:sz w:val="28"/>
              </w:rPr>
            </w:pPr>
            <w:r>
              <w:rPr>
                <w:sz w:val="28"/>
              </w:rPr>
              <w:t>October 1, 2015</w:t>
            </w:r>
          </w:p>
        </w:tc>
        <w:tc>
          <w:tcPr>
            <w:tcW w:w="4052" w:type="dxa"/>
          </w:tcPr>
          <w:p w:rsidR="004E13A5" w:rsidRDefault="00681463">
            <w:pPr>
              <w:pStyle w:val="TableParagraph"/>
              <w:spacing w:before="41"/>
              <w:ind w:left="100"/>
              <w:rPr>
                <w:sz w:val="28"/>
              </w:rPr>
            </w:pPr>
            <w:r>
              <w:rPr>
                <w:sz w:val="28"/>
              </w:rPr>
              <w:t>July 27, 2021</w:t>
            </w:r>
          </w:p>
        </w:tc>
      </w:tr>
      <w:tr w:rsidR="004E13A5">
        <w:trPr>
          <w:trHeight w:hRule="exact" w:val="415"/>
        </w:trPr>
        <w:tc>
          <w:tcPr>
            <w:tcW w:w="3961" w:type="dxa"/>
          </w:tcPr>
          <w:p w:rsidR="004E13A5" w:rsidRDefault="00681463">
            <w:pPr>
              <w:pStyle w:val="TableParagraph"/>
              <w:spacing w:before="41"/>
              <w:ind w:left="100"/>
              <w:rPr>
                <w:sz w:val="28"/>
              </w:rPr>
            </w:pPr>
            <w:r>
              <w:rPr>
                <w:sz w:val="28"/>
              </w:rPr>
              <w:t>December 2, 2015</w:t>
            </w:r>
          </w:p>
        </w:tc>
        <w:tc>
          <w:tcPr>
            <w:tcW w:w="4052" w:type="dxa"/>
          </w:tcPr>
          <w:p w:rsidR="004E13A5" w:rsidRDefault="00681463">
            <w:pPr>
              <w:pStyle w:val="TableParagraph"/>
              <w:spacing w:before="41"/>
              <w:ind w:left="100"/>
              <w:rPr>
                <w:sz w:val="28"/>
              </w:rPr>
            </w:pPr>
            <w:r>
              <w:rPr>
                <w:sz w:val="28"/>
              </w:rPr>
              <w:t>April 2022</w:t>
            </w:r>
          </w:p>
        </w:tc>
      </w:tr>
      <w:tr w:rsidR="004E13A5">
        <w:trPr>
          <w:trHeight w:hRule="exact" w:val="418"/>
        </w:trPr>
        <w:tc>
          <w:tcPr>
            <w:tcW w:w="3961" w:type="dxa"/>
          </w:tcPr>
          <w:p w:rsidR="004E13A5" w:rsidRDefault="00681463">
            <w:pPr>
              <w:pStyle w:val="TableParagraph"/>
              <w:spacing w:before="43"/>
              <w:ind w:left="100"/>
              <w:rPr>
                <w:sz w:val="28"/>
              </w:rPr>
            </w:pPr>
            <w:r>
              <w:rPr>
                <w:sz w:val="28"/>
              </w:rPr>
              <w:t>June 29, 2016</w:t>
            </w:r>
          </w:p>
        </w:tc>
        <w:tc>
          <w:tcPr>
            <w:tcW w:w="4052" w:type="dxa"/>
          </w:tcPr>
          <w:p w:rsidR="004E13A5" w:rsidRDefault="00681463">
            <w:pPr>
              <w:pStyle w:val="TableParagraph"/>
              <w:spacing w:before="43"/>
              <w:ind w:left="100"/>
              <w:rPr>
                <w:sz w:val="28"/>
              </w:rPr>
            </w:pPr>
            <w:r>
              <w:rPr>
                <w:sz w:val="28"/>
              </w:rPr>
              <w:t>November 2022</w:t>
            </w:r>
          </w:p>
        </w:tc>
      </w:tr>
      <w:tr w:rsidR="004E13A5">
        <w:trPr>
          <w:trHeight w:hRule="exact" w:val="418"/>
        </w:trPr>
        <w:tc>
          <w:tcPr>
            <w:tcW w:w="3961" w:type="dxa"/>
          </w:tcPr>
          <w:p w:rsidR="004E13A5" w:rsidRDefault="00681463">
            <w:pPr>
              <w:pStyle w:val="TableParagraph"/>
              <w:spacing w:before="41"/>
              <w:ind w:left="100"/>
              <w:rPr>
                <w:sz w:val="28"/>
              </w:rPr>
            </w:pPr>
            <w:r>
              <w:rPr>
                <w:sz w:val="28"/>
              </w:rPr>
              <w:t>May 24, 2017</w:t>
            </w:r>
          </w:p>
        </w:tc>
        <w:tc>
          <w:tcPr>
            <w:tcW w:w="4052" w:type="dxa"/>
          </w:tcPr>
          <w:p w:rsidR="004E13A5" w:rsidRDefault="00681463">
            <w:pPr>
              <w:pStyle w:val="TableParagraph"/>
              <w:spacing w:before="41"/>
              <w:ind w:left="100"/>
              <w:rPr>
                <w:sz w:val="28"/>
              </w:rPr>
            </w:pPr>
            <w:r>
              <w:rPr>
                <w:sz w:val="28"/>
              </w:rPr>
              <w:t>October 2023</w:t>
            </w:r>
          </w:p>
        </w:tc>
      </w:tr>
      <w:tr w:rsidR="004E13A5">
        <w:trPr>
          <w:trHeight w:hRule="exact" w:val="418"/>
        </w:trPr>
        <w:tc>
          <w:tcPr>
            <w:tcW w:w="3961" w:type="dxa"/>
            <w:tcBorders>
              <w:bottom w:val="single" w:sz="6" w:space="0" w:color="000000"/>
            </w:tcBorders>
          </w:tcPr>
          <w:p w:rsidR="004E13A5" w:rsidRDefault="00681463">
            <w:pPr>
              <w:pStyle w:val="TableParagraph"/>
              <w:spacing w:before="41"/>
              <w:ind w:left="100"/>
              <w:rPr>
                <w:sz w:val="28"/>
              </w:rPr>
            </w:pPr>
            <w:r>
              <w:rPr>
                <w:sz w:val="28"/>
              </w:rPr>
              <w:t>October 25, 2017</w:t>
            </w:r>
          </w:p>
        </w:tc>
        <w:tc>
          <w:tcPr>
            <w:tcW w:w="4052" w:type="dxa"/>
            <w:tcBorders>
              <w:bottom w:val="single" w:sz="6" w:space="0" w:color="000000"/>
            </w:tcBorders>
          </w:tcPr>
          <w:p w:rsidR="004E13A5" w:rsidRDefault="004E13A5"/>
        </w:tc>
      </w:tr>
      <w:tr w:rsidR="004E13A5">
        <w:trPr>
          <w:trHeight w:hRule="exact" w:val="415"/>
        </w:trPr>
        <w:tc>
          <w:tcPr>
            <w:tcW w:w="3961" w:type="dxa"/>
            <w:tcBorders>
              <w:top w:val="single" w:sz="6" w:space="0" w:color="000000"/>
            </w:tcBorders>
          </w:tcPr>
          <w:p w:rsidR="004E13A5" w:rsidRDefault="00681463">
            <w:pPr>
              <w:pStyle w:val="TableParagraph"/>
              <w:spacing w:before="41"/>
              <w:ind w:left="100"/>
              <w:rPr>
                <w:sz w:val="28"/>
              </w:rPr>
            </w:pPr>
            <w:r>
              <w:rPr>
                <w:sz w:val="28"/>
              </w:rPr>
              <w:t>July 1, 2018</w:t>
            </w:r>
          </w:p>
        </w:tc>
        <w:tc>
          <w:tcPr>
            <w:tcW w:w="4052" w:type="dxa"/>
            <w:tcBorders>
              <w:top w:val="single" w:sz="6" w:space="0" w:color="000000"/>
            </w:tcBorders>
          </w:tcPr>
          <w:p w:rsidR="004E13A5" w:rsidRDefault="004E13A5"/>
        </w:tc>
      </w:tr>
      <w:tr w:rsidR="004E13A5">
        <w:trPr>
          <w:trHeight w:hRule="exact" w:val="418"/>
        </w:trPr>
        <w:tc>
          <w:tcPr>
            <w:tcW w:w="3961" w:type="dxa"/>
          </w:tcPr>
          <w:p w:rsidR="004E13A5" w:rsidRDefault="00681463">
            <w:pPr>
              <w:pStyle w:val="TableParagraph"/>
              <w:spacing w:before="43"/>
              <w:ind w:left="100"/>
              <w:rPr>
                <w:sz w:val="28"/>
              </w:rPr>
            </w:pPr>
            <w:r>
              <w:rPr>
                <w:sz w:val="28"/>
              </w:rPr>
              <w:t>September 1, 2019</w:t>
            </w:r>
          </w:p>
        </w:tc>
        <w:tc>
          <w:tcPr>
            <w:tcW w:w="4052" w:type="dxa"/>
          </w:tcPr>
          <w:p w:rsidR="004E13A5" w:rsidRDefault="004E13A5"/>
        </w:tc>
      </w:tr>
    </w:tbl>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3"/>
        <w:ind w:left="0"/>
      </w:pPr>
    </w:p>
    <w:p w:rsidR="004E13A5" w:rsidRDefault="00681463">
      <w:pPr>
        <w:pStyle w:val="BodyText"/>
        <w:spacing w:before="90" w:line="480" w:lineRule="auto"/>
        <w:ind w:right="4305"/>
      </w:pPr>
      <w:r>
        <w:t>© Copyright 2017 by Nan McKay &amp; Associates, Inc. All rights reserved</w:t>
      </w:r>
    </w:p>
    <w:p w:rsidR="004E13A5" w:rsidRDefault="00681463">
      <w:pPr>
        <w:pStyle w:val="BodyText"/>
        <w:spacing w:before="10"/>
        <w:ind w:right="62"/>
      </w:pPr>
      <w:r>
        <w:t>Permission to reprint granted only to the Public Housing Authority that has purchased this plan from Nan McKay &amp; Associates, Inc. This document may not be reprinted or distributed to any other person or entity other than the purchasing agency without the express written permission of Nan McKay &amp; Associates, Inc.</w:t>
      </w:r>
    </w:p>
    <w:p w:rsidR="004E13A5" w:rsidRDefault="004E13A5">
      <w:pPr>
        <w:sectPr w:rsidR="004E13A5">
          <w:type w:val="continuous"/>
          <w:pgSz w:w="12240" w:h="15840"/>
          <w:pgMar w:top="1500" w:right="1360" w:bottom="280" w:left="1340" w:header="720" w:footer="720" w:gutter="0"/>
          <w:cols w:space="720"/>
        </w:sectPr>
      </w:pPr>
    </w:p>
    <w:p w:rsidR="004E13A5" w:rsidRDefault="00681463">
      <w:pPr>
        <w:pStyle w:val="Heading4"/>
        <w:spacing w:before="79"/>
        <w:ind w:left="0" w:right="14"/>
        <w:jc w:val="center"/>
      </w:pPr>
      <w:r>
        <w:lastRenderedPageBreak/>
        <w:t>Administrative Plan-Table of Contents</w:t>
      </w:r>
    </w:p>
    <w:p w:rsidR="004E13A5" w:rsidRDefault="004E13A5">
      <w:pPr>
        <w:pStyle w:val="BodyText"/>
        <w:spacing w:before="0"/>
        <w:ind w:left="0"/>
        <w:rPr>
          <w:b/>
          <w:sz w:val="26"/>
        </w:rPr>
      </w:pPr>
    </w:p>
    <w:p w:rsidR="004E13A5" w:rsidRDefault="00681463">
      <w:pPr>
        <w:spacing w:before="216"/>
        <w:ind w:right="19"/>
        <w:jc w:val="center"/>
        <w:rPr>
          <w:b/>
          <w:sz w:val="24"/>
        </w:rPr>
      </w:pPr>
      <w:r>
        <w:rPr>
          <w:b/>
          <w:sz w:val="24"/>
        </w:rPr>
        <w:t>Introduction</w:t>
      </w:r>
    </w:p>
    <w:p w:rsidR="004E13A5" w:rsidRDefault="00681463">
      <w:pPr>
        <w:ind w:right="22"/>
        <w:jc w:val="center"/>
        <w:rPr>
          <w:b/>
          <w:sz w:val="24"/>
        </w:rPr>
      </w:pPr>
      <w:r>
        <w:rPr>
          <w:b/>
          <w:sz w:val="24"/>
        </w:rPr>
        <w:t>ABOUT THE REFERENCES CITED IN THE MODEL ADMINISTRATIVE PLAN</w:t>
      </w:r>
    </w:p>
    <w:p w:rsidR="004E13A5" w:rsidRDefault="004E13A5">
      <w:pPr>
        <w:pStyle w:val="BodyText"/>
        <w:spacing w:before="10"/>
        <w:ind w:left="0"/>
        <w:rPr>
          <w:b/>
          <w:sz w:val="20"/>
        </w:rPr>
      </w:pPr>
    </w:p>
    <w:p w:rsidR="004E13A5" w:rsidRDefault="00681463">
      <w:pPr>
        <w:ind w:right="21"/>
        <w:jc w:val="center"/>
        <w:rPr>
          <w:b/>
          <w:sz w:val="24"/>
        </w:rPr>
      </w:pPr>
      <w:r>
        <w:rPr>
          <w:b/>
          <w:sz w:val="24"/>
        </w:rPr>
        <w:t>Chapter 1</w:t>
      </w:r>
    </w:p>
    <w:p w:rsidR="004E13A5" w:rsidRDefault="00681463">
      <w:pPr>
        <w:ind w:right="18"/>
        <w:jc w:val="center"/>
        <w:rPr>
          <w:b/>
          <w:sz w:val="24"/>
        </w:rPr>
      </w:pPr>
      <w:r>
        <w:rPr>
          <w:b/>
          <w:sz w:val="24"/>
        </w:rPr>
        <w:t>OVERVIEW OF THE PROGRAM AND PLAN</w:t>
      </w:r>
    </w:p>
    <w:p w:rsidR="004E13A5" w:rsidRDefault="00681463">
      <w:pPr>
        <w:pStyle w:val="BodyText"/>
        <w:tabs>
          <w:tab w:val="left" w:pos="1259"/>
          <w:tab w:val="right" w:leader="dot" w:pos="9361"/>
        </w:tabs>
        <w:spacing w:before="120"/>
        <w:ind w:left="0" w:right="15"/>
        <w:jc w:val="center"/>
      </w:pPr>
      <w:r>
        <w:t>PART</w:t>
      </w:r>
      <w:r>
        <w:rPr>
          <w:spacing w:val="1"/>
        </w:rPr>
        <w:t xml:space="preserve"> </w:t>
      </w:r>
      <w:r>
        <w:rPr>
          <w:spacing w:val="-3"/>
        </w:rPr>
        <w:t>I:</w:t>
      </w:r>
      <w:r>
        <w:rPr>
          <w:spacing w:val="-3"/>
        </w:rPr>
        <w:tab/>
      </w:r>
      <w:r>
        <w:t>THE PHA</w:t>
      </w:r>
      <w:r>
        <w:tab/>
        <w:t>31</w:t>
      </w:r>
    </w:p>
    <w:p w:rsidR="004E13A5" w:rsidRDefault="00681463">
      <w:pPr>
        <w:pStyle w:val="BodyText"/>
        <w:tabs>
          <w:tab w:val="left" w:pos="2332"/>
          <w:tab w:val="right" w:leader="dot" w:pos="9461"/>
        </w:tabs>
        <w:spacing w:before="0"/>
        <w:ind w:left="1367"/>
      </w:pPr>
      <w:r>
        <w:t>1-I.A.</w:t>
      </w:r>
      <w:r>
        <w:tab/>
        <w:t>Overview</w:t>
      </w:r>
      <w:r>
        <w:tab/>
        <w:t>31</w:t>
      </w:r>
    </w:p>
    <w:p w:rsidR="004E13A5" w:rsidRDefault="00681463">
      <w:pPr>
        <w:pStyle w:val="BodyText"/>
        <w:tabs>
          <w:tab w:val="left" w:pos="2332"/>
          <w:tab w:val="right" w:leader="dot" w:pos="9461"/>
        </w:tabs>
        <w:spacing w:before="0"/>
        <w:ind w:left="1367"/>
      </w:pPr>
      <w:r>
        <w:t>1-I.B.</w:t>
      </w:r>
      <w:r>
        <w:tab/>
        <w:t>Organization and Structure of</w:t>
      </w:r>
      <w:r>
        <w:rPr>
          <w:spacing w:val="-2"/>
        </w:rPr>
        <w:t xml:space="preserve"> </w:t>
      </w:r>
      <w:r>
        <w:t>the</w:t>
      </w:r>
      <w:r>
        <w:rPr>
          <w:spacing w:val="-2"/>
        </w:rPr>
        <w:t xml:space="preserve"> </w:t>
      </w:r>
      <w:r>
        <w:t>PHA</w:t>
      </w:r>
      <w:r>
        <w:tab/>
        <w:t>31</w:t>
      </w:r>
    </w:p>
    <w:p w:rsidR="004E13A5" w:rsidRDefault="00681463">
      <w:pPr>
        <w:pStyle w:val="BodyText"/>
        <w:tabs>
          <w:tab w:val="left" w:pos="2332"/>
          <w:tab w:val="right" w:leader="dot" w:pos="9461"/>
        </w:tabs>
        <w:spacing w:before="0"/>
        <w:ind w:left="1367"/>
      </w:pPr>
      <w:r>
        <w:t>1-I.C.</w:t>
      </w:r>
      <w:r>
        <w:tab/>
        <w:t>PHA</w:t>
      </w:r>
      <w:r>
        <w:rPr>
          <w:spacing w:val="-1"/>
        </w:rPr>
        <w:t xml:space="preserve"> </w:t>
      </w:r>
      <w:r>
        <w:t>Mission</w:t>
      </w:r>
      <w:r>
        <w:tab/>
        <w:t>33</w:t>
      </w:r>
    </w:p>
    <w:p w:rsidR="004E13A5" w:rsidRDefault="00681463">
      <w:pPr>
        <w:pStyle w:val="BodyText"/>
        <w:tabs>
          <w:tab w:val="left" w:pos="2332"/>
          <w:tab w:val="right" w:leader="dot" w:pos="9461"/>
        </w:tabs>
        <w:spacing w:before="0"/>
        <w:ind w:left="1367"/>
      </w:pPr>
      <w:r>
        <w:t>1-I.D.</w:t>
      </w:r>
      <w:r>
        <w:tab/>
        <w:t>The</w:t>
      </w:r>
      <w:r>
        <w:rPr>
          <w:spacing w:val="-3"/>
        </w:rPr>
        <w:t xml:space="preserve"> </w:t>
      </w:r>
      <w:r>
        <w:t>PHA’s</w:t>
      </w:r>
      <w:r>
        <w:rPr>
          <w:spacing w:val="-1"/>
        </w:rPr>
        <w:t xml:space="preserve"> </w:t>
      </w:r>
      <w:r>
        <w:t>Programs</w:t>
      </w:r>
      <w:r>
        <w:tab/>
        <w:t>33</w:t>
      </w:r>
    </w:p>
    <w:p w:rsidR="004E13A5" w:rsidRDefault="00681463">
      <w:pPr>
        <w:pStyle w:val="BodyText"/>
        <w:tabs>
          <w:tab w:val="left" w:pos="2332"/>
          <w:tab w:val="right" w:leader="dot" w:pos="9461"/>
        </w:tabs>
        <w:spacing w:before="0"/>
        <w:ind w:left="1367"/>
      </w:pPr>
      <w:r>
        <w:t>1-I.E.</w:t>
      </w:r>
      <w:r>
        <w:tab/>
        <w:t>The PHA’s Commitment to Ethics</w:t>
      </w:r>
      <w:r>
        <w:rPr>
          <w:spacing w:val="-1"/>
        </w:rPr>
        <w:t xml:space="preserve"> </w:t>
      </w:r>
      <w:r>
        <w:t>and</w:t>
      </w:r>
      <w:r>
        <w:rPr>
          <w:spacing w:val="-1"/>
        </w:rPr>
        <w:t xml:space="preserve"> </w:t>
      </w:r>
      <w:r>
        <w:t>Service</w:t>
      </w:r>
      <w:r>
        <w:tab/>
        <w:t>33</w:t>
      </w:r>
    </w:p>
    <w:p w:rsidR="004E13A5" w:rsidRDefault="00681463">
      <w:pPr>
        <w:pStyle w:val="BodyText"/>
        <w:tabs>
          <w:tab w:val="left" w:pos="1259"/>
          <w:tab w:val="right" w:leader="dot" w:pos="9361"/>
        </w:tabs>
        <w:spacing w:before="120"/>
        <w:ind w:left="0" w:right="15"/>
        <w:jc w:val="center"/>
      </w:pPr>
      <w:r>
        <w:t>PART</w:t>
      </w:r>
      <w:r>
        <w:rPr>
          <w:spacing w:val="2"/>
        </w:rPr>
        <w:t xml:space="preserve"> </w:t>
      </w:r>
      <w:r>
        <w:rPr>
          <w:spacing w:val="-3"/>
        </w:rPr>
        <w:t>II:</w:t>
      </w:r>
      <w:r>
        <w:rPr>
          <w:spacing w:val="-3"/>
        </w:rPr>
        <w:tab/>
      </w:r>
      <w:r>
        <w:t>THE HOUSING CHOICE VOUCHER</w:t>
      </w:r>
      <w:r>
        <w:rPr>
          <w:spacing w:val="-2"/>
        </w:rPr>
        <w:t xml:space="preserve"> </w:t>
      </w:r>
      <w:r>
        <w:t>(HCV)</w:t>
      </w:r>
      <w:r>
        <w:rPr>
          <w:spacing w:val="-3"/>
        </w:rPr>
        <w:t xml:space="preserve"> </w:t>
      </w:r>
      <w:r>
        <w:t>PROGRAM</w:t>
      </w:r>
      <w:r>
        <w:tab/>
        <w:t>34</w:t>
      </w:r>
    </w:p>
    <w:p w:rsidR="004E13A5" w:rsidRDefault="00681463">
      <w:pPr>
        <w:pStyle w:val="BodyText"/>
        <w:tabs>
          <w:tab w:val="left" w:pos="2332"/>
          <w:tab w:val="right" w:leader="dot" w:pos="9461"/>
        </w:tabs>
        <w:spacing w:before="0"/>
        <w:ind w:left="1367"/>
      </w:pPr>
      <w:r>
        <w:t>1-II.A.</w:t>
      </w:r>
      <w:r>
        <w:tab/>
        <w:t>Overview and History of</w:t>
      </w:r>
      <w:r>
        <w:rPr>
          <w:spacing w:val="-3"/>
        </w:rPr>
        <w:t xml:space="preserve"> </w:t>
      </w:r>
      <w:r>
        <w:t>the</w:t>
      </w:r>
      <w:r>
        <w:rPr>
          <w:spacing w:val="-2"/>
        </w:rPr>
        <w:t xml:space="preserve"> </w:t>
      </w:r>
      <w:r>
        <w:t>Program</w:t>
      </w:r>
      <w:r>
        <w:tab/>
        <w:t>34</w:t>
      </w:r>
    </w:p>
    <w:p w:rsidR="004E13A5" w:rsidRDefault="00681463">
      <w:pPr>
        <w:pStyle w:val="BodyText"/>
        <w:tabs>
          <w:tab w:val="left" w:pos="2332"/>
          <w:tab w:val="right" w:leader="dot" w:pos="9461"/>
        </w:tabs>
        <w:spacing w:before="0"/>
        <w:ind w:left="1367"/>
      </w:pPr>
      <w:r>
        <w:t>1-II.B.</w:t>
      </w:r>
      <w:r>
        <w:tab/>
        <w:t>HCV</w:t>
      </w:r>
      <w:r>
        <w:rPr>
          <w:spacing w:val="-1"/>
        </w:rPr>
        <w:t xml:space="preserve"> </w:t>
      </w:r>
      <w:r>
        <w:t>Program</w:t>
      </w:r>
      <w:r>
        <w:rPr>
          <w:spacing w:val="-1"/>
        </w:rPr>
        <w:t xml:space="preserve"> </w:t>
      </w:r>
      <w:r>
        <w:t>Basics</w:t>
      </w:r>
      <w:r>
        <w:tab/>
        <w:t>35</w:t>
      </w:r>
    </w:p>
    <w:p w:rsidR="004E13A5" w:rsidRDefault="00681463">
      <w:pPr>
        <w:pStyle w:val="BodyText"/>
        <w:tabs>
          <w:tab w:val="left" w:pos="2332"/>
          <w:tab w:val="right" w:leader="dot" w:pos="9461"/>
        </w:tabs>
        <w:spacing w:before="0"/>
        <w:ind w:left="1367"/>
      </w:pPr>
      <w:r>
        <w:t>1-II.C.</w:t>
      </w:r>
      <w:r>
        <w:tab/>
        <w:t>The</w:t>
      </w:r>
      <w:r>
        <w:rPr>
          <w:spacing w:val="-3"/>
        </w:rPr>
        <w:t xml:space="preserve"> </w:t>
      </w:r>
      <w:r>
        <w:t>HCV</w:t>
      </w:r>
      <w:r>
        <w:rPr>
          <w:spacing w:val="-1"/>
        </w:rPr>
        <w:t xml:space="preserve"> </w:t>
      </w:r>
      <w:r>
        <w:t>Partnerships</w:t>
      </w:r>
      <w:r>
        <w:tab/>
        <w:t>36</w:t>
      </w:r>
    </w:p>
    <w:p w:rsidR="004E13A5" w:rsidRDefault="00681463">
      <w:pPr>
        <w:pStyle w:val="BodyText"/>
        <w:tabs>
          <w:tab w:val="right" w:leader="dot" w:pos="9461"/>
        </w:tabs>
        <w:spacing w:before="0"/>
        <w:ind w:left="2693"/>
      </w:pPr>
      <w:r>
        <w:t>The</w:t>
      </w:r>
      <w:r>
        <w:rPr>
          <w:spacing w:val="-2"/>
        </w:rPr>
        <w:t xml:space="preserve"> </w:t>
      </w:r>
      <w:r>
        <w:t>HCV Relationships:</w:t>
      </w:r>
      <w:r>
        <w:tab/>
        <w:t>36</w:t>
      </w:r>
    </w:p>
    <w:p w:rsidR="004E13A5" w:rsidRDefault="00681463">
      <w:pPr>
        <w:pStyle w:val="BodyText"/>
        <w:tabs>
          <w:tab w:val="right" w:leader="dot" w:pos="9461"/>
        </w:tabs>
        <w:spacing w:before="0"/>
        <w:ind w:left="2693"/>
      </w:pPr>
      <w:r>
        <w:t>What Does</w:t>
      </w:r>
      <w:r>
        <w:rPr>
          <w:spacing w:val="-1"/>
        </w:rPr>
        <w:t xml:space="preserve"> </w:t>
      </w:r>
      <w:r>
        <w:t>HUD</w:t>
      </w:r>
      <w:r>
        <w:rPr>
          <w:spacing w:val="-2"/>
        </w:rPr>
        <w:t xml:space="preserve"> </w:t>
      </w:r>
      <w:r>
        <w:t>Do?</w:t>
      </w:r>
      <w:r>
        <w:tab/>
        <w:t>37</w:t>
      </w:r>
    </w:p>
    <w:p w:rsidR="004E13A5" w:rsidRDefault="00681463">
      <w:pPr>
        <w:pStyle w:val="BodyText"/>
        <w:tabs>
          <w:tab w:val="right" w:leader="dot" w:pos="9461"/>
        </w:tabs>
        <w:spacing w:before="0"/>
        <w:ind w:left="2693"/>
      </w:pPr>
      <w:r>
        <w:t>What Does the</w:t>
      </w:r>
      <w:r>
        <w:rPr>
          <w:spacing w:val="-2"/>
        </w:rPr>
        <w:t xml:space="preserve"> </w:t>
      </w:r>
      <w:r>
        <w:t>PHA</w:t>
      </w:r>
      <w:r>
        <w:rPr>
          <w:spacing w:val="-2"/>
        </w:rPr>
        <w:t xml:space="preserve"> </w:t>
      </w:r>
      <w:r>
        <w:t>Do?</w:t>
      </w:r>
      <w:r>
        <w:tab/>
        <w:t>37</w:t>
      </w:r>
    </w:p>
    <w:p w:rsidR="004E13A5" w:rsidRDefault="00681463">
      <w:pPr>
        <w:pStyle w:val="BodyText"/>
        <w:tabs>
          <w:tab w:val="right" w:leader="dot" w:pos="9461"/>
        </w:tabs>
        <w:spacing w:before="0"/>
        <w:ind w:left="2693"/>
      </w:pPr>
      <w:r>
        <w:t>What Does the</w:t>
      </w:r>
      <w:r>
        <w:rPr>
          <w:spacing w:val="-2"/>
        </w:rPr>
        <w:t xml:space="preserve"> </w:t>
      </w:r>
      <w:r>
        <w:t>Owner Do?</w:t>
      </w:r>
      <w:r>
        <w:tab/>
        <w:t>37</w:t>
      </w:r>
    </w:p>
    <w:p w:rsidR="004E13A5" w:rsidRDefault="00681463">
      <w:pPr>
        <w:pStyle w:val="BodyText"/>
        <w:tabs>
          <w:tab w:val="right" w:leader="dot" w:pos="9461"/>
        </w:tabs>
        <w:spacing w:before="0"/>
        <w:ind w:left="2693"/>
      </w:pPr>
      <w:r>
        <w:t>What Does the</w:t>
      </w:r>
      <w:r>
        <w:rPr>
          <w:spacing w:val="-2"/>
        </w:rPr>
        <w:t xml:space="preserve"> </w:t>
      </w:r>
      <w:r>
        <w:t>Family</w:t>
      </w:r>
      <w:r>
        <w:rPr>
          <w:spacing w:val="-6"/>
        </w:rPr>
        <w:t xml:space="preserve"> </w:t>
      </w:r>
      <w:r>
        <w:t>Do?</w:t>
      </w:r>
      <w:r>
        <w:tab/>
        <w:t>38</w:t>
      </w:r>
    </w:p>
    <w:p w:rsidR="004E13A5" w:rsidRDefault="00681463">
      <w:pPr>
        <w:pStyle w:val="BodyText"/>
        <w:tabs>
          <w:tab w:val="left" w:pos="2332"/>
          <w:tab w:val="right" w:leader="dot" w:pos="9461"/>
        </w:tabs>
        <w:spacing w:before="0"/>
        <w:ind w:left="1367"/>
      </w:pPr>
      <w:r>
        <w:t>1-II.D.</w:t>
      </w:r>
      <w:r>
        <w:tab/>
        <w:t>Applicable</w:t>
      </w:r>
      <w:r>
        <w:rPr>
          <w:spacing w:val="-1"/>
        </w:rPr>
        <w:t xml:space="preserve"> </w:t>
      </w:r>
      <w:r>
        <w:t>Regulations</w:t>
      </w:r>
      <w:r>
        <w:tab/>
        <w:t>38</w:t>
      </w:r>
    </w:p>
    <w:p w:rsidR="004E13A5" w:rsidRDefault="00681463">
      <w:pPr>
        <w:pStyle w:val="BodyText"/>
        <w:tabs>
          <w:tab w:val="left" w:pos="1259"/>
          <w:tab w:val="right" w:leader="dot" w:pos="9361"/>
        </w:tabs>
        <w:spacing w:before="120"/>
        <w:ind w:left="0" w:right="15"/>
        <w:jc w:val="center"/>
      </w:pPr>
      <w:r>
        <w:t>PART</w:t>
      </w:r>
      <w:r>
        <w:rPr>
          <w:spacing w:val="-1"/>
        </w:rPr>
        <w:t xml:space="preserve"> </w:t>
      </w:r>
      <w:r>
        <w:t>III:</w:t>
      </w:r>
      <w:r>
        <w:tab/>
        <w:t>THE HCV</w:t>
      </w:r>
      <w:r>
        <w:rPr>
          <w:spacing w:val="-1"/>
        </w:rPr>
        <w:t xml:space="preserve"> </w:t>
      </w:r>
      <w:r>
        <w:t>ADMINISTRATIVE</w:t>
      </w:r>
      <w:r>
        <w:rPr>
          <w:spacing w:val="-2"/>
        </w:rPr>
        <w:t xml:space="preserve"> </w:t>
      </w:r>
      <w:r>
        <w:t>PLAN</w:t>
      </w:r>
      <w:r>
        <w:tab/>
        <w:t>39</w:t>
      </w:r>
    </w:p>
    <w:p w:rsidR="004E13A5" w:rsidRDefault="00681463">
      <w:pPr>
        <w:pStyle w:val="BodyText"/>
        <w:tabs>
          <w:tab w:val="left" w:pos="2332"/>
          <w:tab w:val="right" w:leader="dot" w:pos="9461"/>
        </w:tabs>
        <w:spacing w:before="0"/>
        <w:ind w:left="1367"/>
      </w:pPr>
      <w:r>
        <w:t>1-III.A.</w:t>
      </w:r>
      <w:r>
        <w:tab/>
        <w:t>Overview and Purpose of the</w:t>
      </w:r>
      <w:r>
        <w:rPr>
          <w:spacing w:val="-2"/>
        </w:rPr>
        <w:t xml:space="preserve"> </w:t>
      </w:r>
      <w:r>
        <w:t>Plan</w:t>
      </w:r>
      <w:r>
        <w:tab/>
        <w:t>39</w:t>
      </w:r>
    </w:p>
    <w:p w:rsidR="004E13A5" w:rsidRDefault="00681463">
      <w:pPr>
        <w:pStyle w:val="BodyText"/>
        <w:tabs>
          <w:tab w:val="left" w:pos="2332"/>
          <w:tab w:val="right" w:leader="dot" w:pos="9461"/>
        </w:tabs>
        <w:spacing w:before="0"/>
        <w:ind w:left="1367"/>
      </w:pPr>
      <w:r>
        <w:t>1-III.B.</w:t>
      </w:r>
      <w:r>
        <w:tab/>
        <w:t>Contents of the Plan</w:t>
      </w:r>
      <w:r>
        <w:rPr>
          <w:spacing w:val="-2"/>
        </w:rPr>
        <w:t xml:space="preserve"> </w:t>
      </w:r>
      <w:r>
        <w:t>(24CFR</w:t>
      </w:r>
      <w:r>
        <w:rPr>
          <w:spacing w:val="-1"/>
        </w:rPr>
        <w:t xml:space="preserve"> </w:t>
      </w:r>
      <w:r>
        <w:t>982.54)</w:t>
      </w:r>
      <w:r>
        <w:tab/>
        <w:t>39</w:t>
      </w:r>
    </w:p>
    <w:p w:rsidR="004E13A5" w:rsidRDefault="00681463">
      <w:pPr>
        <w:pStyle w:val="BodyText"/>
        <w:tabs>
          <w:tab w:val="right" w:leader="dot" w:pos="9461"/>
        </w:tabs>
        <w:spacing w:before="0"/>
        <w:ind w:left="2693"/>
      </w:pPr>
      <w:r>
        <w:t>Mandatory vs.</w:t>
      </w:r>
      <w:r>
        <w:rPr>
          <w:spacing w:val="-5"/>
        </w:rPr>
        <w:t xml:space="preserve"> </w:t>
      </w:r>
      <w:r>
        <w:t>Discretionary</w:t>
      </w:r>
      <w:r>
        <w:rPr>
          <w:spacing w:val="-5"/>
        </w:rPr>
        <w:t xml:space="preserve"> </w:t>
      </w:r>
      <w:r>
        <w:t>Policy</w:t>
      </w:r>
      <w:r>
        <w:tab/>
        <w:t>40</w:t>
      </w:r>
    </w:p>
    <w:p w:rsidR="004E13A5" w:rsidRDefault="00681463">
      <w:pPr>
        <w:pStyle w:val="BodyText"/>
        <w:tabs>
          <w:tab w:val="left" w:pos="2332"/>
          <w:tab w:val="right" w:leader="dot" w:pos="9461"/>
        </w:tabs>
        <w:spacing w:before="0"/>
        <w:ind w:left="1367"/>
      </w:pPr>
      <w:r>
        <w:t>1-III.C.</w:t>
      </w:r>
      <w:r>
        <w:tab/>
        <w:t>Organization of</w:t>
      </w:r>
      <w:r>
        <w:rPr>
          <w:spacing w:val="-1"/>
        </w:rPr>
        <w:t xml:space="preserve"> </w:t>
      </w:r>
      <w:r>
        <w:t>the</w:t>
      </w:r>
      <w:r>
        <w:rPr>
          <w:spacing w:val="-2"/>
        </w:rPr>
        <w:t xml:space="preserve"> </w:t>
      </w:r>
      <w:r>
        <w:t>Plan</w:t>
      </w:r>
      <w:r>
        <w:tab/>
        <w:t>41</w:t>
      </w:r>
    </w:p>
    <w:p w:rsidR="004E13A5" w:rsidRDefault="00681463">
      <w:pPr>
        <w:pStyle w:val="BodyText"/>
        <w:tabs>
          <w:tab w:val="left" w:pos="2332"/>
          <w:tab w:val="right" w:leader="dot" w:pos="9461"/>
        </w:tabs>
        <w:spacing w:before="0"/>
        <w:ind w:left="1367"/>
      </w:pPr>
      <w:r>
        <w:t>1-III.D.</w:t>
      </w:r>
      <w:r>
        <w:tab/>
        <w:t>Updating and Revising</w:t>
      </w:r>
      <w:r>
        <w:rPr>
          <w:spacing w:val="-3"/>
        </w:rPr>
        <w:t xml:space="preserve"> </w:t>
      </w:r>
      <w:r>
        <w:t>the</w:t>
      </w:r>
      <w:r>
        <w:rPr>
          <w:spacing w:val="-1"/>
        </w:rPr>
        <w:t xml:space="preserve"> </w:t>
      </w:r>
      <w:r>
        <w:t>Plan</w:t>
      </w:r>
      <w:r>
        <w:tab/>
        <w:t>41</w:t>
      </w:r>
    </w:p>
    <w:p w:rsidR="004E13A5" w:rsidRDefault="00681463">
      <w:pPr>
        <w:pStyle w:val="Heading4"/>
        <w:spacing w:before="516"/>
        <w:ind w:left="0" w:right="21"/>
        <w:jc w:val="center"/>
      </w:pPr>
      <w:r>
        <w:t>Chapter 2</w:t>
      </w:r>
    </w:p>
    <w:p w:rsidR="004E13A5" w:rsidRDefault="00681463">
      <w:pPr>
        <w:pStyle w:val="Heading4"/>
        <w:ind w:left="0" w:right="18"/>
        <w:jc w:val="center"/>
      </w:pPr>
      <w:r>
        <w:t>FAIR HOUSING AND EQUAL OPPORTUNITY</w:t>
      </w:r>
    </w:p>
    <w:p w:rsidR="004E13A5" w:rsidRDefault="00681463">
      <w:pPr>
        <w:pStyle w:val="BodyText"/>
        <w:tabs>
          <w:tab w:val="left" w:pos="1259"/>
          <w:tab w:val="right" w:leader="dot" w:pos="9361"/>
        </w:tabs>
        <w:spacing w:before="120"/>
        <w:ind w:left="0" w:right="15"/>
        <w:jc w:val="center"/>
      </w:pPr>
      <w:r>
        <w:t>PART</w:t>
      </w:r>
      <w:r>
        <w:rPr>
          <w:spacing w:val="1"/>
        </w:rPr>
        <w:t xml:space="preserve"> </w:t>
      </w:r>
      <w:r>
        <w:rPr>
          <w:spacing w:val="-3"/>
        </w:rPr>
        <w:t>I:</w:t>
      </w:r>
      <w:r>
        <w:rPr>
          <w:spacing w:val="-3"/>
        </w:rPr>
        <w:tab/>
      </w:r>
      <w:r>
        <w:t>NONDISCRIMINATION</w:t>
      </w:r>
      <w:r>
        <w:tab/>
        <w:t>42</w:t>
      </w:r>
    </w:p>
    <w:p w:rsidR="004E13A5" w:rsidRDefault="00681463">
      <w:pPr>
        <w:pStyle w:val="BodyText"/>
        <w:tabs>
          <w:tab w:val="left" w:pos="2332"/>
          <w:tab w:val="right" w:leader="dot" w:pos="9461"/>
        </w:tabs>
        <w:spacing w:before="0"/>
        <w:ind w:left="1367"/>
      </w:pPr>
      <w:r>
        <w:t>2-I.A.</w:t>
      </w:r>
      <w:r>
        <w:tab/>
        <w:t>Overview</w:t>
      </w:r>
      <w:r>
        <w:tab/>
        <w:t>42</w:t>
      </w:r>
    </w:p>
    <w:p w:rsidR="004E13A5" w:rsidRDefault="00681463">
      <w:pPr>
        <w:pStyle w:val="BodyText"/>
        <w:tabs>
          <w:tab w:val="left" w:pos="2332"/>
          <w:tab w:val="right" w:leader="dot" w:pos="9461"/>
        </w:tabs>
        <w:spacing w:before="0"/>
        <w:ind w:left="1367"/>
      </w:pPr>
      <w:r>
        <w:t>2-I.B.</w:t>
      </w:r>
      <w:r>
        <w:tab/>
        <w:t>Nondiscrimination</w:t>
      </w:r>
      <w:r>
        <w:tab/>
        <w:t>43</w:t>
      </w:r>
    </w:p>
    <w:p w:rsidR="004E13A5" w:rsidRDefault="00681463">
      <w:pPr>
        <w:pStyle w:val="BodyText"/>
        <w:tabs>
          <w:tab w:val="right" w:leader="dot" w:pos="9461"/>
        </w:tabs>
        <w:spacing w:before="0"/>
        <w:ind w:left="2693"/>
      </w:pPr>
      <w:r>
        <w:t>Providing Information to Families</w:t>
      </w:r>
      <w:r>
        <w:rPr>
          <w:spacing w:val="-1"/>
        </w:rPr>
        <w:t xml:space="preserve"> </w:t>
      </w:r>
      <w:r>
        <w:t>and Owners</w:t>
      </w:r>
      <w:r>
        <w:tab/>
        <w:t>44</w:t>
      </w:r>
    </w:p>
    <w:p w:rsidR="004E13A5" w:rsidRDefault="00681463">
      <w:pPr>
        <w:pStyle w:val="BodyText"/>
        <w:tabs>
          <w:tab w:val="right" w:leader="dot" w:pos="9461"/>
        </w:tabs>
        <w:spacing w:before="0"/>
        <w:ind w:left="2693"/>
      </w:pPr>
      <w:r>
        <w:t>Discrimination</w:t>
      </w:r>
      <w:r>
        <w:rPr>
          <w:spacing w:val="-1"/>
        </w:rPr>
        <w:t xml:space="preserve"> </w:t>
      </w:r>
      <w:r>
        <w:t>Complaints</w:t>
      </w:r>
      <w:r>
        <w:tab/>
        <w:t>44</w:t>
      </w:r>
    </w:p>
    <w:p w:rsidR="004E13A5" w:rsidRDefault="00681463">
      <w:pPr>
        <w:pStyle w:val="BodyText"/>
        <w:tabs>
          <w:tab w:val="left" w:pos="1259"/>
          <w:tab w:val="right" w:leader="dot" w:pos="9361"/>
        </w:tabs>
        <w:spacing w:before="120"/>
        <w:ind w:left="0" w:right="15"/>
        <w:jc w:val="center"/>
      </w:pPr>
      <w:r>
        <w:t>PART</w:t>
      </w:r>
      <w:r>
        <w:rPr>
          <w:spacing w:val="2"/>
        </w:rPr>
        <w:t xml:space="preserve"> </w:t>
      </w:r>
      <w:r>
        <w:rPr>
          <w:spacing w:val="-3"/>
        </w:rPr>
        <w:t>II:</w:t>
      </w:r>
      <w:r>
        <w:rPr>
          <w:spacing w:val="-3"/>
        </w:rPr>
        <w:tab/>
      </w:r>
      <w:r>
        <w:t>POLICIES RELATED TO PERSONS</w:t>
      </w:r>
      <w:r>
        <w:rPr>
          <w:spacing w:val="-2"/>
        </w:rPr>
        <w:t xml:space="preserve"> </w:t>
      </w:r>
      <w:r>
        <w:t>WITH DISABILITIES</w:t>
      </w:r>
      <w:r>
        <w:tab/>
        <w:t>45</w:t>
      </w:r>
    </w:p>
    <w:p w:rsidR="004E13A5" w:rsidRDefault="00681463">
      <w:pPr>
        <w:pStyle w:val="BodyText"/>
        <w:tabs>
          <w:tab w:val="left" w:pos="2332"/>
          <w:tab w:val="right" w:leader="dot" w:pos="9461"/>
        </w:tabs>
        <w:spacing w:before="0"/>
        <w:ind w:left="1367"/>
      </w:pPr>
      <w:r>
        <w:t>2-II.A.</w:t>
      </w:r>
      <w:r>
        <w:tab/>
        <w:t>Overview</w:t>
      </w:r>
      <w:r>
        <w:tab/>
        <w:t>45</w:t>
      </w:r>
    </w:p>
    <w:p w:rsidR="004E13A5" w:rsidRDefault="00681463">
      <w:pPr>
        <w:pStyle w:val="BodyText"/>
        <w:tabs>
          <w:tab w:val="left" w:pos="2332"/>
          <w:tab w:val="right" w:leader="dot" w:pos="9461"/>
        </w:tabs>
        <w:spacing w:before="0"/>
        <w:ind w:left="1367"/>
      </w:pPr>
      <w:r>
        <w:t>2-II.B.</w:t>
      </w:r>
      <w:r>
        <w:tab/>
        <w:t>Definition of</w:t>
      </w:r>
      <w:r>
        <w:rPr>
          <w:spacing w:val="-2"/>
        </w:rPr>
        <w:t xml:space="preserve"> </w:t>
      </w:r>
      <w:r>
        <w:t>Reasonable Accommodation</w:t>
      </w:r>
      <w:r>
        <w:tab/>
        <w:t>45</w:t>
      </w:r>
    </w:p>
    <w:p w:rsidR="004E13A5" w:rsidRDefault="00681463">
      <w:pPr>
        <w:pStyle w:val="BodyText"/>
        <w:tabs>
          <w:tab w:val="right" w:leader="dot" w:pos="9461"/>
        </w:tabs>
        <w:spacing w:before="0"/>
        <w:ind w:left="2693"/>
      </w:pPr>
      <w:r>
        <w:t>Types of</w:t>
      </w:r>
      <w:r>
        <w:rPr>
          <w:spacing w:val="-1"/>
        </w:rPr>
        <w:t xml:space="preserve"> </w:t>
      </w:r>
      <w:r>
        <w:t>Reasonable</w:t>
      </w:r>
      <w:r>
        <w:rPr>
          <w:spacing w:val="-1"/>
        </w:rPr>
        <w:t xml:space="preserve"> </w:t>
      </w:r>
      <w:r>
        <w:t>Accommodations</w:t>
      </w:r>
      <w:r>
        <w:tab/>
        <w:t>46</w:t>
      </w:r>
    </w:p>
    <w:p w:rsidR="004E13A5" w:rsidRDefault="00681463">
      <w:pPr>
        <w:pStyle w:val="BodyText"/>
        <w:tabs>
          <w:tab w:val="left" w:pos="2332"/>
          <w:tab w:val="right" w:leader="dot" w:pos="9461"/>
        </w:tabs>
        <w:spacing w:before="0"/>
        <w:ind w:left="1367"/>
      </w:pPr>
      <w:r>
        <w:t>2-II.C.</w:t>
      </w:r>
      <w:r>
        <w:tab/>
        <w:t>Request for</w:t>
      </w:r>
      <w:r>
        <w:rPr>
          <w:spacing w:val="-2"/>
        </w:rPr>
        <w:t xml:space="preserve"> </w:t>
      </w:r>
      <w:r>
        <w:t>an</w:t>
      </w:r>
      <w:r>
        <w:rPr>
          <w:spacing w:val="-1"/>
        </w:rPr>
        <w:t xml:space="preserve"> </w:t>
      </w:r>
      <w:r>
        <w:t>Accommodation</w:t>
      </w:r>
      <w:r>
        <w:tab/>
        <w:t>46</w:t>
      </w:r>
    </w:p>
    <w:p w:rsidR="004E13A5" w:rsidRDefault="00681463">
      <w:pPr>
        <w:pStyle w:val="BodyText"/>
        <w:tabs>
          <w:tab w:val="left" w:pos="2332"/>
          <w:tab w:val="right" w:leader="dot" w:pos="9461"/>
        </w:tabs>
        <w:spacing w:before="0"/>
        <w:ind w:left="1367"/>
      </w:pPr>
      <w:r>
        <w:t>2-II.D.</w:t>
      </w:r>
      <w:r>
        <w:tab/>
        <w:t>Verification of</w:t>
      </w:r>
      <w:r>
        <w:rPr>
          <w:spacing w:val="-1"/>
        </w:rPr>
        <w:t xml:space="preserve"> </w:t>
      </w:r>
      <w:r>
        <w:t>Disability</w:t>
      </w:r>
      <w:r>
        <w:tab/>
        <w:t>46</w:t>
      </w:r>
    </w:p>
    <w:p w:rsidR="004E13A5" w:rsidRDefault="004E13A5">
      <w:pPr>
        <w:sectPr w:rsidR="004E13A5">
          <w:footerReference w:type="default" r:id="rId8"/>
          <w:pgSz w:w="12240" w:h="15840"/>
          <w:pgMar w:top="1360" w:right="1320" w:bottom="580" w:left="1340" w:header="0" w:footer="381" w:gutter="0"/>
          <w:pgNumType w:start="2"/>
          <w:cols w:space="720"/>
        </w:sectPr>
      </w:pPr>
    </w:p>
    <w:p w:rsidR="004E13A5" w:rsidRDefault="00681463">
      <w:pPr>
        <w:pStyle w:val="BodyText"/>
        <w:tabs>
          <w:tab w:val="left" w:pos="2332"/>
        </w:tabs>
        <w:spacing w:before="79"/>
        <w:ind w:left="1367"/>
      </w:pPr>
      <w:r>
        <w:lastRenderedPageBreak/>
        <w:t>2-II.E.</w:t>
      </w:r>
      <w:r>
        <w:tab/>
        <w:t>Approval/Denial of a Requested</w:t>
      </w:r>
      <w:r>
        <w:rPr>
          <w:spacing w:val="-10"/>
        </w:rPr>
        <w:t xml:space="preserve"> </w:t>
      </w:r>
      <w:r>
        <w:t>Accommodation</w:t>
      </w:r>
    </w:p>
    <w:p w:rsidR="004E13A5" w:rsidRDefault="00681463">
      <w:pPr>
        <w:pStyle w:val="BodyText"/>
        <w:spacing w:before="0"/>
        <w:ind w:left="2332" w:right="1622"/>
      </w:pPr>
      <w:r>
        <w:t>[Joint Statement of the Departments of HUD and Justice: Reasonable Accommodations under the Fair Housing Act,</w:t>
      </w:r>
    </w:p>
    <w:p w:rsidR="004E13A5" w:rsidRDefault="00681463">
      <w:pPr>
        <w:pStyle w:val="BodyText"/>
        <w:tabs>
          <w:tab w:val="left" w:leader="dot" w:pos="9221"/>
        </w:tabs>
        <w:spacing w:before="0"/>
        <w:ind w:left="2332"/>
      </w:pPr>
      <w:r>
        <w:t>Notice</w:t>
      </w:r>
      <w:r>
        <w:rPr>
          <w:spacing w:val="-3"/>
        </w:rPr>
        <w:t xml:space="preserve"> </w:t>
      </w:r>
      <w:r>
        <w:t>PIH</w:t>
      </w:r>
      <w:r>
        <w:rPr>
          <w:spacing w:val="-1"/>
        </w:rPr>
        <w:t xml:space="preserve"> </w:t>
      </w:r>
      <w:r>
        <w:t>2010-26].</w:t>
      </w:r>
      <w:r>
        <w:tab/>
        <w:t>47</w:t>
      </w:r>
    </w:p>
    <w:p w:rsidR="004E13A5" w:rsidRDefault="00681463">
      <w:pPr>
        <w:pStyle w:val="BodyText"/>
        <w:tabs>
          <w:tab w:val="left" w:pos="2332"/>
        </w:tabs>
        <w:spacing w:before="0"/>
        <w:ind w:left="1367"/>
      </w:pPr>
      <w:r>
        <w:t>2-II.F.</w:t>
      </w:r>
      <w:r>
        <w:tab/>
        <w:t>Program Accessibility for Persons with</w:t>
      </w:r>
      <w:r>
        <w:rPr>
          <w:spacing w:val="-9"/>
        </w:rPr>
        <w:t xml:space="preserve"> </w:t>
      </w:r>
      <w:r>
        <w:t>Hearing</w:t>
      </w:r>
    </w:p>
    <w:p w:rsidR="004E13A5" w:rsidRDefault="00681463">
      <w:pPr>
        <w:pStyle w:val="BodyText"/>
        <w:tabs>
          <w:tab w:val="left" w:leader="dot" w:pos="9221"/>
        </w:tabs>
        <w:spacing w:before="0"/>
        <w:ind w:left="2332"/>
      </w:pPr>
      <w:r>
        <w:t>or</w:t>
      </w:r>
      <w:r>
        <w:rPr>
          <w:spacing w:val="-2"/>
        </w:rPr>
        <w:t xml:space="preserve"> </w:t>
      </w:r>
      <w:r>
        <w:t>Vision Impairments</w:t>
      </w:r>
      <w:r>
        <w:tab/>
        <w:t>48</w:t>
      </w:r>
    </w:p>
    <w:p w:rsidR="004E13A5" w:rsidRDefault="00681463">
      <w:pPr>
        <w:pStyle w:val="BodyText"/>
        <w:tabs>
          <w:tab w:val="left" w:pos="2332"/>
          <w:tab w:val="left" w:leader="dot" w:pos="9221"/>
        </w:tabs>
        <w:spacing w:before="0"/>
        <w:ind w:left="1367"/>
      </w:pPr>
      <w:r>
        <w:t>2-II.G.</w:t>
      </w:r>
      <w:r>
        <w:tab/>
        <w:t>Physical</w:t>
      </w:r>
      <w:r>
        <w:rPr>
          <w:spacing w:val="-1"/>
        </w:rPr>
        <w:t xml:space="preserve"> </w:t>
      </w:r>
      <w:r>
        <w:t>Accessibility</w:t>
      </w:r>
      <w:r>
        <w:tab/>
        <w:t>49</w:t>
      </w:r>
    </w:p>
    <w:p w:rsidR="004E13A5" w:rsidRDefault="00681463">
      <w:pPr>
        <w:pStyle w:val="BodyText"/>
        <w:tabs>
          <w:tab w:val="left" w:pos="2332"/>
          <w:tab w:val="left" w:leader="dot" w:pos="9221"/>
        </w:tabs>
        <w:spacing w:before="0"/>
        <w:ind w:left="1367"/>
      </w:pPr>
      <w:r>
        <w:t>2-II.H.</w:t>
      </w:r>
      <w:r>
        <w:tab/>
        <w:t>Denial or Termination</w:t>
      </w:r>
      <w:r>
        <w:rPr>
          <w:spacing w:val="-3"/>
        </w:rPr>
        <w:t xml:space="preserve"> </w:t>
      </w:r>
      <w:r>
        <w:t>of</w:t>
      </w:r>
      <w:r>
        <w:rPr>
          <w:spacing w:val="1"/>
        </w:rPr>
        <w:t xml:space="preserve"> </w:t>
      </w:r>
      <w:r>
        <w:t>Assistance</w:t>
      </w:r>
      <w:r>
        <w:tab/>
        <w:t>49</w:t>
      </w:r>
    </w:p>
    <w:p w:rsidR="004E13A5" w:rsidRDefault="00681463">
      <w:pPr>
        <w:pStyle w:val="BodyText"/>
        <w:tabs>
          <w:tab w:val="left" w:pos="1360"/>
          <w:tab w:val="left" w:leader="dot" w:pos="9221"/>
        </w:tabs>
        <w:ind w:left="1396" w:right="117" w:hanging="1296"/>
      </w:pPr>
      <w:r>
        <w:t>PART</w:t>
      </w:r>
      <w:r>
        <w:rPr>
          <w:spacing w:val="-1"/>
        </w:rPr>
        <w:t xml:space="preserve"> </w:t>
      </w:r>
      <w:r>
        <w:t>III:</w:t>
      </w:r>
      <w:r>
        <w:tab/>
        <w:t>IMPROVING ACCESS TO SERVICES FOR PERSONS</w:t>
      </w:r>
      <w:r>
        <w:rPr>
          <w:spacing w:val="-18"/>
        </w:rPr>
        <w:t xml:space="preserve"> </w:t>
      </w:r>
      <w:r>
        <w:t>WITH</w:t>
      </w:r>
      <w:r>
        <w:rPr>
          <w:spacing w:val="-2"/>
        </w:rPr>
        <w:t xml:space="preserve"> </w:t>
      </w:r>
      <w:r>
        <w:t>LIMITED</w:t>
      </w:r>
      <w:r>
        <w:rPr>
          <w:w w:val="99"/>
        </w:rPr>
        <w:t xml:space="preserve"> </w:t>
      </w:r>
      <w:r>
        <w:t>ENGLISH</w:t>
      </w:r>
      <w:r>
        <w:rPr>
          <w:spacing w:val="-3"/>
        </w:rPr>
        <w:t xml:space="preserve"> </w:t>
      </w:r>
      <w:r>
        <w:t>PROFICIENCY</w:t>
      </w:r>
      <w:r>
        <w:rPr>
          <w:spacing w:val="-3"/>
        </w:rPr>
        <w:t xml:space="preserve"> </w:t>
      </w:r>
      <w:r>
        <w:t>(LEP)</w:t>
      </w:r>
      <w:r>
        <w:tab/>
        <w:t>50</w:t>
      </w:r>
    </w:p>
    <w:p w:rsidR="004E13A5" w:rsidRDefault="00681463">
      <w:pPr>
        <w:pStyle w:val="BodyText"/>
        <w:tabs>
          <w:tab w:val="left" w:pos="2332"/>
          <w:tab w:val="left" w:leader="dot" w:pos="9221"/>
        </w:tabs>
        <w:spacing w:before="0"/>
        <w:ind w:left="1367"/>
      </w:pPr>
      <w:r>
        <w:t>2-III.A.</w:t>
      </w:r>
      <w:r>
        <w:tab/>
        <w:t>Overview</w:t>
      </w:r>
      <w:r>
        <w:tab/>
        <w:t>50</w:t>
      </w:r>
    </w:p>
    <w:p w:rsidR="004E13A5" w:rsidRDefault="00681463">
      <w:pPr>
        <w:pStyle w:val="BodyText"/>
        <w:tabs>
          <w:tab w:val="left" w:pos="2332"/>
          <w:tab w:val="left" w:leader="dot" w:pos="9221"/>
        </w:tabs>
        <w:spacing w:before="0"/>
        <w:ind w:left="1367"/>
      </w:pPr>
      <w:r>
        <w:t>2-III.B.</w:t>
      </w:r>
      <w:r>
        <w:tab/>
        <w:t>Oral Interpretation</w:t>
      </w:r>
      <w:r>
        <w:tab/>
        <w:t>50</w:t>
      </w:r>
    </w:p>
    <w:p w:rsidR="004E13A5" w:rsidRDefault="00681463">
      <w:pPr>
        <w:pStyle w:val="BodyText"/>
        <w:tabs>
          <w:tab w:val="left" w:pos="2332"/>
          <w:tab w:val="left" w:leader="dot" w:pos="9221"/>
        </w:tabs>
        <w:spacing w:before="0"/>
        <w:ind w:left="1367"/>
      </w:pPr>
      <w:r>
        <w:t>2-III.C.</w:t>
      </w:r>
      <w:r>
        <w:tab/>
        <w:t>Written</w:t>
      </w:r>
      <w:r>
        <w:rPr>
          <w:spacing w:val="-1"/>
        </w:rPr>
        <w:t xml:space="preserve"> </w:t>
      </w:r>
      <w:r>
        <w:t>Translation</w:t>
      </w:r>
      <w:r>
        <w:tab/>
        <w:t>51</w:t>
      </w:r>
    </w:p>
    <w:p w:rsidR="004E13A5" w:rsidRDefault="00681463">
      <w:pPr>
        <w:pStyle w:val="BodyText"/>
        <w:tabs>
          <w:tab w:val="left" w:pos="2332"/>
          <w:tab w:val="left" w:leader="dot" w:pos="9221"/>
        </w:tabs>
        <w:spacing w:before="0"/>
        <w:ind w:left="1367"/>
      </w:pPr>
      <w:r>
        <w:t>2-III.D.</w:t>
      </w:r>
      <w:r>
        <w:tab/>
        <w:t>Implementation</w:t>
      </w:r>
      <w:r>
        <w:rPr>
          <w:spacing w:val="-2"/>
        </w:rPr>
        <w:t xml:space="preserve"> </w:t>
      </w:r>
      <w:r>
        <w:t>Plan</w:t>
      </w:r>
      <w:r>
        <w:tab/>
        <w:t>51</w:t>
      </w:r>
    </w:p>
    <w:p w:rsidR="004E13A5" w:rsidRDefault="00681463">
      <w:pPr>
        <w:pStyle w:val="BodyText"/>
        <w:spacing w:before="120"/>
      </w:pPr>
      <w:r>
        <w:t>Exhibit 2-1:  Definition of a Person with a Disability Under</w:t>
      </w:r>
    </w:p>
    <w:p w:rsidR="004E13A5" w:rsidRDefault="00681463">
      <w:pPr>
        <w:pStyle w:val="BodyText"/>
        <w:tabs>
          <w:tab w:val="left" w:leader="dot" w:pos="9221"/>
        </w:tabs>
        <w:spacing w:before="0"/>
        <w:ind w:left="1396"/>
      </w:pPr>
      <w:r>
        <w:t>Federal Civil Rights Laws [24 CFR Parts 8.3,</w:t>
      </w:r>
      <w:r>
        <w:rPr>
          <w:spacing w:val="-5"/>
        </w:rPr>
        <w:t xml:space="preserve"> </w:t>
      </w:r>
      <w:r>
        <w:t>and</w:t>
      </w:r>
      <w:r>
        <w:rPr>
          <w:spacing w:val="-2"/>
        </w:rPr>
        <w:t xml:space="preserve"> </w:t>
      </w:r>
      <w:r>
        <w:t>100.201]</w:t>
      </w:r>
      <w:r>
        <w:tab/>
        <w:t>52</w:t>
      </w:r>
    </w:p>
    <w:p w:rsidR="004E13A5" w:rsidRDefault="00681463">
      <w:pPr>
        <w:pStyle w:val="Heading4"/>
        <w:spacing w:before="516"/>
        <w:ind w:left="4012" w:right="4029" w:hanging="5"/>
        <w:jc w:val="center"/>
      </w:pPr>
      <w:r>
        <w:t>Chapter 3 ELIGIBILITY</w:t>
      </w:r>
    </w:p>
    <w:p w:rsidR="004E13A5" w:rsidRDefault="00681463">
      <w:pPr>
        <w:pStyle w:val="BodyText"/>
        <w:tabs>
          <w:tab w:val="left" w:pos="1360"/>
          <w:tab w:val="left" w:leader="dot" w:pos="9221"/>
        </w:tabs>
        <w:spacing w:before="120"/>
      </w:pPr>
      <w:r>
        <w:t>PART</w:t>
      </w:r>
      <w:r>
        <w:rPr>
          <w:spacing w:val="1"/>
        </w:rPr>
        <w:t xml:space="preserve"> </w:t>
      </w:r>
      <w:r>
        <w:rPr>
          <w:spacing w:val="-3"/>
        </w:rPr>
        <w:t>I:</w:t>
      </w:r>
      <w:r>
        <w:rPr>
          <w:spacing w:val="-3"/>
        </w:rPr>
        <w:tab/>
      </w:r>
      <w:r>
        <w:t>DEFINITIONS OF FAMILY AND</w:t>
      </w:r>
      <w:r>
        <w:rPr>
          <w:spacing w:val="-4"/>
        </w:rPr>
        <w:t xml:space="preserve"> </w:t>
      </w:r>
      <w:r>
        <w:t>HOUSEHOLD</w:t>
      </w:r>
      <w:r>
        <w:rPr>
          <w:spacing w:val="-4"/>
        </w:rPr>
        <w:t xml:space="preserve"> </w:t>
      </w:r>
      <w:r>
        <w:t>MEMBERS</w:t>
      </w:r>
      <w:r>
        <w:tab/>
        <w:t>54</w:t>
      </w:r>
    </w:p>
    <w:p w:rsidR="004E13A5" w:rsidRDefault="00681463">
      <w:pPr>
        <w:pStyle w:val="BodyText"/>
        <w:tabs>
          <w:tab w:val="left" w:pos="2332"/>
          <w:tab w:val="left" w:leader="dot" w:pos="9221"/>
        </w:tabs>
        <w:spacing w:before="0"/>
        <w:ind w:left="1367"/>
      </w:pPr>
      <w:r>
        <w:t>3-I.A.</w:t>
      </w:r>
      <w:r>
        <w:tab/>
        <w:t>Overview</w:t>
      </w:r>
      <w:r>
        <w:tab/>
        <w:t>54</w:t>
      </w:r>
    </w:p>
    <w:p w:rsidR="004E13A5" w:rsidRDefault="00681463">
      <w:pPr>
        <w:pStyle w:val="BodyText"/>
        <w:tabs>
          <w:tab w:val="left" w:pos="2332"/>
        </w:tabs>
        <w:spacing w:before="0"/>
        <w:ind w:left="1367"/>
      </w:pPr>
      <w:r>
        <w:t>3-I.B.</w:t>
      </w:r>
      <w:r>
        <w:tab/>
        <w:t>Family and Household [24 CFR 982.201(c); FR Notice</w:t>
      </w:r>
      <w:r>
        <w:rPr>
          <w:spacing w:val="-13"/>
        </w:rPr>
        <w:t xml:space="preserve"> </w:t>
      </w:r>
      <w:r>
        <w:t>02/03/12;</w:t>
      </w:r>
    </w:p>
    <w:p w:rsidR="004E13A5" w:rsidRDefault="00681463">
      <w:pPr>
        <w:pStyle w:val="BodyText"/>
        <w:tabs>
          <w:tab w:val="left" w:leader="dot" w:pos="9221"/>
        </w:tabs>
        <w:spacing w:before="0"/>
        <w:ind w:left="2332"/>
      </w:pPr>
      <w:r>
        <w:t>Notice</w:t>
      </w:r>
      <w:r>
        <w:rPr>
          <w:spacing w:val="-3"/>
        </w:rPr>
        <w:t xml:space="preserve"> </w:t>
      </w:r>
      <w:r>
        <w:t>PIH</w:t>
      </w:r>
      <w:r>
        <w:rPr>
          <w:spacing w:val="-1"/>
        </w:rPr>
        <w:t xml:space="preserve"> </w:t>
      </w:r>
      <w:r>
        <w:t>2014-20]</w:t>
      </w:r>
      <w:r>
        <w:tab/>
        <w:t>55</w:t>
      </w:r>
    </w:p>
    <w:p w:rsidR="004E13A5" w:rsidRDefault="00681463">
      <w:pPr>
        <w:pStyle w:val="BodyText"/>
        <w:tabs>
          <w:tab w:val="left" w:leader="dot" w:pos="9221"/>
        </w:tabs>
        <w:spacing w:before="0"/>
        <w:ind w:left="2693"/>
      </w:pPr>
      <w:r>
        <w:t>Family</w:t>
      </w:r>
      <w:r>
        <w:tab/>
        <w:t>55</w:t>
      </w:r>
    </w:p>
    <w:p w:rsidR="004E13A5" w:rsidRDefault="00681463">
      <w:pPr>
        <w:pStyle w:val="BodyText"/>
        <w:tabs>
          <w:tab w:val="left" w:leader="dot" w:pos="9221"/>
        </w:tabs>
        <w:spacing w:before="0"/>
        <w:ind w:left="2693"/>
      </w:pPr>
      <w:r>
        <w:t>Household</w:t>
      </w:r>
      <w:r>
        <w:tab/>
        <w:t>55</w:t>
      </w:r>
    </w:p>
    <w:p w:rsidR="004E13A5" w:rsidRDefault="00681463">
      <w:pPr>
        <w:pStyle w:val="BodyText"/>
        <w:tabs>
          <w:tab w:val="left" w:pos="2332"/>
          <w:tab w:val="left" w:leader="dot" w:pos="9221"/>
        </w:tabs>
        <w:spacing w:before="0"/>
        <w:ind w:left="1367"/>
      </w:pPr>
      <w:r>
        <w:t>3-I.C.</w:t>
      </w:r>
      <w:r>
        <w:tab/>
        <w:t>Family Breakup and Remaining Member of</w:t>
      </w:r>
      <w:r>
        <w:rPr>
          <w:spacing w:val="-6"/>
        </w:rPr>
        <w:t xml:space="preserve"> </w:t>
      </w:r>
      <w:r>
        <w:t>Tenant Family</w:t>
      </w:r>
      <w:r>
        <w:tab/>
        <w:t>55</w:t>
      </w:r>
    </w:p>
    <w:p w:rsidR="004E13A5" w:rsidRDefault="00681463">
      <w:pPr>
        <w:pStyle w:val="BodyText"/>
        <w:tabs>
          <w:tab w:val="left" w:leader="dot" w:pos="9221"/>
        </w:tabs>
        <w:spacing w:before="0"/>
        <w:ind w:left="2693"/>
      </w:pPr>
      <w:r>
        <w:t>Family Breakup [24</w:t>
      </w:r>
      <w:r>
        <w:rPr>
          <w:spacing w:val="-6"/>
        </w:rPr>
        <w:t xml:space="preserve"> </w:t>
      </w:r>
      <w:r>
        <w:t>CFR</w:t>
      </w:r>
      <w:r>
        <w:rPr>
          <w:spacing w:val="1"/>
        </w:rPr>
        <w:t xml:space="preserve"> </w:t>
      </w:r>
      <w:r>
        <w:t>982.315]</w:t>
      </w:r>
      <w:r>
        <w:tab/>
        <w:t>55</w:t>
      </w:r>
    </w:p>
    <w:p w:rsidR="004E13A5" w:rsidRDefault="00681463">
      <w:pPr>
        <w:pStyle w:val="BodyText"/>
        <w:tabs>
          <w:tab w:val="left" w:leader="dot" w:pos="9221"/>
        </w:tabs>
        <w:spacing w:before="0"/>
        <w:ind w:left="2693"/>
      </w:pPr>
      <w:r>
        <w:t>Remaining Member of a Tenant Family [24</w:t>
      </w:r>
      <w:r>
        <w:rPr>
          <w:spacing w:val="-9"/>
        </w:rPr>
        <w:t xml:space="preserve"> </w:t>
      </w:r>
      <w:r>
        <w:t>CFR</w:t>
      </w:r>
      <w:r>
        <w:rPr>
          <w:spacing w:val="-1"/>
        </w:rPr>
        <w:t xml:space="preserve"> </w:t>
      </w:r>
      <w:r>
        <w:t>5.403]</w:t>
      </w:r>
      <w:r>
        <w:tab/>
        <w:t>56</w:t>
      </w:r>
    </w:p>
    <w:p w:rsidR="004E13A5" w:rsidRDefault="00681463">
      <w:pPr>
        <w:pStyle w:val="BodyText"/>
        <w:tabs>
          <w:tab w:val="left" w:pos="2332"/>
          <w:tab w:val="left" w:leader="dot" w:pos="9221"/>
        </w:tabs>
        <w:spacing w:before="0"/>
        <w:ind w:left="1367"/>
      </w:pPr>
      <w:r>
        <w:t>3-I.D.</w:t>
      </w:r>
      <w:r>
        <w:tab/>
        <w:t>Head of Household [24</w:t>
      </w:r>
      <w:r>
        <w:rPr>
          <w:spacing w:val="-2"/>
        </w:rPr>
        <w:t xml:space="preserve"> </w:t>
      </w:r>
      <w:r>
        <w:t>CFR</w:t>
      </w:r>
      <w:r>
        <w:rPr>
          <w:spacing w:val="-1"/>
        </w:rPr>
        <w:t xml:space="preserve"> </w:t>
      </w:r>
      <w:r>
        <w:t>5.504(b)]</w:t>
      </w:r>
      <w:r>
        <w:tab/>
        <w:t>56</w:t>
      </w:r>
    </w:p>
    <w:p w:rsidR="004E13A5" w:rsidRDefault="00681463">
      <w:pPr>
        <w:pStyle w:val="BodyText"/>
        <w:tabs>
          <w:tab w:val="left" w:pos="2332"/>
          <w:tab w:val="left" w:leader="dot" w:pos="9221"/>
        </w:tabs>
        <w:spacing w:before="0"/>
        <w:ind w:left="1367"/>
      </w:pPr>
      <w:r>
        <w:t>3-I.E.</w:t>
      </w:r>
      <w:r>
        <w:tab/>
        <w:t>Spouse, Co-head, and</w:t>
      </w:r>
      <w:r>
        <w:rPr>
          <w:spacing w:val="-3"/>
        </w:rPr>
        <w:t xml:space="preserve"> </w:t>
      </w:r>
      <w:r>
        <w:t>Other</w:t>
      </w:r>
      <w:r>
        <w:rPr>
          <w:spacing w:val="-1"/>
        </w:rPr>
        <w:t xml:space="preserve"> </w:t>
      </w:r>
      <w:r>
        <w:t>Adult</w:t>
      </w:r>
      <w:r>
        <w:tab/>
        <w:t>56</w:t>
      </w:r>
    </w:p>
    <w:p w:rsidR="004E13A5" w:rsidRDefault="00681463">
      <w:pPr>
        <w:pStyle w:val="BodyText"/>
        <w:tabs>
          <w:tab w:val="left" w:pos="2332"/>
          <w:tab w:val="left" w:leader="dot" w:pos="9221"/>
        </w:tabs>
        <w:spacing w:before="0"/>
        <w:ind w:left="1367"/>
      </w:pPr>
      <w:r>
        <w:t>3-I.F.</w:t>
      </w:r>
      <w:r>
        <w:tab/>
        <w:t>Dependent [24</w:t>
      </w:r>
      <w:r>
        <w:rPr>
          <w:spacing w:val="-1"/>
        </w:rPr>
        <w:t xml:space="preserve"> </w:t>
      </w:r>
      <w:r>
        <w:t>CFR</w:t>
      </w:r>
      <w:r>
        <w:rPr>
          <w:spacing w:val="-1"/>
        </w:rPr>
        <w:t xml:space="preserve"> </w:t>
      </w:r>
      <w:r>
        <w:t>5.603]</w:t>
      </w:r>
      <w:r>
        <w:tab/>
        <w:t>57</w:t>
      </w:r>
    </w:p>
    <w:p w:rsidR="004E13A5" w:rsidRDefault="00681463">
      <w:pPr>
        <w:pStyle w:val="BodyText"/>
        <w:tabs>
          <w:tab w:val="left" w:leader="dot" w:pos="9221"/>
        </w:tabs>
        <w:spacing w:before="0"/>
        <w:ind w:left="2693"/>
      </w:pPr>
      <w:r>
        <w:t>Joint Custody</w:t>
      </w:r>
      <w:r>
        <w:rPr>
          <w:spacing w:val="-8"/>
        </w:rPr>
        <w:t xml:space="preserve"> </w:t>
      </w:r>
      <w:r>
        <w:t>of Dependents</w:t>
      </w:r>
      <w:r>
        <w:tab/>
        <w:t>57</w:t>
      </w:r>
    </w:p>
    <w:p w:rsidR="004E13A5" w:rsidRDefault="00681463">
      <w:pPr>
        <w:pStyle w:val="BodyText"/>
        <w:tabs>
          <w:tab w:val="left" w:pos="2332"/>
          <w:tab w:val="left" w:leader="dot" w:pos="9221"/>
        </w:tabs>
        <w:spacing w:before="0"/>
        <w:ind w:left="1367"/>
      </w:pPr>
      <w:r>
        <w:t>3-I.G.</w:t>
      </w:r>
      <w:r>
        <w:tab/>
        <w:t>Full-Time Student [24 CFR 5.603, HVC GB,</w:t>
      </w:r>
      <w:r>
        <w:rPr>
          <w:spacing w:val="-5"/>
        </w:rPr>
        <w:t xml:space="preserve"> </w:t>
      </w:r>
      <w:r>
        <w:t>p.</w:t>
      </w:r>
      <w:r>
        <w:rPr>
          <w:spacing w:val="-1"/>
        </w:rPr>
        <w:t xml:space="preserve"> </w:t>
      </w:r>
      <w:r>
        <w:t>5-29]</w:t>
      </w:r>
      <w:r>
        <w:tab/>
        <w:t>57</w:t>
      </w:r>
    </w:p>
    <w:p w:rsidR="004E13A5" w:rsidRDefault="00681463">
      <w:pPr>
        <w:pStyle w:val="BodyText"/>
        <w:tabs>
          <w:tab w:val="left" w:pos="2332"/>
        </w:tabs>
        <w:spacing w:before="0"/>
        <w:ind w:left="1367"/>
      </w:pPr>
      <w:r>
        <w:t>3-I.H.</w:t>
      </w:r>
      <w:r>
        <w:tab/>
        <w:t>Elderly and Near-Elderly Persons, and Elderly</w:t>
      </w:r>
      <w:r>
        <w:rPr>
          <w:spacing w:val="-7"/>
        </w:rPr>
        <w:t xml:space="preserve"> </w:t>
      </w:r>
      <w:r>
        <w:t>Family</w:t>
      </w:r>
    </w:p>
    <w:p w:rsidR="004E13A5" w:rsidRDefault="00681463">
      <w:pPr>
        <w:pStyle w:val="BodyText"/>
        <w:tabs>
          <w:tab w:val="left" w:leader="dot" w:pos="9221"/>
        </w:tabs>
        <w:spacing w:before="0"/>
        <w:ind w:left="2332"/>
      </w:pPr>
      <w:r>
        <w:t>[24 CFR 5.100 and 5.403, FR</w:t>
      </w:r>
      <w:r>
        <w:rPr>
          <w:spacing w:val="-2"/>
        </w:rPr>
        <w:t xml:space="preserve"> </w:t>
      </w:r>
      <w:r>
        <w:t>Notice</w:t>
      </w:r>
      <w:r>
        <w:rPr>
          <w:spacing w:val="-3"/>
        </w:rPr>
        <w:t xml:space="preserve"> </w:t>
      </w:r>
      <w:r>
        <w:t>02/03/12]</w:t>
      </w:r>
      <w:r>
        <w:tab/>
        <w:t>58</w:t>
      </w:r>
    </w:p>
    <w:p w:rsidR="004E13A5" w:rsidRDefault="00681463">
      <w:pPr>
        <w:pStyle w:val="BodyText"/>
        <w:tabs>
          <w:tab w:val="left" w:leader="dot" w:pos="9221"/>
        </w:tabs>
        <w:spacing w:before="0"/>
        <w:ind w:left="2693"/>
      </w:pPr>
      <w:r>
        <w:t>Elderly</w:t>
      </w:r>
      <w:r>
        <w:rPr>
          <w:spacing w:val="-5"/>
        </w:rPr>
        <w:t xml:space="preserve"> </w:t>
      </w:r>
      <w:r>
        <w:t>Persons</w:t>
      </w:r>
      <w:r>
        <w:tab/>
        <w:t>58</w:t>
      </w:r>
    </w:p>
    <w:p w:rsidR="004E13A5" w:rsidRDefault="00681463">
      <w:pPr>
        <w:pStyle w:val="BodyText"/>
        <w:tabs>
          <w:tab w:val="left" w:leader="dot" w:pos="9221"/>
        </w:tabs>
        <w:spacing w:before="0"/>
        <w:ind w:left="2693"/>
      </w:pPr>
      <w:r>
        <w:t>Near-Elderly</w:t>
      </w:r>
      <w:r>
        <w:rPr>
          <w:spacing w:val="-6"/>
        </w:rPr>
        <w:t xml:space="preserve"> </w:t>
      </w:r>
      <w:r>
        <w:t>Persons</w:t>
      </w:r>
      <w:r>
        <w:tab/>
        <w:t>58</w:t>
      </w:r>
    </w:p>
    <w:p w:rsidR="004E13A5" w:rsidRDefault="00681463">
      <w:pPr>
        <w:pStyle w:val="BodyText"/>
        <w:tabs>
          <w:tab w:val="left" w:leader="dot" w:pos="9221"/>
        </w:tabs>
        <w:spacing w:before="0"/>
        <w:ind w:left="2693"/>
      </w:pPr>
      <w:r>
        <w:t>Elderly</w:t>
      </w:r>
      <w:r>
        <w:rPr>
          <w:spacing w:val="-3"/>
        </w:rPr>
        <w:t xml:space="preserve"> </w:t>
      </w:r>
      <w:r>
        <w:t>Family</w:t>
      </w:r>
      <w:r>
        <w:tab/>
        <w:t>58</w:t>
      </w:r>
    </w:p>
    <w:p w:rsidR="004E13A5" w:rsidRDefault="00681463">
      <w:pPr>
        <w:pStyle w:val="BodyText"/>
        <w:tabs>
          <w:tab w:val="left" w:pos="2332"/>
        </w:tabs>
        <w:spacing w:before="0"/>
        <w:ind w:left="1367"/>
      </w:pPr>
      <w:r>
        <w:t>3-I.I.</w:t>
      </w:r>
      <w:r>
        <w:tab/>
        <w:t>Persons with Disabilities and Disabled Family [24 CFR</w:t>
      </w:r>
      <w:r>
        <w:rPr>
          <w:spacing w:val="-8"/>
        </w:rPr>
        <w:t xml:space="preserve"> </w:t>
      </w:r>
      <w:r>
        <w:t>5.403,</w:t>
      </w:r>
    </w:p>
    <w:p w:rsidR="004E13A5" w:rsidRDefault="00681463">
      <w:pPr>
        <w:pStyle w:val="BodyText"/>
        <w:tabs>
          <w:tab w:val="left" w:leader="dot" w:pos="9221"/>
        </w:tabs>
        <w:spacing w:before="0"/>
        <w:ind w:left="2332"/>
      </w:pPr>
      <w:r>
        <w:t>FR</w:t>
      </w:r>
      <w:r>
        <w:rPr>
          <w:spacing w:val="-1"/>
        </w:rPr>
        <w:t xml:space="preserve"> </w:t>
      </w:r>
      <w:r>
        <w:t>Notice</w:t>
      </w:r>
      <w:r>
        <w:rPr>
          <w:spacing w:val="-2"/>
        </w:rPr>
        <w:t xml:space="preserve"> </w:t>
      </w:r>
      <w:r>
        <w:t>02/03/12]</w:t>
      </w:r>
      <w:r>
        <w:tab/>
        <w:t>58</w:t>
      </w:r>
    </w:p>
    <w:p w:rsidR="004E13A5" w:rsidRDefault="00681463">
      <w:pPr>
        <w:pStyle w:val="BodyText"/>
        <w:tabs>
          <w:tab w:val="left" w:leader="dot" w:pos="9221"/>
        </w:tabs>
        <w:spacing w:before="0"/>
        <w:ind w:left="2693"/>
      </w:pPr>
      <w:r>
        <w:t>Persons</w:t>
      </w:r>
      <w:r>
        <w:rPr>
          <w:spacing w:val="-1"/>
        </w:rPr>
        <w:t xml:space="preserve"> </w:t>
      </w:r>
      <w:r>
        <w:t>with</w:t>
      </w:r>
      <w:r>
        <w:rPr>
          <w:spacing w:val="-1"/>
        </w:rPr>
        <w:t xml:space="preserve"> </w:t>
      </w:r>
      <w:r>
        <w:t>Disabilities</w:t>
      </w:r>
      <w:r>
        <w:tab/>
        <w:t>58</w:t>
      </w:r>
    </w:p>
    <w:p w:rsidR="004E13A5" w:rsidRDefault="00681463">
      <w:pPr>
        <w:pStyle w:val="BodyText"/>
        <w:tabs>
          <w:tab w:val="left" w:leader="dot" w:pos="9221"/>
        </w:tabs>
        <w:spacing w:before="0"/>
        <w:ind w:left="2693"/>
      </w:pPr>
      <w:r>
        <w:t>Disabled Family</w:t>
      </w:r>
      <w:r>
        <w:tab/>
        <w:t>58</w:t>
      </w:r>
    </w:p>
    <w:p w:rsidR="004E13A5" w:rsidRDefault="00681463">
      <w:pPr>
        <w:pStyle w:val="BodyText"/>
        <w:tabs>
          <w:tab w:val="left" w:pos="2332"/>
          <w:tab w:val="left" w:leader="dot" w:pos="9221"/>
        </w:tabs>
        <w:spacing w:before="0"/>
        <w:ind w:left="1367"/>
      </w:pPr>
      <w:r>
        <w:t>3-I.J.</w:t>
      </w:r>
      <w:r>
        <w:tab/>
        <w:t>Guests [24</w:t>
      </w:r>
      <w:r>
        <w:rPr>
          <w:spacing w:val="-1"/>
        </w:rPr>
        <w:t xml:space="preserve"> </w:t>
      </w:r>
      <w:r>
        <w:t>CFR</w:t>
      </w:r>
      <w:r>
        <w:rPr>
          <w:spacing w:val="-1"/>
        </w:rPr>
        <w:t xml:space="preserve"> </w:t>
      </w:r>
      <w:r>
        <w:t>5.100]</w:t>
      </w:r>
      <w:r>
        <w:tab/>
        <w:t>58</w:t>
      </w:r>
    </w:p>
    <w:p w:rsidR="004E13A5" w:rsidRDefault="00681463">
      <w:pPr>
        <w:pStyle w:val="BodyText"/>
        <w:tabs>
          <w:tab w:val="left" w:pos="2332"/>
          <w:tab w:val="left" w:leader="dot" w:pos="9221"/>
        </w:tabs>
        <w:spacing w:before="0"/>
        <w:ind w:left="1367"/>
      </w:pPr>
      <w:r>
        <w:t>3-I.K.</w:t>
      </w:r>
      <w:r>
        <w:tab/>
        <w:t>Foster Children and</w:t>
      </w:r>
      <w:r>
        <w:rPr>
          <w:spacing w:val="-2"/>
        </w:rPr>
        <w:t xml:space="preserve"> </w:t>
      </w:r>
      <w:r>
        <w:t>Foster</w:t>
      </w:r>
      <w:r>
        <w:rPr>
          <w:spacing w:val="-2"/>
        </w:rPr>
        <w:t xml:space="preserve"> </w:t>
      </w:r>
      <w:r>
        <w:t>Adults</w:t>
      </w:r>
      <w:r>
        <w:tab/>
        <w:t>59</w:t>
      </w:r>
    </w:p>
    <w:p w:rsidR="004E13A5" w:rsidRDefault="00681463">
      <w:pPr>
        <w:pStyle w:val="BodyText"/>
        <w:tabs>
          <w:tab w:val="left" w:pos="2332"/>
          <w:tab w:val="left" w:leader="dot" w:pos="9221"/>
        </w:tabs>
        <w:spacing w:before="0"/>
        <w:ind w:left="1367"/>
      </w:pPr>
      <w:r>
        <w:t>3-I.L.</w:t>
      </w:r>
      <w:r>
        <w:tab/>
        <w:t>Absent</w:t>
      </w:r>
      <w:r>
        <w:rPr>
          <w:spacing w:val="-1"/>
        </w:rPr>
        <w:t xml:space="preserve"> </w:t>
      </w:r>
      <w:r>
        <w:t>Family</w:t>
      </w:r>
      <w:r>
        <w:rPr>
          <w:spacing w:val="-6"/>
        </w:rPr>
        <w:t xml:space="preserve"> </w:t>
      </w:r>
      <w:r>
        <w:t>Members</w:t>
      </w:r>
      <w:r>
        <w:tab/>
        <w:t>59</w:t>
      </w:r>
    </w:p>
    <w:p w:rsidR="004E13A5" w:rsidRDefault="00681463">
      <w:pPr>
        <w:pStyle w:val="BodyText"/>
        <w:tabs>
          <w:tab w:val="left" w:leader="dot" w:pos="9221"/>
        </w:tabs>
        <w:spacing w:before="0"/>
        <w:ind w:left="2693"/>
      </w:pPr>
      <w:r>
        <w:t>Definitions of Temporarily and</w:t>
      </w:r>
      <w:r>
        <w:rPr>
          <w:spacing w:val="-4"/>
        </w:rPr>
        <w:t xml:space="preserve"> </w:t>
      </w:r>
      <w:r>
        <w:t>Permanently</w:t>
      </w:r>
      <w:r>
        <w:rPr>
          <w:spacing w:val="-5"/>
        </w:rPr>
        <w:t xml:space="preserve"> </w:t>
      </w:r>
      <w:r>
        <w:t>Absent</w:t>
      </w:r>
      <w:r>
        <w:tab/>
        <w:t>59</w:t>
      </w:r>
    </w:p>
    <w:p w:rsidR="004E13A5" w:rsidRDefault="004E13A5">
      <w:pPr>
        <w:sectPr w:rsidR="004E13A5">
          <w:pgSz w:w="12240" w:h="15840"/>
          <w:pgMar w:top="1360" w:right="1320" w:bottom="640" w:left="1340" w:header="0" w:footer="381" w:gutter="0"/>
          <w:cols w:space="720"/>
        </w:sectPr>
      </w:pPr>
    </w:p>
    <w:p w:rsidR="004E13A5" w:rsidRDefault="00681463">
      <w:pPr>
        <w:pStyle w:val="BodyText"/>
        <w:tabs>
          <w:tab w:val="right" w:leader="dot" w:pos="9461"/>
        </w:tabs>
        <w:spacing w:before="79"/>
        <w:ind w:left="2693"/>
      </w:pPr>
      <w:r>
        <w:lastRenderedPageBreak/>
        <w:t>Absent</w:t>
      </w:r>
      <w:r>
        <w:rPr>
          <w:spacing w:val="-1"/>
        </w:rPr>
        <w:t xml:space="preserve"> </w:t>
      </w:r>
      <w:r>
        <w:t>Students</w:t>
      </w:r>
      <w:r>
        <w:tab/>
        <w:t>59</w:t>
      </w:r>
    </w:p>
    <w:p w:rsidR="004E13A5" w:rsidRDefault="00681463">
      <w:pPr>
        <w:pStyle w:val="BodyText"/>
        <w:tabs>
          <w:tab w:val="right" w:leader="dot" w:pos="9461"/>
        </w:tabs>
        <w:spacing w:before="0"/>
        <w:ind w:left="2693"/>
      </w:pPr>
      <w:r>
        <w:t>Absences Due to Placement in Foster Care [24</w:t>
      </w:r>
      <w:r>
        <w:rPr>
          <w:spacing w:val="-5"/>
        </w:rPr>
        <w:t xml:space="preserve"> </w:t>
      </w:r>
      <w:r>
        <w:t>CFR</w:t>
      </w:r>
      <w:r>
        <w:rPr>
          <w:spacing w:val="-1"/>
        </w:rPr>
        <w:t xml:space="preserve"> </w:t>
      </w:r>
      <w:r>
        <w:t>5.403]</w:t>
      </w:r>
      <w:r>
        <w:tab/>
        <w:t>60</w:t>
      </w:r>
    </w:p>
    <w:p w:rsidR="004E13A5" w:rsidRDefault="00681463">
      <w:pPr>
        <w:pStyle w:val="BodyText"/>
        <w:tabs>
          <w:tab w:val="right" w:leader="dot" w:pos="9461"/>
        </w:tabs>
        <w:spacing w:before="0"/>
        <w:ind w:left="2693"/>
      </w:pPr>
      <w:r>
        <w:t>Absent Head, Spouse,</w:t>
      </w:r>
      <w:r>
        <w:rPr>
          <w:spacing w:val="-1"/>
        </w:rPr>
        <w:t xml:space="preserve"> </w:t>
      </w:r>
      <w:r>
        <w:t>or Co-head</w:t>
      </w:r>
      <w:r>
        <w:tab/>
        <w:t>60</w:t>
      </w:r>
    </w:p>
    <w:p w:rsidR="004E13A5" w:rsidRDefault="00681463">
      <w:pPr>
        <w:pStyle w:val="BodyText"/>
        <w:spacing w:before="0"/>
        <w:ind w:left="2693"/>
      </w:pPr>
      <w:r>
        <w:t>Family Members Permanently Confined for Medical Reasons</w:t>
      </w:r>
    </w:p>
    <w:p w:rsidR="004E13A5" w:rsidRDefault="00681463">
      <w:pPr>
        <w:pStyle w:val="BodyText"/>
        <w:tabs>
          <w:tab w:val="right" w:leader="dot" w:pos="9461"/>
        </w:tabs>
        <w:spacing w:before="0"/>
        <w:ind w:left="2693"/>
      </w:pPr>
      <w:r>
        <w:t>[HCV GB,</w:t>
      </w:r>
      <w:r>
        <w:rPr>
          <w:spacing w:val="-1"/>
        </w:rPr>
        <w:t xml:space="preserve"> </w:t>
      </w:r>
      <w:r>
        <w:t>p.</w:t>
      </w:r>
      <w:r>
        <w:rPr>
          <w:spacing w:val="-1"/>
        </w:rPr>
        <w:t xml:space="preserve"> </w:t>
      </w:r>
      <w:r>
        <w:t>5-22]</w:t>
      </w:r>
      <w:r>
        <w:tab/>
        <w:t>60</w:t>
      </w:r>
    </w:p>
    <w:p w:rsidR="004E13A5" w:rsidRDefault="00681463">
      <w:pPr>
        <w:pStyle w:val="BodyText"/>
        <w:tabs>
          <w:tab w:val="right" w:leader="dot" w:pos="9461"/>
        </w:tabs>
        <w:spacing w:before="0"/>
        <w:ind w:left="2693"/>
      </w:pPr>
      <w:r>
        <w:t>Return of Permanently Absent</w:t>
      </w:r>
      <w:r>
        <w:rPr>
          <w:spacing w:val="-7"/>
        </w:rPr>
        <w:t xml:space="preserve"> </w:t>
      </w:r>
      <w:r>
        <w:t>Family</w:t>
      </w:r>
      <w:r>
        <w:rPr>
          <w:spacing w:val="-5"/>
        </w:rPr>
        <w:t xml:space="preserve"> </w:t>
      </w:r>
      <w:r>
        <w:t>Members</w:t>
      </w:r>
      <w:r>
        <w:tab/>
        <w:t>60</w:t>
      </w:r>
    </w:p>
    <w:p w:rsidR="004E13A5" w:rsidRDefault="00681463">
      <w:pPr>
        <w:pStyle w:val="BodyText"/>
        <w:tabs>
          <w:tab w:val="left" w:pos="2332"/>
          <w:tab w:val="right" w:leader="dot" w:pos="9461"/>
        </w:tabs>
        <w:spacing w:before="0"/>
        <w:ind w:left="1367"/>
      </w:pPr>
      <w:r>
        <w:t>3-I.M.</w:t>
      </w:r>
      <w:r>
        <w:tab/>
        <w:t>Live-In</w:t>
      </w:r>
      <w:r>
        <w:rPr>
          <w:spacing w:val="-1"/>
        </w:rPr>
        <w:t xml:space="preserve"> </w:t>
      </w:r>
      <w:r>
        <w:t>Aide</w:t>
      </w:r>
      <w:r>
        <w:tab/>
        <w:t>60</w:t>
      </w:r>
    </w:p>
    <w:p w:rsidR="004E13A5" w:rsidRDefault="00681463">
      <w:pPr>
        <w:pStyle w:val="BodyText"/>
        <w:tabs>
          <w:tab w:val="left" w:pos="1360"/>
          <w:tab w:val="right" w:leader="dot" w:pos="9461"/>
        </w:tabs>
      </w:pPr>
      <w:r>
        <w:t>PART</w:t>
      </w:r>
      <w:r>
        <w:rPr>
          <w:spacing w:val="2"/>
        </w:rPr>
        <w:t xml:space="preserve"> </w:t>
      </w:r>
      <w:r>
        <w:rPr>
          <w:spacing w:val="-3"/>
        </w:rPr>
        <w:t>II:</w:t>
      </w:r>
      <w:r>
        <w:rPr>
          <w:spacing w:val="-3"/>
        </w:rPr>
        <w:tab/>
      </w:r>
      <w:r>
        <w:t>BASIC</w:t>
      </w:r>
      <w:r>
        <w:rPr>
          <w:spacing w:val="-1"/>
        </w:rPr>
        <w:t xml:space="preserve"> </w:t>
      </w:r>
      <w:r>
        <w:t>ELIGIBILITY</w:t>
      </w:r>
      <w:r>
        <w:rPr>
          <w:spacing w:val="-2"/>
        </w:rPr>
        <w:t xml:space="preserve"> </w:t>
      </w:r>
      <w:r>
        <w:t>CRITERIA</w:t>
      </w:r>
      <w:r>
        <w:tab/>
        <w:t>61</w:t>
      </w:r>
    </w:p>
    <w:p w:rsidR="004E13A5" w:rsidRDefault="00681463">
      <w:pPr>
        <w:pStyle w:val="BodyText"/>
        <w:tabs>
          <w:tab w:val="left" w:pos="2332"/>
          <w:tab w:val="right" w:leader="dot" w:pos="9461"/>
        </w:tabs>
        <w:spacing w:before="0"/>
        <w:ind w:left="1367"/>
      </w:pPr>
      <w:r>
        <w:t>3-II.A.</w:t>
      </w:r>
      <w:r>
        <w:tab/>
        <w:t>Income Eligibility</w:t>
      </w:r>
      <w:r>
        <w:rPr>
          <w:spacing w:val="-7"/>
        </w:rPr>
        <w:t xml:space="preserve"> </w:t>
      </w:r>
      <w:r>
        <w:t>and</w:t>
      </w:r>
      <w:r>
        <w:rPr>
          <w:spacing w:val="-1"/>
        </w:rPr>
        <w:t xml:space="preserve"> </w:t>
      </w:r>
      <w:r>
        <w:t>Targeting</w:t>
      </w:r>
      <w:r>
        <w:tab/>
        <w:t>61</w:t>
      </w:r>
    </w:p>
    <w:p w:rsidR="004E13A5" w:rsidRDefault="00681463">
      <w:pPr>
        <w:pStyle w:val="BodyText"/>
        <w:tabs>
          <w:tab w:val="right" w:leader="dot" w:pos="9461"/>
        </w:tabs>
        <w:spacing w:before="0"/>
        <w:ind w:left="2693"/>
      </w:pPr>
      <w:r>
        <w:t>Income Limits</w:t>
      </w:r>
      <w:r>
        <w:tab/>
        <w:t>61</w:t>
      </w:r>
    </w:p>
    <w:p w:rsidR="004E13A5" w:rsidRDefault="00681463">
      <w:pPr>
        <w:pStyle w:val="BodyText"/>
        <w:tabs>
          <w:tab w:val="right" w:leader="dot" w:pos="9461"/>
        </w:tabs>
        <w:spacing w:before="0"/>
        <w:ind w:left="2693"/>
      </w:pPr>
      <w:r>
        <w:t>Definitions of the Income Limits [24</w:t>
      </w:r>
      <w:r>
        <w:rPr>
          <w:spacing w:val="-1"/>
        </w:rPr>
        <w:t xml:space="preserve"> </w:t>
      </w:r>
      <w:r>
        <w:t>CFR</w:t>
      </w:r>
      <w:r>
        <w:rPr>
          <w:spacing w:val="-1"/>
        </w:rPr>
        <w:t xml:space="preserve"> </w:t>
      </w:r>
      <w:r>
        <w:t>5.603(b)]</w:t>
      </w:r>
      <w:r>
        <w:tab/>
        <w:t>61</w:t>
      </w:r>
    </w:p>
    <w:p w:rsidR="004E13A5" w:rsidRDefault="00681463">
      <w:pPr>
        <w:pStyle w:val="BodyText"/>
        <w:tabs>
          <w:tab w:val="right" w:leader="dot" w:pos="9461"/>
        </w:tabs>
        <w:spacing w:before="0"/>
        <w:ind w:left="2693"/>
      </w:pPr>
      <w:r>
        <w:t>Using Income Limits for Eligibility [24</w:t>
      </w:r>
      <w:r>
        <w:rPr>
          <w:spacing w:val="-4"/>
        </w:rPr>
        <w:t xml:space="preserve"> </w:t>
      </w:r>
      <w:r>
        <w:t>CFR</w:t>
      </w:r>
      <w:r>
        <w:rPr>
          <w:spacing w:val="-1"/>
        </w:rPr>
        <w:t xml:space="preserve"> </w:t>
      </w:r>
      <w:r>
        <w:t>982.201]</w:t>
      </w:r>
      <w:r>
        <w:tab/>
        <w:t>62</w:t>
      </w:r>
    </w:p>
    <w:p w:rsidR="004E13A5" w:rsidRDefault="00681463">
      <w:pPr>
        <w:pStyle w:val="BodyText"/>
        <w:tabs>
          <w:tab w:val="right" w:leader="dot" w:pos="9461"/>
        </w:tabs>
        <w:spacing w:before="0"/>
        <w:ind w:left="2693"/>
      </w:pPr>
      <w:r>
        <w:t>Using Income Limits for Targeting [24</w:t>
      </w:r>
      <w:r>
        <w:rPr>
          <w:spacing w:val="-2"/>
        </w:rPr>
        <w:t xml:space="preserve"> </w:t>
      </w:r>
      <w:r>
        <w:t>CFR</w:t>
      </w:r>
      <w:r>
        <w:rPr>
          <w:spacing w:val="-1"/>
        </w:rPr>
        <w:t xml:space="preserve"> </w:t>
      </w:r>
      <w:r>
        <w:t>982.201]</w:t>
      </w:r>
      <w:r>
        <w:tab/>
        <w:t>62</w:t>
      </w:r>
    </w:p>
    <w:p w:rsidR="004E13A5" w:rsidRDefault="00681463">
      <w:pPr>
        <w:pStyle w:val="BodyText"/>
        <w:tabs>
          <w:tab w:val="left" w:pos="2332"/>
          <w:tab w:val="right" w:leader="dot" w:pos="9461"/>
        </w:tabs>
        <w:spacing w:before="0"/>
        <w:ind w:left="1367"/>
      </w:pPr>
      <w:r>
        <w:t>3-II.B.</w:t>
      </w:r>
      <w:r>
        <w:tab/>
        <w:t>Citizenship or Eligible Immigration Status [24 CFR 5,</w:t>
      </w:r>
      <w:r>
        <w:rPr>
          <w:spacing w:val="-7"/>
        </w:rPr>
        <w:t xml:space="preserve"> </w:t>
      </w:r>
      <w:r>
        <w:t>Subpart</w:t>
      </w:r>
      <w:r>
        <w:rPr>
          <w:spacing w:val="-1"/>
        </w:rPr>
        <w:t xml:space="preserve"> </w:t>
      </w:r>
      <w:r>
        <w:t>E]</w:t>
      </w:r>
      <w:r>
        <w:tab/>
        <w:t>63</w:t>
      </w:r>
    </w:p>
    <w:p w:rsidR="004E13A5" w:rsidRDefault="00681463">
      <w:pPr>
        <w:pStyle w:val="BodyText"/>
        <w:tabs>
          <w:tab w:val="right" w:leader="dot" w:pos="9461"/>
        </w:tabs>
        <w:spacing w:before="0"/>
        <w:ind w:left="2693"/>
      </w:pPr>
      <w:r>
        <w:t>Declaration [24</w:t>
      </w:r>
      <w:r>
        <w:rPr>
          <w:spacing w:val="-1"/>
        </w:rPr>
        <w:t xml:space="preserve"> </w:t>
      </w:r>
      <w:r>
        <w:t>CFR</w:t>
      </w:r>
      <w:r>
        <w:rPr>
          <w:spacing w:val="-1"/>
        </w:rPr>
        <w:t xml:space="preserve"> </w:t>
      </w:r>
      <w:r>
        <w:t>5.508]</w:t>
      </w:r>
      <w:r>
        <w:tab/>
        <w:t>63</w:t>
      </w:r>
    </w:p>
    <w:p w:rsidR="004E13A5" w:rsidRDefault="00681463">
      <w:pPr>
        <w:pStyle w:val="BodyText"/>
        <w:tabs>
          <w:tab w:val="right" w:leader="dot" w:pos="9461"/>
        </w:tabs>
        <w:spacing w:before="0"/>
        <w:ind w:left="2693"/>
      </w:pPr>
      <w:r>
        <w:t>Mixed</w:t>
      </w:r>
      <w:r>
        <w:rPr>
          <w:spacing w:val="-1"/>
        </w:rPr>
        <w:t xml:space="preserve"> </w:t>
      </w:r>
      <w:r>
        <w:t>Families</w:t>
      </w:r>
      <w:r>
        <w:tab/>
        <w:t>64</w:t>
      </w:r>
    </w:p>
    <w:p w:rsidR="004E13A5" w:rsidRDefault="00681463">
      <w:pPr>
        <w:pStyle w:val="BodyText"/>
        <w:tabs>
          <w:tab w:val="right" w:leader="dot" w:pos="9461"/>
        </w:tabs>
        <w:spacing w:before="0"/>
        <w:ind w:left="2693"/>
      </w:pPr>
      <w:r>
        <w:t>Ineligible Families [24 CFR 5.514(d), (e),</w:t>
      </w:r>
      <w:r>
        <w:rPr>
          <w:spacing w:val="-2"/>
        </w:rPr>
        <w:t xml:space="preserve"> </w:t>
      </w:r>
      <w:r>
        <w:t>and</w:t>
      </w:r>
      <w:r>
        <w:rPr>
          <w:spacing w:val="1"/>
        </w:rPr>
        <w:t xml:space="preserve"> </w:t>
      </w:r>
      <w:r>
        <w:t>(f)]</w:t>
      </w:r>
      <w:r>
        <w:tab/>
        <w:t>64</w:t>
      </w:r>
    </w:p>
    <w:p w:rsidR="004E13A5" w:rsidRDefault="00681463">
      <w:pPr>
        <w:pStyle w:val="BodyText"/>
        <w:spacing w:before="0"/>
        <w:ind w:left="2693"/>
      </w:pPr>
      <w:r>
        <w:t>Timeframe for Determination of Citizenship Status</w:t>
      </w:r>
    </w:p>
    <w:p w:rsidR="004E13A5" w:rsidRDefault="00681463">
      <w:pPr>
        <w:pStyle w:val="BodyText"/>
        <w:tabs>
          <w:tab w:val="right" w:leader="dot" w:pos="9461"/>
        </w:tabs>
        <w:spacing w:before="0"/>
        <w:ind w:left="2693"/>
      </w:pPr>
      <w:r>
        <w:t>[24</w:t>
      </w:r>
      <w:r>
        <w:rPr>
          <w:spacing w:val="-1"/>
        </w:rPr>
        <w:t xml:space="preserve"> </w:t>
      </w:r>
      <w:r>
        <w:t>CFR</w:t>
      </w:r>
      <w:r>
        <w:rPr>
          <w:spacing w:val="-1"/>
        </w:rPr>
        <w:t xml:space="preserve"> </w:t>
      </w:r>
      <w:r>
        <w:t>5.508(g)]</w:t>
      </w:r>
      <w:r>
        <w:tab/>
        <w:t>64</w:t>
      </w:r>
    </w:p>
    <w:p w:rsidR="004E13A5" w:rsidRDefault="00681463">
      <w:pPr>
        <w:pStyle w:val="BodyText"/>
        <w:tabs>
          <w:tab w:val="left" w:pos="2332"/>
        </w:tabs>
        <w:spacing w:before="0"/>
        <w:ind w:left="1367"/>
      </w:pPr>
      <w:r>
        <w:t>3-II.C.</w:t>
      </w:r>
      <w:r>
        <w:tab/>
        <w:t>Social Security Numbers [24 CFR 5.216 and</w:t>
      </w:r>
      <w:r>
        <w:rPr>
          <w:spacing w:val="-5"/>
        </w:rPr>
        <w:t xml:space="preserve"> </w:t>
      </w:r>
      <w:r>
        <w:t>5.218,</w:t>
      </w:r>
    </w:p>
    <w:p w:rsidR="004E13A5" w:rsidRDefault="00681463">
      <w:pPr>
        <w:pStyle w:val="BodyText"/>
        <w:tabs>
          <w:tab w:val="right" w:leader="dot" w:pos="9461"/>
        </w:tabs>
        <w:spacing w:before="0"/>
        <w:ind w:left="2332"/>
      </w:pPr>
      <w:r>
        <w:t>Notice</w:t>
      </w:r>
      <w:r>
        <w:rPr>
          <w:spacing w:val="-3"/>
        </w:rPr>
        <w:t xml:space="preserve"> </w:t>
      </w:r>
      <w:r>
        <w:t>PIH</w:t>
      </w:r>
      <w:r>
        <w:rPr>
          <w:spacing w:val="-1"/>
        </w:rPr>
        <w:t xml:space="preserve"> </w:t>
      </w:r>
      <w:r>
        <w:t>2012-10]</w:t>
      </w:r>
      <w:r>
        <w:tab/>
        <w:t>65</w:t>
      </w:r>
    </w:p>
    <w:p w:rsidR="004E13A5" w:rsidRDefault="00681463">
      <w:pPr>
        <w:pStyle w:val="BodyText"/>
        <w:tabs>
          <w:tab w:val="left" w:pos="2332"/>
        </w:tabs>
        <w:spacing w:before="0"/>
        <w:ind w:left="1367"/>
      </w:pPr>
      <w:r>
        <w:t>3-II.D.</w:t>
      </w:r>
      <w:r>
        <w:tab/>
        <w:t>Family Consent to Release of Information [24 CFR</w:t>
      </w:r>
      <w:r>
        <w:rPr>
          <w:spacing w:val="-10"/>
        </w:rPr>
        <w:t xml:space="preserve"> </w:t>
      </w:r>
      <w:r>
        <w:t>5.230;</w:t>
      </w:r>
    </w:p>
    <w:p w:rsidR="004E13A5" w:rsidRDefault="00681463">
      <w:pPr>
        <w:pStyle w:val="BodyText"/>
        <w:tabs>
          <w:tab w:val="right" w:leader="dot" w:pos="9461"/>
        </w:tabs>
        <w:spacing w:before="0"/>
        <w:ind w:left="2332"/>
      </w:pPr>
      <w:r>
        <w:t>HCV GB,</w:t>
      </w:r>
      <w:r>
        <w:rPr>
          <w:spacing w:val="-1"/>
        </w:rPr>
        <w:t xml:space="preserve"> </w:t>
      </w:r>
      <w:r>
        <w:t>p.</w:t>
      </w:r>
      <w:r>
        <w:rPr>
          <w:spacing w:val="-1"/>
        </w:rPr>
        <w:t xml:space="preserve"> </w:t>
      </w:r>
      <w:r>
        <w:t>5-13]</w:t>
      </w:r>
      <w:r>
        <w:tab/>
        <w:t>65</w:t>
      </w:r>
    </w:p>
    <w:p w:rsidR="004E13A5" w:rsidRDefault="00681463">
      <w:pPr>
        <w:pStyle w:val="BodyText"/>
        <w:tabs>
          <w:tab w:val="left" w:pos="2332"/>
        </w:tabs>
        <w:spacing w:before="0"/>
        <w:ind w:left="1367"/>
      </w:pPr>
      <w:r>
        <w:t>3-II.E.</w:t>
      </w:r>
      <w:r>
        <w:tab/>
        <w:t xml:space="preserve">Students Enrolled </w:t>
      </w:r>
      <w:r>
        <w:rPr>
          <w:spacing w:val="-3"/>
        </w:rPr>
        <w:t xml:space="preserve">In </w:t>
      </w:r>
      <w:r>
        <w:t>Institutions of Higher</w:t>
      </w:r>
      <w:r>
        <w:rPr>
          <w:spacing w:val="-1"/>
        </w:rPr>
        <w:t xml:space="preserve"> </w:t>
      </w:r>
      <w:r>
        <w:t>Education</w:t>
      </w:r>
    </w:p>
    <w:p w:rsidR="004E13A5" w:rsidRDefault="00681463">
      <w:pPr>
        <w:pStyle w:val="BodyText"/>
        <w:tabs>
          <w:tab w:val="right" w:leader="dot" w:pos="9461"/>
        </w:tabs>
        <w:spacing w:before="0"/>
        <w:ind w:left="2332"/>
      </w:pPr>
      <w:r>
        <w:t>[24 CFR 5.612, FR Notice</w:t>
      </w:r>
      <w:r>
        <w:rPr>
          <w:spacing w:val="-3"/>
        </w:rPr>
        <w:t xml:space="preserve"> </w:t>
      </w:r>
      <w:r>
        <w:t>4/10/06]</w:t>
      </w:r>
      <w:r>
        <w:tab/>
        <w:t>65</w:t>
      </w:r>
    </w:p>
    <w:p w:rsidR="004E13A5" w:rsidRDefault="00681463">
      <w:pPr>
        <w:pStyle w:val="BodyText"/>
        <w:tabs>
          <w:tab w:val="right" w:leader="dot" w:pos="9461"/>
        </w:tabs>
        <w:spacing w:before="0"/>
        <w:ind w:left="2693"/>
      </w:pPr>
      <w:r>
        <w:t>Definitions</w:t>
      </w:r>
      <w:r>
        <w:tab/>
        <w:t>66</w:t>
      </w:r>
    </w:p>
    <w:p w:rsidR="004E13A5" w:rsidRDefault="00681463">
      <w:pPr>
        <w:pStyle w:val="BodyText"/>
        <w:tabs>
          <w:tab w:val="right" w:leader="dot" w:pos="9461"/>
        </w:tabs>
        <w:spacing w:before="0"/>
        <w:ind w:left="2693"/>
      </w:pPr>
      <w:r>
        <w:t>Determining</w:t>
      </w:r>
      <w:r>
        <w:rPr>
          <w:spacing w:val="-3"/>
        </w:rPr>
        <w:t xml:space="preserve"> </w:t>
      </w:r>
      <w:r>
        <w:t>Student</w:t>
      </w:r>
      <w:r>
        <w:rPr>
          <w:spacing w:val="-2"/>
        </w:rPr>
        <w:t xml:space="preserve"> </w:t>
      </w:r>
      <w:r>
        <w:t>Eligibility</w:t>
      </w:r>
      <w:r>
        <w:tab/>
        <w:t>68</w:t>
      </w:r>
    </w:p>
    <w:p w:rsidR="004E13A5" w:rsidRDefault="00681463">
      <w:pPr>
        <w:pStyle w:val="BodyText"/>
        <w:tabs>
          <w:tab w:val="left" w:pos="2332"/>
        </w:tabs>
        <w:spacing w:before="0"/>
        <w:ind w:left="1367"/>
      </w:pPr>
      <w:r>
        <w:t>3-II.F.</w:t>
      </w:r>
      <w:r>
        <w:tab/>
        <w:t>EIV System Searches [Notice PIH 2018-18; EIV</w:t>
      </w:r>
      <w:r>
        <w:rPr>
          <w:spacing w:val="-14"/>
        </w:rPr>
        <w:t xml:space="preserve"> </w:t>
      </w:r>
      <w:r>
        <w:t>FAQs;</w:t>
      </w:r>
    </w:p>
    <w:p w:rsidR="004E13A5" w:rsidRDefault="00681463">
      <w:pPr>
        <w:pStyle w:val="BodyText"/>
        <w:tabs>
          <w:tab w:val="right" w:leader="dot" w:pos="9461"/>
        </w:tabs>
        <w:spacing w:before="0"/>
        <w:ind w:left="2332"/>
      </w:pPr>
      <w:r>
        <w:t>EIV System</w:t>
      </w:r>
      <w:r>
        <w:rPr>
          <w:spacing w:val="-1"/>
        </w:rPr>
        <w:t xml:space="preserve"> </w:t>
      </w:r>
      <w:r>
        <w:t>Training</w:t>
      </w:r>
      <w:r>
        <w:rPr>
          <w:spacing w:val="-4"/>
        </w:rPr>
        <w:t xml:space="preserve"> </w:t>
      </w:r>
      <w:r>
        <w:t>9/30/20]</w:t>
      </w:r>
      <w:r>
        <w:tab/>
        <w:t>69</w:t>
      </w:r>
    </w:p>
    <w:p w:rsidR="004E13A5" w:rsidRDefault="00681463">
      <w:pPr>
        <w:pStyle w:val="BodyText"/>
        <w:tabs>
          <w:tab w:val="right" w:leader="dot" w:pos="9461"/>
        </w:tabs>
        <w:spacing w:before="0"/>
        <w:ind w:left="2693"/>
      </w:pPr>
      <w:r>
        <w:t>Existing</w:t>
      </w:r>
      <w:r>
        <w:rPr>
          <w:spacing w:val="-3"/>
        </w:rPr>
        <w:t xml:space="preserve"> </w:t>
      </w:r>
      <w:r>
        <w:t>Tenant</w:t>
      </w:r>
      <w:r>
        <w:rPr>
          <w:spacing w:val="-1"/>
        </w:rPr>
        <w:t xml:space="preserve"> </w:t>
      </w:r>
      <w:r>
        <w:t>Search</w:t>
      </w:r>
      <w:r>
        <w:tab/>
        <w:t>69</w:t>
      </w:r>
    </w:p>
    <w:p w:rsidR="004E13A5" w:rsidRDefault="00681463">
      <w:pPr>
        <w:pStyle w:val="BodyText"/>
        <w:tabs>
          <w:tab w:val="right" w:leader="dot" w:pos="9461"/>
        </w:tabs>
        <w:spacing w:before="0"/>
        <w:ind w:left="2693"/>
      </w:pPr>
      <w:r>
        <w:t>Debts Owed to PHAs</w:t>
      </w:r>
      <w:r>
        <w:rPr>
          <w:spacing w:val="-1"/>
        </w:rPr>
        <w:t xml:space="preserve"> </w:t>
      </w:r>
      <w:r>
        <w:t>and</w:t>
      </w:r>
      <w:r>
        <w:rPr>
          <w:spacing w:val="-1"/>
        </w:rPr>
        <w:t xml:space="preserve"> </w:t>
      </w:r>
      <w:r>
        <w:t>Terminations</w:t>
      </w:r>
      <w:r>
        <w:tab/>
        <w:t>70</w:t>
      </w:r>
    </w:p>
    <w:p w:rsidR="004E13A5" w:rsidRDefault="00681463">
      <w:pPr>
        <w:pStyle w:val="BodyText"/>
        <w:spacing w:before="0"/>
        <w:ind w:left="2693"/>
      </w:pPr>
      <w:r>
        <w:t>Income and IVT Reports69</w:t>
      </w:r>
    </w:p>
    <w:p w:rsidR="004E13A5" w:rsidRDefault="00681463">
      <w:pPr>
        <w:pStyle w:val="BodyText"/>
        <w:tabs>
          <w:tab w:val="left" w:pos="1360"/>
          <w:tab w:val="right" w:leader="dot" w:pos="9461"/>
        </w:tabs>
      </w:pPr>
      <w:r>
        <w:t>PART</w:t>
      </w:r>
      <w:r>
        <w:rPr>
          <w:spacing w:val="-1"/>
        </w:rPr>
        <w:t xml:space="preserve"> </w:t>
      </w:r>
      <w:r>
        <w:t>III:</w:t>
      </w:r>
      <w:r>
        <w:tab/>
        <w:t>DENIAL</w:t>
      </w:r>
      <w:r>
        <w:rPr>
          <w:spacing w:val="-4"/>
        </w:rPr>
        <w:t xml:space="preserve"> </w:t>
      </w:r>
      <w:r>
        <w:t>OF</w:t>
      </w:r>
      <w:r>
        <w:rPr>
          <w:spacing w:val="-3"/>
        </w:rPr>
        <w:t xml:space="preserve"> </w:t>
      </w:r>
      <w:r>
        <w:t>ASSISTANCE</w:t>
      </w:r>
      <w:r>
        <w:tab/>
        <w:t>70</w:t>
      </w:r>
    </w:p>
    <w:p w:rsidR="004E13A5" w:rsidRDefault="00681463">
      <w:pPr>
        <w:pStyle w:val="BodyText"/>
        <w:tabs>
          <w:tab w:val="left" w:pos="2332"/>
          <w:tab w:val="right" w:leader="dot" w:pos="9461"/>
        </w:tabs>
        <w:spacing w:before="0"/>
        <w:ind w:left="1367"/>
      </w:pPr>
      <w:r>
        <w:t>3-III.A.</w:t>
      </w:r>
      <w:r>
        <w:tab/>
        <w:t>Overview</w:t>
      </w:r>
      <w:r>
        <w:tab/>
        <w:t>70</w:t>
      </w:r>
    </w:p>
    <w:p w:rsidR="004E13A5" w:rsidRDefault="00681463">
      <w:pPr>
        <w:pStyle w:val="BodyText"/>
        <w:tabs>
          <w:tab w:val="right" w:leader="dot" w:pos="9461"/>
        </w:tabs>
        <w:spacing w:before="0"/>
        <w:ind w:left="2693"/>
      </w:pPr>
      <w:r>
        <w:t>Forms of Denial [24 CFR 982.552(a) (2); HCV GB,</w:t>
      </w:r>
      <w:r>
        <w:rPr>
          <w:spacing w:val="-5"/>
        </w:rPr>
        <w:t xml:space="preserve"> </w:t>
      </w:r>
      <w:r>
        <w:t>p.</w:t>
      </w:r>
      <w:r>
        <w:rPr>
          <w:spacing w:val="-1"/>
        </w:rPr>
        <w:t xml:space="preserve"> </w:t>
      </w:r>
      <w:r>
        <w:t>5-35]</w:t>
      </w:r>
      <w:r>
        <w:tab/>
        <w:t>71</w:t>
      </w:r>
    </w:p>
    <w:p w:rsidR="004E13A5" w:rsidRDefault="00681463">
      <w:pPr>
        <w:pStyle w:val="BodyText"/>
        <w:spacing w:before="0"/>
        <w:ind w:left="2693"/>
      </w:pPr>
      <w:r>
        <w:t>Prohibited Reasons for Denial of Program Assistance</w:t>
      </w:r>
    </w:p>
    <w:p w:rsidR="004E13A5" w:rsidRDefault="00681463">
      <w:pPr>
        <w:pStyle w:val="BodyText"/>
        <w:tabs>
          <w:tab w:val="right" w:leader="dot" w:pos="9461"/>
        </w:tabs>
        <w:spacing w:before="0"/>
        <w:ind w:left="2693"/>
      </w:pPr>
      <w:r>
        <w:t>[24 CFR 982.202(b), 24</w:t>
      </w:r>
      <w:r>
        <w:rPr>
          <w:spacing w:val="-1"/>
        </w:rPr>
        <w:t xml:space="preserve"> </w:t>
      </w:r>
      <w:r>
        <w:t>CFR</w:t>
      </w:r>
      <w:r>
        <w:rPr>
          <w:spacing w:val="-1"/>
        </w:rPr>
        <w:t xml:space="preserve"> </w:t>
      </w:r>
      <w:r>
        <w:t>5.2005(b)]</w:t>
      </w:r>
      <w:r>
        <w:tab/>
        <w:t>71</w:t>
      </w:r>
    </w:p>
    <w:p w:rsidR="004E13A5" w:rsidRDefault="00681463">
      <w:pPr>
        <w:pStyle w:val="BodyText"/>
        <w:tabs>
          <w:tab w:val="left" w:pos="2332"/>
          <w:tab w:val="right" w:leader="dot" w:pos="9461"/>
        </w:tabs>
        <w:spacing w:before="0"/>
        <w:ind w:left="1367"/>
      </w:pPr>
      <w:r>
        <w:t>3-III.B.</w:t>
      </w:r>
      <w:r>
        <w:tab/>
        <w:t>Mandatory Denial of Assistance [24</w:t>
      </w:r>
      <w:r>
        <w:rPr>
          <w:spacing w:val="-7"/>
        </w:rPr>
        <w:t xml:space="preserve"> </w:t>
      </w:r>
      <w:r>
        <w:t>CFR</w:t>
      </w:r>
      <w:r>
        <w:rPr>
          <w:spacing w:val="-1"/>
        </w:rPr>
        <w:t xml:space="preserve"> </w:t>
      </w:r>
      <w:r>
        <w:t>982.553(a)]</w:t>
      </w:r>
      <w:r>
        <w:tab/>
        <w:t>72</w:t>
      </w:r>
    </w:p>
    <w:p w:rsidR="004E13A5" w:rsidRDefault="00681463">
      <w:pPr>
        <w:pStyle w:val="BodyText"/>
        <w:tabs>
          <w:tab w:val="left" w:pos="2332"/>
          <w:tab w:val="right" w:leader="dot" w:pos="9461"/>
        </w:tabs>
        <w:spacing w:before="0"/>
        <w:ind w:left="1367"/>
      </w:pPr>
      <w:r>
        <w:t>3-III.C.</w:t>
      </w:r>
      <w:r>
        <w:tab/>
        <w:t>Other Permitted Reasons for Denial</w:t>
      </w:r>
      <w:r>
        <w:rPr>
          <w:spacing w:val="-2"/>
        </w:rPr>
        <w:t xml:space="preserve"> </w:t>
      </w:r>
      <w:r>
        <w:t>of Assistance</w:t>
      </w:r>
      <w:r>
        <w:tab/>
        <w:t>73</w:t>
      </w:r>
    </w:p>
    <w:p w:rsidR="004E13A5" w:rsidRDefault="00681463">
      <w:pPr>
        <w:pStyle w:val="BodyText"/>
        <w:tabs>
          <w:tab w:val="right" w:leader="dot" w:pos="9461"/>
        </w:tabs>
        <w:spacing w:before="0"/>
        <w:ind w:left="2693"/>
      </w:pPr>
      <w:r>
        <w:t>Criminal Activity [24</w:t>
      </w:r>
      <w:r>
        <w:rPr>
          <w:spacing w:val="-8"/>
        </w:rPr>
        <w:t xml:space="preserve"> </w:t>
      </w:r>
      <w:r>
        <w:t>CFR 982.553]</w:t>
      </w:r>
      <w:r>
        <w:tab/>
        <w:t>73</w:t>
      </w:r>
    </w:p>
    <w:p w:rsidR="004E13A5" w:rsidRDefault="00681463">
      <w:pPr>
        <w:pStyle w:val="BodyText"/>
        <w:tabs>
          <w:tab w:val="right" w:leader="dot" w:pos="9461"/>
        </w:tabs>
        <w:spacing w:before="0"/>
        <w:ind w:left="2693"/>
      </w:pPr>
      <w:r>
        <w:t>Previous Behavior in Assisted Housing [24</w:t>
      </w:r>
      <w:r>
        <w:rPr>
          <w:spacing w:val="-6"/>
        </w:rPr>
        <w:t xml:space="preserve"> </w:t>
      </w:r>
      <w:r>
        <w:t>CFR</w:t>
      </w:r>
      <w:r>
        <w:rPr>
          <w:spacing w:val="-1"/>
        </w:rPr>
        <w:t xml:space="preserve"> </w:t>
      </w:r>
      <w:r>
        <w:t>982.552(c)]</w:t>
      </w:r>
      <w:r>
        <w:tab/>
        <w:t>73</w:t>
      </w:r>
    </w:p>
    <w:p w:rsidR="004E13A5" w:rsidRDefault="00681463">
      <w:pPr>
        <w:pStyle w:val="BodyText"/>
        <w:tabs>
          <w:tab w:val="left" w:pos="2332"/>
          <w:tab w:val="right" w:leader="dot" w:pos="9461"/>
        </w:tabs>
        <w:spacing w:before="0"/>
        <w:ind w:left="1367"/>
      </w:pPr>
      <w:r>
        <w:t>3-III.D.</w:t>
      </w:r>
      <w:r>
        <w:tab/>
        <w:t>Screening</w:t>
      </w:r>
      <w:r>
        <w:tab/>
        <w:t>75</w:t>
      </w:r>
    </w:p>
    <w:p w:rsidR="004E13A5" w:rsidRDefault="00681463">
      <w:pPr>
        <w:pStyle w:val="BodyText"/>
        <w:tabs>
          <w:tab w:val="right" w:leader="dot" w:pos="9461"/>
        </w:tabs>
        <w:spacing w:before="0"/>
        <w:ind w:left="2693"/>
      </w:pPr>
      <w:r>
        <w:t>Screening</w:t>
      </w:r>
      <w:r>
        <w:rPr>
          <w:spacing w:val="-3"/>
        </w:rPr>
        <w:t xml:space="preserve"> </w:t>
      </w:r>
      <w:r>
        <w:t>for</w:t>
      </w:r>
      <w:r>
        <w:rPr>
          <w:spacing w:val="-1"/>
        </w:rPr>
        <w:t xml:space="preserve"> </w:t>
      </w:r>
      <w:r>
        <w:t>Eligibility</w:t>
      </w:r>
      <w:r>
        <w:tab/>
        <w:t>75</w:t>
      </w:r>
    </w:p>
    <w:p w:rsidR="004E13A5" w:rsidRDefault="00681463">
      <w:pPr>
        <w:pStyle w:val="BodyText"/>
        <w:tabs>
          <w:tab w:val="right" w:leader="dot" w:pos="9461"/>
        </w:tabs>
        <w:spacing w:before="0"/>
        <w:ind w:left="2693"/>
      </w:pPr>
      <w:r>
        <w:t>Screening for Suitability as a Tenant [24</w:t>
      </w:r>
      <w:r>
        <w:rPr>
          <w:spacing w:val="-8"/>
        </w:rPr>
        <w:t xml:space="preserve"> </w:t>
      </w:r>
      <w:r>
        <w:t>CFR</w:t>
      </w:r>
      <w:r>
        <w:rPr>
          <w:spacing w:val="-1"/>
        </w:rPr>
        <w:t xml:space="preserve"> </w:t>
      </w:r>
      <w:r>
        <w:t>982.307]</w:t>
      </w:r>
      <w:r>
        <w:tab/>
        <w:t>75</w:t>
      </w:r>
    </w:p>
    <w:p w:rsidR="004E13A5" w:rsidRDefault="00681463">
      <w:pPr>
        <w:pStyle w:val="BodyText"/>
        <w:tabs>
          <w:tab w:val="left" w:pos="2332"/>
          <w:tab w:val="right" w:leader="dot" w:pos="9461"/>
        </w:tabs>
        <w:spacing w:before="0"/>
        <w:ind w:left="1367"/>
      </w:pPr>
      <w:r>
        <w:t>3-III.E.</w:t>
      </w:r>
      <w:r>
        <w:tab/>
        <w:t>Criteria for Deciding to</w:t>
      </w:r>
      <w:r>
        <w:rPr>
          <w:spacing w:val="-5"/>
        </w:rPr>
        <w:t xml:space="preserve"> </w:t>
      </w:r>
      <w:r>
        <w:t>Deny</w:t>
      </w:r>
      <w:r>
        <w:rPr>
          <w:spacing w:val="-5"/>
        </w:rPr>
        <w:t xml:space="preserve"> </w:t>
      </w:r>
      <w:r>
        <w:t>Assistance</w:t>
      </w:r>
      <w:r>
        <w:tab/>
        <w:t>76</w:t>
      </w:r>
    </w:p>
    <w:p w:rsidR="004E13A5" w:rsidRDefault="00681463">
      <w:pPr>
        <w:pStyle w:val="BodyText"/>
        <w:tabs>
          <w:tab w:val="right" w:leader="dot" w:pos="9461"/>
        </w:tabs>
        <w:spacing w:before="0"/>
        <w:ind w:left="2693"/>
      </w:pPr>
      <w:r>
        <w:t>Evidence [24</w:t>
      </w:r>
      <w:r>
        <w:rPr>
          <w:spacing w:val="-2"/>
        </w:rPr>
        <w:t xml:space="preserve"> </w:t>
      </w:r>
      <w:r>
        <w:t>CFR</w:t>
      </w:r>
      <w:r>
        <w:rPr>
          <w:spacing w:val="-1"/>
        </w:rPr>
        <w:t xml:space="preserve"> </w:t>
      </w:r>
      <w:r>
        <w:t>982.553(c)]</w:t>
      </w:r>
      <w:r>
        <w:tab/>
        <w:t>76</w:t>
      </w:r>
    </w:p>
    <w:p w:rsidR="004E13A5" w:rsidRDefault="00681463">
      <w:pPr>
        <w:pStyle w:val="BodyText"/>
        <w:tabs>
          <w:tab w:val="right" w:leader="dot" w:pos="9461"/>
        </w:tabs>
        <w:spacing w:before="0"/>
        <w:ind w:left="2693"/>
      </w:pPr>
      <w:r>
        <w:t>Consideration of Circumstances [24 CFR</w:t>
      </w:r>
      <w:r>
        <w:rPr>
          <w:spacing w:val="-2"/>
        </w:rPr>
        <w:t xml:space="preserve"> </w:t>
      </w:r>
      <w:r>
        <w:t>982.552(c)</w:t>
      </w:r>
      <w:r>
        <w:rPr>
          <w:spacing w:val="-1"/>
        </w:rPr>
        <w:t xml:space="preserve"> </w:t>
      </w:r>
      <w:r>
        <w:t>(2)]</w:t>
      </w:r>
      <w:r>
        <w:tab/>
        <w:t>76</w:t>
      </w:r>
    </w:p>
    <w:p w:rsidR="004E13A5" w:rsidRDefault="004E13A5">
      <w:pPr>
        <w:sectPr w:rsidR="004E13A5">
          <w:pgSz w:w="12240" w:h="15840"/>
          <w:pgMar w:top="1360" w:right="1320" w:bottom="640" w:left="1340" w:header="0" w:footer="381" w:gutter="0"/>
          <w:cols w:space="720"/>
        </w:sectPr>
      </w:pPr>
    </w:p>
    <w:p w:rsidR="004E13A5" w:rsidRDefault="00681463">
      <w:pPr>
        <w:pStyle w:val="BodyText"/>
        <w:tabs>
          <w:tab w:val="right" w:leader="dot" w:pos="9461"/>
        </w:tabs>
        <w:spacing w:before="79"/>
        <w:ind w:left="2693"/>
      </w:pPr>
      <w:r>
        <w:lastRenderedPageBreak/>
        <w:t>Removal of a Family Member's Name from</w:t>
      </w:r>
      <w:r>
        <w:rPr>
          <w:spacing w:val="-9"/>
        </w:rPr>
        <w:t xml:space="preserve"> </w:t>
      </w:r>
      <w:r>
        <w:t>the</w:t>
      </w:r>
      <w:r>
        <w:rPr>
          <w:spacing w:val="-2"/>
        </w:rPr>
        <w:t xml:space="preserve"> </w:t>
      </w:r>
      <w:r>
        <w:t>Application</w:t>
      </w:r>
      <w:r>
        <w:tab/>
        <w:t>77</w:t>
      </w:r>
    </w:p>
    <w:p w:rsidR="004E13A5" w:rsidRDefault="00681463">
      <w:pPr>
        <w:pStyle w:val="BodyText"/>
        <w:tabs>
          <w:tab w:val="right" w:leader="dot" w:pos="9461"/>
        </w:tabs>
        <w:spacing w:before="0"/>
        <w:ind w:left="2693"/>
      </w:pPr>
      <w:r>
        <w:t>Reasonable Accommodation [24 CFR 982.552(c)</w:t>
      </w:r>
      <w:r>
        <w:rPr>
          <w:spacing w:val="-2"/>
        </w:rPr>
        <w:t xml:space="preserve"> </w:t>
      </w:r>
      <w:r>
        <w:t>(2)</w:t>
      </w:r>
      <w:r>
        <w:rPr>
          <w:spacing w:val="-1"/>
        </w:rPr>
        <w:t xml:space="preserve"> </w:t>
      </w:r>
      <w:r>
        <w:t>(iv)]</w:t>
      </w:r>
      <w:r>
        <w:tab/>
        <w:t>78</w:t>
      </w:r>
    </w:p>
    <w:p w:rsidR="004E13A5" w:rsidRDefault="00681463">
      <w:pPr>
        <w:pStyle w:val="BodyText"/>
        <w:tabs>
          <w:tab w:val="left" w:pos="2332"/>
          <w:tab w:val="right" w:leader="dot" w:pos="9461"/>
        </w:tabs>
        <w:spacing w:before="0"/>
        <w:ind w:left="1367"/>
      </w:pPr>
      <w:r>
        <w:t>3-III.F.</w:t>
      </w:r>
      <w:r>
        <w:tab/>
        <w:t>Notice of Eligibility</w:t>
      </w:r>
      <w:r>
        <w:rPr>
          <w:spacing w:val="-7"/>
        </w:rPr>
        <w:t xml:space="preserve"> </w:t>
      </w:r>
      <w:r>
        <w:t>or Denial</w:t>
      </w:r>
      <w:r>
        <w:tab/>
        <w:t>78</w:t>
      </w:r>
    </w:p>
    <w:p w:rsidR="004E13A5" w:rsidRDefault="00681463">
      <w:pPr>
        <w:pStyle w:val="BodyText"/>
        <w:tabs>
          <w:tab w:val="left" w:pos="2332"/>
          <w:tab w:val="right" w:leader="dot" w:pos="9461"/>
        </w:tabs>
        <w:spacing w:before="0"/>
        <w:ind w:left="2332" w:right="117" w:hanging="965"/>
      </w:pPr>
      <w:r>
        <w:t>3-III.G.</w:t>
      </w:r>
      <w:r>
        <w:tab/>
        <w:t>Prohibition Against Denial of Assistance to Victims</w:t>
      </w:r>
      <w:r>
        <w:rPr>
          <w:spacing w:val="-7"/>
        </w:rPr>
        <w:t xml:space="preserve"> </w:t>
      </w:r>
      <w:r>
        <w:t>of</w:t>
      </w:r>
      <w:r>
        <w:rPr>
          <w:spacing w:val="-1"/>
        </w:rPr>
        <w:t xml:space="preserve"> </w:t>
      </w:r>
      <w:r>
        <w:t>Domestic</w:t>
      </w:r>
      <w:r>
        <w:rPr>
          <w:w w:val="99"/>
        </w:rPr>
        <w:t xml:space="preserve"> </w:t>
      </w:r>
      <w:r>
        <w:t>Violence, Dating Violence, Sexual Assault,</w:t>
      </w:r>
      <w:r>
        <w:rPr>
          <w:spacing w:val="-4"/>
        </w:rPr>
        <w:t xml:space="preserve"> </w:t>
      </w:r>
      <w:r>
        <w:t>and</w:t>
      </w:r>
      <w:r>
        <w:rPr>
          <w:spacing w:val="-2"/>
        </w:rPr>
        <w:t xml:space="preserve"> </w:t>
      </w:r>
      <w:r>
        <w:t>Stalking</w:t>
      </w:r>
      <w:r>
        <w:tab/>
        <w:t>79</w:t>
      </w:r>
    </w:p>
    <w:p w:rsidR="004E13A5" w:rsidRDefault="00681463">
      <w:pPr>
        <w:pStyle w:val="BodyText"/>
        <w:tabs>
          <w:tab w:val="right" w:leader="dot" w:pos="9461"/>
        </w:tabs>
        <w:spacing w:before="0"/>
        <w:ind w:left="2693"/>
      </w:pPr>
      <w:r>
        <w:t>Notification</w:t>
      </w:r>
      <w:r>
        <w:tab/>
        <w:t>79</w:t>
      </w:r>
    </w:p>
    <w:p w:rsidR="004E13A5" w:rsidRDefault="00681463">
      <w:pPr>
        <w:pStyle w:val="BodyText"/>
        <w:tabs>
          <w:tab w:val="right" w:leader="dot" w:pos="9461"/>
        </w:tabs>
        <w:spacing w:before="0"/>
        <w:ind w:left="2693"/>
      </w:pPr>
      <w:r>
        <w:t>Documentation</w:t>
      </w:r>
      <w:r>
        <w:tab/>
        <w:t>79</w:t>
      </w:r>
    </w:p>
    <w:p w:rsidR="004E13A5" w:rsidRDefault="00681463">
      <w:pPr>
        <w:pStyle w:val="BodyText"/>
        <w:tabs>
          <w:tab w:val="right" w:leader="dot" w:pos="9461"/>
        </w:tabs>
        <w:spacing w:before="120"/>
      </w:pPr>
      <w:r>
        <w:t>Exhibit 3-1:  Detailed Definitions Related</w:t>
      </w:r>
      <w:r>
        <w:rPr>
          <w:spacing w:val="-14"/>
        </w:rPr>
        <w:t xml:space="preserve"> </w:t>
      </w:r>
      <w:r>
        <w:t>to</w:t>
      </w:r>
      <w:r>
        <w:rPr>
          <w:spacing w:val="-1"/>
        </w:rPr>
        <w:t xml:space="preserve"> </w:t>
      </w:r>
      <w:r>
        <w:t>Disabilities</w:t>
      </w:r>
      <w:r>
        <w:tab/>
        <w:t>80</w:t>
      </w:r>
    </w:p>
    <w:p w:rsidR="004E13A5" w:rsidRDefault="00681463">
      <w:pPr>
        <w:pStyle w:val="BodyText"/>
        <w:tabs>
          <w:tab w:val="right" w:leader="dot" w:pos="9461"/>
        </w:tabs>
        <w:spacing w:before="0"/>
        <w:ind w:left="2693"/>
      </w:pPr>
      <w:r>
        <w:t>Person with Disabilities [24</w:t>
      </w:r>
      <w:r>
        <w:rPr>
          <w:spacing w:val="-1"/>
        </w:rPr>
        <w:t xml:space="preserve"> </w:t>
      </w:r>
      <w:r>
        <w:t>CFR</w:t>
      </w:r>
      <w:r>
        <w:rPr>
          <w:spacing w:val="-1"/>
        </w:rPr>
        <w:t xml:space="preserve"> </w:t>
      </w:r>
      <w:r>
        <w:t>5.403]</w:t>
      </w:r>
      <w:r>
        <w:tab/>
        <w:t>80</w:t>
      </w:r>
    </w:p>
    <w:p w:rsidR="004E13A5" w:rsidRDefault="00681463">
      <w:pPr>
        <w:pStyle w:val="BodyText"/>
        <w:tabs>
          <w:tab w:val="right" w:leader="dot" w:pos="9461"/>
        </w:tabs>
        <w:spacing w:before="0"/>
        <w:ind w:left="2693"/>
      </w:pPr>
      <w:r>
        <w:t>Individual with Handicaps [24</w:t>
      </w:r>
      <w:r>
        <w:rPr>
          <w:spacing w:val="-1"/>
        </w:rPr>
        <w:t xml:space="preserve"> </w:t>
      </w:r>
      <w:r>
        <w:t>CFR</w:t>
      </w:r>
      <w:r>
        <w:rPr>
          <w:spacing w:val="-1"/>
        </w:rPr>
        <w:t xml:space="preserve"> </w:t>
      </w:r>
      <w:r>
        <w:t>8.3]</w:t>
      </w:r>
      <w:r>
        <w:tab/>
        <w:t>81</w:t>
      </w:r>
    </w:p>
    <w:p w:rsidR="004E13A5" w:rsidRDefault="00681463">
      <w:pPr>
        <w:pStyle w:val="BodyText"/>
        <w:tabs>
          <w:tab w:val="right" w:leader="dot" w:pos="9461"/>
        </w:tabs>
      </w:pPr>
      <w:r>
        <w:t>Exhibit 3-2: Definition of Institution of Higher Education [20 U.S.C 1001</w:t>
      </w:r>
      <w:r>
        <w:rPr>
          <w:spacing w:val="-2"/>
        </w:rPr>
        <w:t xml:space="preserve"> </w:t>
      </w:r>
      <w:r>
        <w:t>and</w:t>
      </w:r>
      <w:r>
        <w:rPr>
          <w:spacing w:val="-1"/>
        </w:rPr>
        <w:t xml:space="preserve"> </w:t>
      </w:r>
      <w:r>
        <w:t>1002]</w:t>
      </w:r>
      <w:r>
        <w:tab/>
        <w:t>83</w:t>
      </w:r>
    </w:p>
    <w:p w:rsidR="004E13A5" w:rsidRDefault="00681463">
      <w:pPr>
        <w:pStyle w:val="BodyText"/>
        <w:spacing w:before="0"/>
        <w:ind w:left="2693" w:right="1040"/>
      </w:pPr>
      <w:r>
        <w:t>Eligibility of Students for Assisted Housing Under Section 8 of the U.S. Housing Act of 1937; Supplementary Guidance;</w:t>
      </w:r>
    </w:p>
    <w:p w:rsidR="004E13A5" w:rsidRDefault="00681463">
      <w:pPr>
        <w:pStyle w:val="BodyText"/>
        <w:tabs>
          <w:tab w:val="right" w:leader="dot" w:pos="9461"/>
        </w:tabs>
        <w:spacing w:before="0"/>
        <w:ind w:left="2693"/>
      </w:pPr>
      <w:r>
        <w:t>Notice [Federal Register, April</w:t>
      </w:r>
      <w:r>
        <w:rPr>
          <w:spacing w:val="-2"/>
        </w:rPr>
        <w:t xml:space="preserve"> </w:t>
      </w:r>
      <w:r>
        <w:t>10,</w:t>
      </w:r>
      <w:r>
        <w:rPr>
          <w:spacing w:val="-1"/>
        </w:rPr>
        <w:t xml:space="preserve"> </w:t>
      </w:r>
      <w:r>
        <w:t>2006]</w:t>
      </w:r>
      <w:r>
        <w:tab/>
        <w:t>83</w:t>
      </w:r>
    </w:p>
    <w:p w:rsidR="004E13A5" w:rsidRDefault="00681463">
      <w:pPr>
        <w:pStyle w:val="Heading4"/>
        <w:spacing w:before="515"/>
        <w:ind w:left="0" w:right="21"/>
        <w:jc w:val="center"/>
      </w:pPr>
      <w:r>
        <w:t>Chapter 4</w:t>
      </w:r>
    </w:p>
    <w:p w:rsidR="004E13A5" w:rsidRDefault="00681463">
      <w:pPr>
        <w:pStyle w:val="Heading4"/>
        <w:ind w:left="1398"/>
      </w:pPr>
      <w:r>
        <w:t>APPLICATIONS, WAITING LIST AND TENANT SELECTION</w:t>
      </w:r>
    </w:p>
    <w:p w:rsidR="004E13A5" w:rsidRDefault="00681463">
      <w:pPr>
        <w:pStyle w:val="BodyText"/>
        <w:tabs>
          <w:tab w:val="left" w:pos="1360"/>
          <w:tab w:val="right" w:leader="dot" w:pos="9461"/>
        </w:tabs>
        <w:spacing w:before="120"/>
      </w:pPr>
      <w:r>
        <w:t>PART</w:t>
      </w:r>
      <w:r>
        <w:rPr>
          <w:spacing w:val="1"/>
        </w:rPr>
        <w:t xml:space="preserve"> </w:t>
      </w:r>
      <w:r>
        <w:rPr>
          <w:spacing w:val="-3"/>
        </w:rPr>
        <w:t>I:</w:t>
      </w:r>
      <w:r>
        <w:rPr>
          <w:spacing w:val="-3"/>
        </w:rPr>
        <w:tab/>
      </w:r>
      <w:r>
        <w:t>THE</w:t>
      </w:r>
      <w:r>
        <w:rPr>
          <w:spacing w:val="-1"/>
        </w:rPr>
        <w:t xml:space="preserve"> </w:t>
      </w:r>
      <w:r>
        <w:t>APPLICATION</w:t>
      </w:r>
      <w:r>
        <w:rPr>
          <w:spacing w:val="-2"/>
        </w:rPr>
        <w:t xml:space="preserve"> </w:t>
      </w:r>
      <w:r>
        <w:t>PROCESS</w:t>
      </w:r>
      <w:r>
        <w:tab/>
        <w:t>88</w:t>
      </w:r>
    </w:p>
    <w:p w:rsidR="004E13A5" w:rsidRDefault="00681463">
      <w:pPr>
        <w:pStyle w:val="BodyText"/>
        <w:tabs>
          <w:tab w:val="left" w:pos="2332"/>
          <w:tab w:val="right" w:leader="dot" w:pos="9461"/>
        </w:tabs>
        <w:spacing w:before="0"/>
        <w:ind w:left="1367"/>
      </w:pPr>
      <w:r>
        <w:t>4-I.A.</w:t>
      </w:r>
      <w:r>
        <w:tab/>
        <w:t>Overview</w:t>
      </w:r>
      <w:r>
        <w:tab/>
        <w:t>88</w:t>
      </w:r>
    </w:p>
    <w:p w:rsidR="004E13A5" w:rsidRDefault="00681463">
      <w:pPr>
        <w:pStyle w:val="BodyText"/>
        <w:tabs>
          <w:tab w:val="left" w:pos="2332"/>
        </w:tabs>
        <w:spacing w:before="0"/>
        <w:ind w:left="1367"/>
      </w:pPr>
      <w:r>
        <w:t>4-I.B.</w:t>
      </w:r>
      <w:r>
        <w:tab/>
        <w:t>Applying for</w:t>
      </w:r>
      <w:r>
        <w:rPr>
          <w:spacing w:val="-5"/>
        </w:rPr>
        <w:t xml:space="preserve"> </w:t>
      </w:r>
      <w:r>
        <w:t>Assistance</w:t>
      </w:r>
    </w:p>
    <w:p w:rsidR="004E13A5" w:rsidRDefault="00681463">
      <w:pPr>
        <w:pStyle w:val="BodyText"/>
        <w:tabs>
          <w:tab w:val="right" w:leader="dot" w:pos="9461"/>
        </w:tabs>
        <w:spacing w:before="0"/>
        <w:ind w:left="2332"/>
      </w:pPr>
      <w:r>
        <w:t>[HCV GB, pp. 4-11 – 4-16, Notice</w:t>
      </w:r>
      <w:r>
        <w:rPr>
          <w:spacing w:val="-3"/>
        </w:rPr>
        <w:t xml:space="preserve"> </w:t>
      </w:r>
      <w:r>
        <w:t>PIH</w:t>
      </w:r>
      <w:r>
        <w:rPr>
          <w:spacing w:val="-1"/>
        </w:rPr>
        <w:t xml:space="preserve"> </w:t>
      </w:r>
      <w:r>
        <w:t>2009-36]</w:t>
      </w:r>
      <w:r>
        <w:tab/>
        <w:t>89</w:t>
      </w:r>
    </w:p>
    <w:p w:rsidR="004E13A5" w:rsidRDefault="00681463">
      <w:pPr>
        <w:pStyle w:val="BodyText"/>
        <w:tabs>
          <w:tab w:val="left" w:pos="2332"/>
          <w:tab w:val="right" w:leader="dot" w:pos="9461"/>
        </w:tabs>
        <w:spacing w:before="0"/>
        <w:ind w:left="1367"/>
      </w:pPr>
      <w:r>
        <w:t>4-I.C.</w:t>
      </w:r>
      <w:r>
        <w:tab/>
        <w:t>Accessibility of the</w:t>
      </w:r>
      <w:r>
        <w:rPr>
          <w:spacing w:val="-6"/>
        </w:rPr>
        <w:t xml:space="preserve"> </w:t>
      </w:r>
      <w:r>
        <w:t>Application</w:t>
      </w:r>
      <w:r>
        <w:rPr>
          <w:spacing w:val="-1"/>
        </w:rPr>
        <w:t xml:space="preserve"> </w:t>
      </w:r>
      <w:r>
        <w:t>Process</w:t>
      </w:r>
      <w:r>
        <w:tab/>
        <w:t>89</w:t>
      </w:r>
    </w:p>
    <w:p w:rsidR="004E13A5" w:rsidRDefault="00681463">
      <w:pPr>
        <w:pStyle w:val="BodyText"/>
        <w:spacing w:before="0"/>
        <w:ind w:left="2693"/>
      </w:pPr>
      <w:r>
        <w:t>Elderly and Disabled Populations [24 CFR 8 and HCV GB,</w:t>
      </w:r>
    </w:p>
    <w:p w:rsidR="004E13A5" w:rsidRDefault="00681463">
      <w:pPr>
        <w:pStyle w:val="BodyText"/>
        <w:tabs>
          <w:tab w:val="right" w:leader="dot" w:pos="9461"/>
        </w:tabs>
        <w:spacing w:before="1"/>
        <w:ind w:left="2693"/>
      </w:pPr>
      <w:r>
        <w:t>pp. 4-11</w:t>
      </w:r>
      <w:r>
        <w:rPr>
          <w:spacing w:val="-1"/>
        </w:rPr>
        <w:t xml:space="preserve"> </w:t>
      </w:r>
      <w:r>
        <w:t>–</w:t>
      </w:r>
      <w:r>
        <w:rPr>
          <w:spacing w:val="-1"/>
        </w:rPr>
        <w:t xml:space="preserve"> </w:t>
      </w:r>
      <w:r>
        <w:t>4-13]</w:t>
      </w:r>
      <w:r>
        <w:tab/>
        <w:t>89</w:t>
      </w:r>
    </w:p>
    <w:p w:rsidR="004E13A5" w:rsidRDefault="00681463">
      <w:pPr>
        <w:pStyle w:val="BodyText"/>
        <w:tabs>
          <w:tab w:val="right" w:leader="dot" w:pos="9461"/>
        </w:tabs>
        <w:spacing w:before="0"/>
        <w:ind w:left="2693"/>
      </w:pPr>
      <w:r>
        <w:t>Limited</w:t>
      </w:r>
      <w:r>
        <w:rPr>
          <w:spacing w:val="-1"/>
        </w:rPr>
        <w:t xml:space="preserve"> </w:t>
      </w:r>
      <w:r>
        <w:t>English</w:t>
      </w:r>
      <w:r>
        <w:rPr>
          <w:spacing w:val="-1"/>
        </w:rPr>
        <w:t xml:space="preserve"> </w:t>
      </w:r>
      <w:r>
        <w:t>Proficiency</w:t>
      </w:r>
      <w:r>
        <w:tab/>
        <w:t>89</w:t>
      </w:r>
    </w:p>
    <w:p w:rsidR="004E13A5" w:rsidRDefault="00681463">
      <w:pPr>
        <w:pStyle w:val="BodyText"/>
        <w:tabs>
          <w:tab w:val="left" w:pos="2332"/>
          <w:tab w:val="right" w:leader="dot" w:pos="9461"/>
        </w:tabs>
        <w:spacing w:before="0"/>
        <w:ind w:left="1367"/>
      </w:pPr>
      <w:r>
        <w:t>4-I.D.</w:t>
      </w:r>
      <w:r>
        <w:tab/>
        <w:t>Placement on the</w:t>
      </w:r>
      <w:r>
        <w:rPr>
          <w:spacing w:val="-2"/>
        </w:rPr>
        <w:t xml:space="preserve"> </w:t>
      </w:r>
      <w:r>
        <w:t>Waiting</w:t>
      </w:r>
      <w:r>
        <w:rPr>
          <w:spacing w:val="-1"/>
        </w:rPr>
        <w:t xml:space="preserve"> </w:t>
      </w:r>
      <w:r>
        <w:t>List</w:t>
      </w:r>
      <w:r>
        <w:tab/>
        <w:t>89</w:t>
      </w:r>
    </w:p>
    <w:p w:rsidR="004E13A5" w:rsidRDefault="00681463">
      <w:pPr>
        <w:pStyle w:val="BodyText"/>
        <w:tabs>
          <w:tab w:val="right" w:leader="dot" w:pos="9461"/>
        </w:tabs>
        <w:spacing w:before="0"/>
        <w:ind w:left="2693"/>
      </w:pPr>
      <w:r>
        <w:t>Ineligible for Placement on the</w:t>
      </w:r>
      <w:r>
        <w:rPr>
          <w:spacing w:val="-1"/>
        </w:rPr>
        <w:t xml:space="preserve"> </w:t>
      </w:r>
      <w:r>
        <w:t>Waiting</w:t>
      </w:r>
      <w:r>
        <w:rPr>
          <w:spacing w:val="-1"/>
        </w:rPr>
        <w:t xml:space="preserve"> </w:t>
      </w:r>
      <w:r>
        <w:t>List</w:t>
      </w:r>
      <w:r>
        <w:tab/>
        <w:t>90</w:t>
      </w:r>
    </w:p>
    <w:p w:rsidR="004E13A5" w:rsidRDefault="00681463">
      <w:pPr>
        <w:pStyle w:val="BodyText"/>
        <w:tabs>
          <w:tab w:val="right" w:leader="dot" w:pos="9461"/>
        </w:tabs>
        <w:spacing w:before="0"/>
        <w:ind w:left="2693"/>
      </w:pPr>
      <w:r>
        <w:t>Eligible for Placement on the</w:t>
      </w:r>
      <w:r>
        <w:rPr>
          <w:spacing w:val="-4"/>
        </w:rPr>
        <w:t xml:space="preserve"> </w:t>
      </w:r>
      <w:r>
        <w:t>Waiting</w:t>
      </w:r>
      <w:r>
        <w:rPr>
          <w:spacing w:val="-1"/>
        </w:rPr>
        <w:t xml:space="preserve"> </w:t>
      </w:r>
      <w:r>
        <w:t>List</w:t>
      </w:r>
      <w:r>
        <w:tab/>
        <w:t>90</w:t>
      </w:r>
    </w:p>
    <w:p w:rsidR="004E13A5" w:rsidRDefault="00681463">
      <w:pPr>
        <w:pStyle w:val="BodyText"/>
        <w:tabs>
          <w:tab w:val="left" w:pos="1360"/>
          <w:tab w:val="right" w:leader="dot" w:pos="9461"/>
        </w:tabs>
        <w:spacing w:before="120"/>
      </w:pPr>
      <w:r>
        <w:t>PART</w:t>
      </w:r>
      <w:r>
        <w:rPr>
          <w:spacing w:val="2"/>
        </w:rPr>
        <w:t xml:space="preserve"> </w:t>
      </w:r>
      <w:r>
        <w:rPr>
          <w:spacing w:val="-3"/>
        </w:rPr>
        <w:t>II:</w:t>
      </w:r>
      <w:r>
        <w:rPr>
          <w:spacing w:val="-3"/>
        </w:rPr>
        <w:tab/>
      </w:r>
      <w:r>
        <w:t>MANAGING THE</w:t>
      </w:r>
      <w:r>
        <w:rPr>
          <w:spacing w:val="-2"/>
        </w:rPr>
        <w:t xml:space="preserve"> </w:t>
      </w:r>
      <w:r>
        <w:t>WAITING LIST</w:t>
      </w:r>
      <w:r>
        <w:tab/>
        <w:t>90</w:t>
      </w:r>
    </w:p>
    <w:p w:rsidR="004E13A5" w:rsidRDefault="00681463">
      <w:pPr>
        <w:pStyle w:val="BodyText"/>
        <w:tabs>
          <w:tab w:val="left" w:pos="2332"/>
          <w:tab w:val="right" w:leader="dot" w:pos="9461"/>
        </w:tabs>
        <w:spacing w:before="0"/>
        <w:ind w:left="1367"/>
      </w:pPr>
      <w:r>
        <w:t>4-II.A.</w:t>
      </w:r>
      <w:r>
        <w:tab/>
        <w:t>Overview</w:t>
      </w:r>
      <w:r>
        <w:tab/>
        <w:t>90</w:t>
      </w:r>
    </w:p>
    <w:p w:rsidR="004E13A5" w:rsidRDefault="00681463">
      <w:pPr>
        <w:pStyle w:val="BodyText"/>
        <w:tabs>
          <w:tab w:val="left" w:pos="2332"/>
          <w:tab w:val="right" w:leader="dot" w:pos="9461"/>
        </w:tabs>
        <w:spacing w:before="0"/>
        <w:ind w:left="1367"/>
      </w:pPr>
      <w:r>
        <w:t>4-II.B.</w:t>
      </w:r>
      <w:r>
        <w:tab/>
        <w:t>Organization of the Waiting List [24 CFR 982.204</w:t>
      </w:r>
      <w:r>
        <w:rPr>
          <w:spacing w:val="-3"/>
        </w:rPr>
        <w:t xml:space="preserve"> </w:t>
      </w:r>
      <w:r>
        <w:t>and</w:t>
      </w:r>
      <w:r>
        <w:rPr>
          <w:spacing w:val="-1"/>
        </w:rPr>
        <w:t xml:space="preserve"> </w:t>
      </w:r>
      <w:r>
        <w:t>205]</w:t>
      </w:r>
      <w:r>
        <w:tab/>
        <w:t>90</w:t>
      </w:r>
    </w:p>
    <w:p w:rsidR="004E13A5" w:rsidRDefault="00681463">
      <w:pPr>
        <w:pStyle w:val="BodyText"/>
        <w:tabs>
          <w:tab w:val="left" w:pos="2332"/>
          <w:tab w:val="right" w:leader="dot" w:pos="9461"/>
        </w:tabs>
        <w:spacing w:before="0"/>
        <w:ind w:left="1367"/>
      </w:pPr>
      <w:r>
        <w:t>4-II.C.</w:t>
      </w:r>
      <w:r>
        <w:tab/>
        <w:t>Opening and Closing the Waiting List [24</w:t>
      </w:r>
      <w:r>
        <w:rPr>
          <w:spacing w:val="-1"/>
        </w:rPr>
        <w:t xml:space="preserve"> </w:t>
      </w:r>
      <w:r>
        <w:t>CFR</w:t>
      </w:r>
      <w:r>
        <w:rPr>
          <w:spacing w:val="-1"/>
        </w:rPr>
        <w:t xml:space="preserve"> </w:t>
      </w:r>
      <w:r>
        <w:t>982.206]</w:t>
      </w:r>
      <w:r>
        <w:tab/>
        <w:t>91</w:t>
      </w:r>
    </w:p>
    <w:p w:rsidR="004E13A5" w:rsidRDefault="00681463">
      <w:pPr>
        <w:pStyle w:val="BodyText"/>
        <w:tabs>
          <w:tab w:val="right" w:leader="dot" w:pos="9461"/>
        </w:tabs>
        <w:spacing w:before="0"/>
        <w:ind w:left="2693"/>
      </w:pPr>
      <w:r>
        <w:t>Closing the</w:t>
      </w:r>
      <w:r>
        <w:rPr>
          <w:spacing w:val="-4"/>
        </w:rPr>
        <w:t xml:space="preserve"> </w:t>
      </w:r>
      <w:r>
        <w:t>Waiting</w:t>
      </w:r>
      <w:r>
        <w:rPr>
          <w:spacing w:val="-1"/>
        </w:rPr>
        <w:t xml:space="preserve"> </w:t>
      </w:r>
      <w:r>
        <w:t>List</w:t>
      </w:r>
      <w:r>
        <w:tab/>
        <w:t>91</w:t>
      </w:r>
    </w:p>
    <w:p w:rsidR="004E13A5" w:rsidRDefault="00681463">
      <w:pPr>
        <w:pStyle w:val="BodyText"/>
        <w:tabs>
          <w:tab w:val="right" w:leader="dot" w:pos="9461"/>
        </w:tabs>
        <w:spacing w:before="0"/>
        <w:ind w:left="2693"/>
      </w:pPr>
      <w:r>
        <w:t>Reopening the</w:t>
      </w:r>
      <w:r>
        <w:rPr>
          <w:spacing w:val="-3"/>
        </w:rPr>
        <w:t xml:space="preserve"> </w:t>
      </w:r>
      <w:r>
        <w:t>Waiting</w:t>
      </w:r>
      <w:r>
        <w:rPr>
          <w:spacing w:val="-1"/>
        </w:rPr>
        <w:t xml:space="preserve"> </w:t>
      </w:r>
      <w:r>
        <w:t>List</w:t>
      </w:r>
      <w:r>
        <w:tab/>
        <w:t>91</w:t>
      </w:r>
    </w:p>
    <w:p w:rsidR="004E13A5" w:rsidRDefault="00681463">
      <w:pPr>
        <w:pStyle w:val="BodyText"/>
        <w:tabs>
          <w:tab w:val="left" w:pos="2332"/>
          <w:tab w:val="right" w:leader="dot" w:pos="9461"/>
        </w:tabs>
        <w:spacing w:before="0"/>
        <w:ind w:left="1367"/>
      </w:pPr>
      <w:r>
        <w:t>4-II.D.</w:t>
      </w:r>
      <w:r>
        <w:tab/>
        <w:t>Family Outreach [HCV GB, pp. 4-2</w:t>
      </w:r>
      <w:r>
        <w:rPr>
          <w:spacing w:val="-4"/>
        </w:rPr>
        <w:t xml:space="preserve"> </w:t>
      </w:r>
      <w:r>
        <w:t>to</w:t>
      </w:r>
      <w:r>
        <w:rPr>
          <w:spacing w:val="-1"/>
        </w:rPr>
        <w:t xml:space="preserve"> </w:t>
      </w:r>
      <w:r>
        <w:t>4-4]</w:t>
      </w:r>
      <w:r>
        <w:tab/>
        <w:t>92</w:t>
      </w:r>
    </w:p>
    <w:p w:rsidR="004E13A5" w:rsidRDefault="00681463">
      <w:pPr>
        <w:pStyle w:val="BodyText"/>
        <w:tabs>
          <w:tab w:val="left" w:pos="2332"/>
          <w:tab w:val="right" w:leader="dot" w:pos="9461"/>
        </w:tabs>
        <w:spacing w:before="0"/>
        <w:ind w:left="1367"/>
      </w:pPr>
      <w:r>
        <w:t>4-II.E.</w:t>
      </w:r>
      <w:r>
        <w:tab/>
        <w:t>Reporting Changes in</w:t>
      </w:r>
      <w:r>
        <w:rPr>
          <w:spacing w:val="-1"/>
        </w:rPr>
        <w:t xml:space="preserve"> </w:t>
      </w:r>
      <w:r>
        <w:t>Family</w:t>
      </w:r>
      <w:r>
        <w:rPr>
          <w:spacing w:val="-9"/>
        </w:rPr>
        <w:t xml:space="preserve"> </w:t>
      </w:r>
      <w:r>
        <w:t>Circumstances</w:t>
      </w:r>
      <w:r>
        <w:tab/>
        <w:t>92</w:t>
      </w:r>
    </w:p>
    <w:p w:rsidR="004E13A5" w:rsidRDefault="00681463">
      <w:pPr>
        <w:pStyle w:val="BodyText"/>
        <w:tabs>
          <w:tab w:val="left" w:pos="2332"/>
          <w:tab w:val="right" w:leader="dot" w:pos="9461"/>
        </w:tabs>
        <w:spacing w:before="0"/>
        <w:ind w:left="1367"/>
      </w:pPr>
      <w:r>
        <w:t>4-II.F.</w:t>
      </w:r>
      <w:r>
        <w:tab/>
        <w:t>Updating the Waiting List [24</w:t>
      </w:r>
      <w:r>
        <w:rPr>
          <w:spacing w:val="-5"/>
        </w:rPr>
        <w:t xml:space="preserve"> </w:t>
      </w:r>
      <w:r>
        <w:t>CFR</w:t>
      </w:r>
      <w:r>
        <w:rPr>
          <w:spacing w:val="-1"/>
        </w:rPr>
        <w:t xml:space="preserve"> </w:t>
      </w:r>
      <w:r>
        <w:t>982.204]</w:t>
      </w:r>
      <w:r>
        <w:tab/>
        <w:t>93</w:t>
      </w:r>
    </w:p>
    <w:p w:rsidR="004E13A5" w:rsidRDefault="00681463">
      <w:pPr>
        <w:pStyle w:val="BodyText"/>
        <w:tabs>
          <w:tab w:val="right" w:leader="dot" w:pos="9461"/>
        </w:tabs>
        <w:spacing w:before="0"/>
        <w:ind w:left="2693"/>
      </w:pPr>
      <w:r>
        <w:t>Purging the</w:t>
      </w:r>
      <w:r>
        <w:rPr>
          <w:spacing w:val="-4"/>
        </w:rPr>
        <w:t xml:space="preserve"> </w:t>
      </w:r>
      <w:r>
        <w:t>Waiting</w:t>
      </w:r>
      <w:r>
        <w:rPr>
          <w:spacing w:val="-1"/>
        </w:rPr>
        <w:t xml:space="preserve"> </w:t>
      </w:r>
      <w:r>
        <w:t>List</w:t>
      </w:r>
      <w:r>
        <w:tab/>
        <w:t>93</w:t>
      </w:r>
    </w:p>
    <w:p w:rsidR="004E13A5" w:rsidRDefault="00681463">
      <w:pPr>
        <w:pStyle w:val="BodyText"/>
        <w:tabs>
          <w:tab w:val="right" w:leader="dot" w:pos="9461"/>
        </w:tabs>
        <w:spacing w:before="0"/>
        <w:ind w:left="2693"/>
      </w:pPr>
      <w:r>
        <w:t>Removal from the</w:t>
      </w:r>
      <w:r>
        <w:rPr>
          <w:spacing w:val="-2"/>
        </w:rPr>
        <w:t xml:space="preserve"> </w:t>
      </w:r>
      <w:r>
        <w:t>Waiting</w:t>
      </w:r>
      <w:r>
        <w:rPr>
          <w:spacing w:val="-1"/>
        </w:rPr>
        <w:t xml:space="preserve"> </w:t>
      </w:r>
      <w:r>
        <w:t>List</w:t>
      </w:r>
      <w:r>
        <w:tab/>
        <w:t>93</w:t>
      </w:r>
    </w:p>
    <w:p w:rsidR="004E13A5" w:rsidRDefault="00681463">
      <w:pPr>
        <w:pStyle w:val="BodyText"/>
        <w:tabs>
          <w:tab w:val="left" w:pos="1360"/>
          <w:tab w:val="right" w:leader="dot" w:pos="9461"/>
        </w:tabs>
        <w:spacing w:before="120"/>
      </w:pPr>
      <w:r>
        <w:t>PART</w:t>
      </w:r>
      <w:r>
        <w:rPr>
          <w:spacing w:val="-1"/>
        </w:rPr>
        <w:t xml:space="preserve"> </w:t>
      </w:r>
      <w:r>
        <w:t>III:</w:t>
      </w:r>
      <w:r>
        <w:tab/>
        <w:t>SELECTION FOR HCV</w:t>
      </w:r>
      <w:r>
        <w:rPr>
          <w:spacing w:val="1"/>
        </w:rPr>
        <w:t xml:space="preserve"> </w:t>
      </w:r>
      <w:r>
        <w:t>ASSISTANCE</w:t>
      </w:r>
      <w:r>
        <w:tab/>
        <w:t>94</w:t>
      </w:r>
    </w:p>
    <w:p w:rsidR="004E13A5" w:rsidRDefault="00681463">
      <w:pPr>
        <w:pStyle w:val="BodyText"/>
        <w:tabs>
          <w:tab w:val="left" w:pos="2332"/>
          <w:tab w:val="right" w:leader="dot" w:pos="9461"/>
        </w:tabs>
        <w:spacing w:before="0"/>
        <w:ind w:left="1367"/>
      </w:pPr>
      <w:r>
        <w:t>4-III.A.</w:t>
      </w:r>
      <w:r>
        <w:tab/>
        <w:t>Overview</w:t>
      </w:r>
      <w:r>
        <w:tab/>
        <w:t>94</w:t>
      </w:r>
    </w:p>
    <w:p w:rsidR="004E13A5" w:rsidRDefault="00681463">
      <w:pPr>
        <w:pStyle w:val="BodyText"/>
        <w:tabs>
          <w:tab w:val="left" w:pos="2332"/>
          <w:tab w:val="right" w:leader="dot" w:pos="9461"/>
        </w:tabs>
        <w:spacing w:before="0"/>
        <w:ind w:left="1367"/>
      </w:pPr>
      <w:r>
        <w:t>4-III.B.</w:t>
      </w:r>
      <w:r>
        <w:tab/>
        <w:t>Selection and HCV Funding</w:t>
      </w:r>
      <w:r>
        <w:rPr>
          <w:spacing w:val="-3"/>
        </w:rPr>
        <w:t xml:space="preserve"> </w:t>
      </w:r>
      <w:r>
        <w:t>Sources</w:t>
      </w:r>
      <w:r>
        <w:tab/>
        <w:t>94</w:t>
      </w:r>
    </w:p>
    <w:p w:rsidR="004E13A5" w:rsidRDefault="00681463">
      <w:pPr>
        <w:pStyle w:val="BodyText"/>
        <w:tabs>
          <w:tab w:val="right" w:leader="dot" w:pos="9461"/>
        </w:tabs>
        <w:spacing w:before="0"/>
        <w:ind w:left="2693"/>
      </w:pPr>
      <w:r>
        <w:t>Special Admissions [24</w:t>
      </w:r>
      <w:r>
        <w:rPr>
          <w:spacing w:val="-4"/>
        </w:rPr>
        <w:t xml:space="preserve"> </w:t>
      </w:r>
      <w:r>
        <w:t>CFR</w:t>
      </w:r>
      <w:r>
        <w:rPr>
          <w:spacing w:val="-1"/>
        </w:rPr>
        <w:t xml:space="preserve"> </w:t>
      </w:r>
      <w:r>
        <w:t>982.203]</w:t>
      </w:r>
      <w:r>
        <w:tab/>
        <w:t>94</w:t>
      </w:r>
    </w:p>
    <w:p w:rsidR="004E13A5" w:rsidRDefault="00681463">
      <w:pPr>
        <w:pStyle w:val="BodyText"/>
        <w:tabs>
          <w:tab w:val="right" w:leader="dot" w:pos="9461"/>
        </w:tabs>
        <w:spacing w:before="0"/>
        <w:ind w:left="2693"/>
      </w:pPr>
      <w:r>
        <w:t>Targeted Funding [24</w:t>
      </w:r>
      <w:r>
        <w:rPr>
          <w:spacing w:val="-3"/>
        </w:rPr>
        <w:t xml:space="preserve"> </w:t>
      </w:r>
      <w:r>
        <w:t>CFR</w:t>
      </w:r>
      <w:r>
        <w:rPr>
          <w:spacing w:val="-1"/>
        </w:rPr>
        <w:t xml:space="preserve"> </w:t>
      </w:r>
      <w:r>
        <w:t>982.204(e)]</w:t>
      </w:r>
      <w:r>
        <w:tab/>
        <w:t>94</w:t>
      </w:r>
    </w:p>
    <w:p w:rsidR="004E13A5" w:rsidRDefault="00681463">
      <w:pPr>
        <w:pStyle w:val="BodyText"/>
        <w:tabs>
          <w:tab w:val="right" w:leader="dot" w:pos="9461"/>
        </w:tabs>
        <w:spacing w:before="0"/>
        <w:ind w:left="2693"/>
      </w:pPr>
      <w:r>
        <w:t>Regular</w:t>
      </w:r>
      <w:r>
        <w:rPr>
          <w:spacing w:val="-1"/>
        </w:rPr>
        <w:t xml:space="preserve"> </w:t>
      </w:r>
      <w:r>
        <w:t>HCV</w:t>
      </w:r>
      <w:r>
        <w:rPr>
          <w:spacing w:val="-1"/>
        </w:rPr>
        <w:t xml:space="preserve"> </w:t>
      </w:r>
      <w:r>
        <w:t>Funding</w:t>
      </w:r>
      <w:r>
        <w:tab/>
        <w:t>95</w:t>
      </w:r>
    </w:p>
    <w:p w:rsidR="004E13A5" w:rsidRDefault="004E13A5">
      <w:pPr>
        <w:sectPr w:rsidR="004E13A5">
          <w:pgSz w:w="12240" w:h="15840"/>
          <w:pgMar w:top="1360" w:right="1320" w:bottom="640" w:left="1340" w:header="0" w:footer="381" w:gutter="0"/>
          <w:cols w:space="720"/>
        </w:sectPr>
      </w:pPr>
    </w:p>
    <w:p w:rsidR="004E13A5" w:rsidRDefault="00681463">
      <w:pPr>
        <w:pStyle w:val="BodyText"/>
        <w:tabs>
          <w:tab w:val="left" w:pos="2332"/>
          <w:tab w:val="right" w:leader="dot" w:pos="9461"/>
        </w:tabs>
        <w:spacing w:before="79"/>
        <w:ind w:left="1367"/>
      </w:pPr>
      <w:r>
        <w:lastRenderedPageBreak/>
        <w:t>4-III.C.</w:t>
      </w:r>
      <w:r>
        <w:tab/>
        <w:t>Selection</w:t>
      </w:r>
      <w:r>
        <w:rPr>
          <w:spacing w:val="-1"/>
        </w:rPr>
        <w:t xml:space="preserve"> </w:t>
      </w:r>
      <w:r>
        <w:t>Method</w:t>
      </w:r>
      <w:r>
        <w:tab/>
        <w:t>95</w:t>
      </w:r>
    </w:p>
    <w:p w:rsidR="004E13A5" w:rsidRDefault="00681463">
      <w:pPr>
        <w:pStyle w:val="BodyText"/>
        <w:tabs>
          <w:tab w:val="right" w:leader="dot" w:pos="9461"/>
        </w:tabs>
        <w:spacing w:before="0"/>
        <w:ind w:left="2693"/>
      </w:pPr>
      <w:r>
        <w:t>Local Preferences [24 CFR 982.207; HCV</w:t>
      </w:r>
      <w:r>
        <w:rPr>
          <w:spacing w:val="-1"/>
        </w:rPr>
        <w:t xml:space="preserve"> </w:t>
      </w:r>
      <w:r>
        <w:t>p.</w:t>
      </w:r>
      <w:r>
        <w:rPr>
          <w:spacing w:val="-1"/>
        </w:rPr>
        <w:t xml:space="preserve"> </w:t>
      </w:r>
      <w:r>
        <w:t>4-16]</w:t>
      </w:r>
      <w:r>
        <w:tab/>
        <w:t>95</w:t>
      </w:r>
    </w:p>
    <w:p w:rsidR="004E13A5" w:rsidRDefault="00681463">
      <w:pPr>
        <w:pStyle w:val="BodyText"/>
        <w:tabs>
          <w:tab w:val="right" w:leader="dot" w:pos="9461"/>
        </w:tabs>
        <w:spacing w:before="0"/>
        <w:ind w:left="2693"/>
      </w:pPr>
      <w:r>
        <w:t>Income Targeting Requirement [24</w:t>
      </w:r>
      <w:r>
        <w:rPr>
          <w:spacing w:val="-5"/>
        </w:rPr>
        <w:t xml:space="preserve"> </w:t>
      </w:r>
      <w:r>
        <w:t>CFR</w:t>
      </w:r>
      <w:r>
        <w:rPr>
          <w:spacing w:val="-1"/>
        </w:rPr>
        <w:t xml:space="preserve"> </w:t>
      </w:r>
      <w:r>
        <w:t>982.201(b)(2)]</w:t>
      </w:r>
      <w:r>
        <w:tab/>
        <w:t>95</w:t>
      </w:r>
    </w:p>
    <w:p w:rsidR="004E13A5" w:rsidRDefault="00681463">
      <w:pPr>
        <w:pStyle w:val="BodyText"/>
        <w:tabs>
          <w:tab w:val="right" w:leader="dot" w:pos="9461"/>
        </w:tabs>
        <w:spacing w:before="0"/>
        <w:ind w:left="2693"/>
      </w:pPr>
      <w:r>
        <w:t>Order</w:t>
      </w:r>
      <w:r>
        <w:rPr>
          <w:spacing w:val="-1"/>
        </w:rPr>
        <w:t xml:space="preserve"> </w:t>
      </w:r>
      <w:r>
        <w:t>of</w:t>
      </w:r>
      <w:r>
        <w:rPr>
          <w:spacing w:val="-1"/>
        </w:rPr>
        <w:t xml:space="preserve"> </w:t>
      </w:r>
      <w:r>
        <w:t>Selection</w:t>
      </w:r>
      <w:r>
        <w:tab/>
        <w:t>95</w:t>
      </w:r>
    </w:p>
    <w:p w:rsidR="004E13A5" w:rsidRDefault="00681463">
      <w:pPr>
        <w:pStyle w:val="BodyText"/>
        <w:tabs>
          <w:tab w:val="left" w:pos="2332"/>
          <w:tab w:val="right" w:leader="dot" w:pos="9461"/>
        </w:tabs>
        <w:spacing w:before="0"/>
        <w:ind w:left="1367"/>
      </w:pPr>
      <w:r>
        <w:t>4-III.D.</w:t>
      </w:r>
      <w:r>
        <w:tab/>
        <w:t>Notification</w:t>
      </w:r>
      <w:r>
        <w:rPr>
          <w:spacing w:val="-1"/>
        </w:rPr>
        <w:t xml:space="preserve"> </w:t>
      </w:r>
      <w:r>
        <w:t>of</w:t>
      </w:r>
      <w:r>
        <w:rPr>
          <w:spacing w:val="-2"/>
        </w:rPr>
        <w:t xml:space="preserve"> </w:t>
      </w:r>
      <w:r>
        <w:t>Selection</w:t>
      </w:r>
      <w:r>
        <w:tab/>
        <w:t>96</w:t>
      </w:r>
    </w:p>
    <w:p w:rsidR="004E13A5" w:rsidRDefault="00681463">
      <w:pPr>
        <w:pStyle w:val="BodyText"/>
        <w:tabs>
          <w:tab w:val="left" w:pos="2332"/>
          <w:tab w:val="right" w:leader="dot" w:pos="9461"/>
        </w:tabs>
        <w:spacing w:before="0"/>
        <w:ind w:left="1367"/>
      </w:pPr>
      <w:r>
        <w:t>4-III.E.</w:t>
      </w:r>
      <w:r>
        <w:tab/>
        <w:t>The</w:t>
      </w:r>
      <w:r>
        <w:rPr>
          <w:spacing w:val="-3"/>
        </w:rPr>
        <w:t xml:space="preserve"> </w:t>
      </w:r>
      <w:r>
        <w:t>Application</w:t>
      </w:r>
      <w:r>
        <w:rPr>
          <w:spacing w:val="1"/>
        </w:rPr>
        <w:t xml:space="preserve"> </w:t>
      </w:r>
      <w:r>
        <w:t>Interview</w:t>
      </w:r>
      <w:r>
        <w:tab/>
        <w:t>96</w:t>
      </w:r>
    </w:p>
    <w:p w:rsidR="004E13A5" w:rsidRDefault="00681463">
      <w:pPr>
        <w:pStyle w:val="BodyText"/>
        <w:tabs>
          <w:tab w:val="left" w:pos="2332"/>
          <w:tab w:val="right" w:leader="dot" w:pos="9461"/>
        </w:tabs>
        <w:spacing w:before="0"/>
        <w:ind w:left="1367"/>
      </w:pPr>
      <w:r>
        <w:t>4-III.F.</w:t>
      </w:r>
      <w:r>
        <w:tab/>
        <w:t>Completing the</w:t>
      </w:r>
      <w:r>
        <w:rPr>
          <w:spacing w:val="-4"/>
        </w:rPr>
        <w:t xml:space="preserve"> </w:t>
      </w:r>
      <w:r>
        <w:t>Application</w:t>
      </w:r>
      <w:r>
        <w:rPr>
          <w:spacing w:val="-1"/>
        </w:rPr>
        <w:t xml:space="preserve"> </w:t>
      </w:r>
      <w:r>
        <w:t>Process</w:t>
      </w:r>
      <w:r>
        <w:tab/>
        <w:t>98</w:t>
      </w:r>
    </w:p>
    <w:p w:rsidR="004E13A5" w:rsidRDefault="00681463">
      <w:pPr>
        <w:pStyle w:val="Heading4"/>
        <w:spacing w:before="515"/>
        <w:ind w:left="0" w:right="21"/>
        <w:jc w:val="center"/>
      </w:pPr>
      <w:r>
        <w:t>Chapter 5</w:t>
      </w:r>
    </w:p>
    <w:p w:rsidR="004E13A5" w:rsidRDefault="00681463">
      <w:pPr>
        <w:pStyle w:val="Heading4"/>
        <w:ind w:left="0" w:right="21"/>
        <w:jc w:val="center"/>
      </w:pPr>
      <w:r>
        <w:t>BRIEFINGS AND VOUCHER ISSUANCE</w:t>
      </w:r>
    </w:p>
    <w:p w:rsidR="004E13A5" w:rsidRDefault="00681463">
      <w:pPr>
        <w:pStyle w:val="BodyText"/>
        <w:tabs>
          <w:tab w:val="left" w:pos="1259"/>
          <w:tab w:val="right" w:leader="dot" w:pos="9361"/>
        </w:tabs>
        <w:spacing w:before="120"/>
        <w:ind w:left="0" w:right="15"/>
        <w:jc w:val="center"/>
      </w:pPr>
      <w:r>
        <w:t>PART</w:t>
      </w:r>
      <w:r>
        <w:rPr>
          <w:spacing w:val="1"/>
        </w:rPr>
        <w:t xml:space="preserve"> </w:t>
      </w:r>
      <w:r>
        <w:rPr>
          <w:spacing w:val="-3"/>
        </w:rPr>
        <w:t>I:</w:t>
      </w:r>
      <w:r>
        <w:rPr>
          <w:spacing w:val="-3"/>
        </w:rPr>
        <w:tab/>
      </w:r>
      <w:r>
        <w:t>BRIEFINGS AND FAMILY OBLIGATIONS</w:t>
      </w:r>
      <w:r>
        <w:tab/>
        <w:t>99</w:t>
      </w:r>
    </w:p>
    <w:p w:rsidR="004E13A5" w:rsidRDefault="00681463">
      <w:pPr>
        <w:pStyle w:val="BodyText"/>
        <w:tabs>
          <w:tab w:val="left" w:pos="2332"/>
          <w:tab w:val="right" w:leader="dot" w:pos="9461"/>
        </w:tabs>
        <w:spacing w:before="0"/>
        <w:ind w:left="1367"/>
      </w:pPr>
      <w:r>
        <w:t>5-I.A.</w:t>
      </w:r>
      <w:r>
        <w:tab/>
        <w:t>Overview</w:t>
      </w:r>
      <w:r>
        <w:tab/>
        <w:t>99</w:t>
      </w:r>
    </w:p>
    <w:p w:rsidR="004E13A5" w:rsidRDefault="00681463">
      <w:pPr>
        <w:pStyle w:val="BodyText"/>
        <w:tabs>
          <w:tab w:val="left" w:pos="2332"/>
          <w:tab w:val="right" w:leader="dot" w:pos="9461"/>
        </w:tabs>
        <w:spacing w:before="1"/>
        <w:ind w:left="1367"/>
      </w:pPr>
      <w:r>
        <w:t>5-I.B.</w:t>
      </w:r>
      <w:r>
        <w:tab/>
        <w:t>Briefing [24</w:t>
      </w:r>
      <w:r>
        <w:rPr>
          <w:spacing w:val="-4"/>
        </w:rPr>
        <w:t xml:space="preserve"> </w:t>
      </w:r>
      <w:r>
        <w:t>CFR</w:t>
      </w:r>
      <w:r>
        <w:rPr>
          <w:spacing w:val="-1"/>
        </w:rPr>
        <w:t xml:space="preserve"> </w:t>
      </w:r>
      <w:r>
        <w:t>982.301]</w:t>
      </w:r>
      <w:r>
        <w:tab/>
        <w:t>99</w:t>
      </w:r>
    </w:p>
    <w:p w:rsidR="004E13A5" w:rsidRDefault="00681463">
      <w:pPr>
        <w:pStyle w:val="BodyText"/>
        <w:tabs>
          <w:tab w:val="right" w:leader="dot" w:pos="9461"/>
        </w:tabs>
        <w:spacing w:before="0"/>
        <w:ind w:left="2693"/>
      </w:pPr>
      <w:r>
        <w:t>Notification</w:t>
      </w:r>
      <w:r>
        <w:rPr>
          <w:spacing w:val="-1"/>
        </w:rPr>
        <w:t xml:space="preserve"> </w:t>
      </w:r>
      <w:r>
        <w:t>and</w:t>
      </w:r>
      <w:r>
        <w:rPr>
          <w:spacing w:val="-1"/>
        </w:rPr>
        <w:t xml:space="preserve"> </w:t>
      </w:r>
      <w:r>
        <w:t>Attendance</w:t>
      </w:r>
      <w:r>
        <w:tab/>
        <w:t>99</w:t>
      </w:r>
    </w:p>
    <w:p w:rsidR="004E13A5" w:rsidRDefault="00681463">
      <w:pPr>
        <w:pStyle w:val="BodyText"/>
        <w:tabs>
          <w:tab w:val="right" w:leader="dot" w:pos="9461"/>
        </w:tabs>
        <w:spacing w:before="0"/>
        <w:ind w:left="2693"/>
      </w:pPr>
      <w:r>
        <w:t>In-Person Briefings</w:t>
      </w:r>
      <w:r>
        <w:tab/>
        <w:t>100</w:t>
      </w:r>
    </w:p>
    <w:p w:rsidR="004E13A5" w:rsidRDefault="00681463">
      <w:pPr>
        <w:pStyle w:val="BodyText"/>
        <w:tabs>
          <w:tab w:val="right" w:leader="dot" w:pos="9461"/>
        </w:tabs>
        <w:spacing w:before="0"/>
        <w:ind w:left="2693"/>
      </w:pPr>
      <w:r>
        <w:t>Remote Briefings [Notice</w:t>
      </w:r>
      <w:r>
        <w:rPr>
          <w:spacing w:val="-3"/>
        </w:rPr>
        <w:t xml:space="preserve"> </w:t>
      </w:r>
      <w:r>
        <w:t>PIH</w:t>
      </w:r>
      <w:r>
        <w:rPr>
          <w:spacing w:val="-1"/>
        </w:rPr>
        <w:t xml:space="preserve"> </w:t>
      </w:r>
      <w:r>
        <w:t>2020-32]</w:t>
      </w:r>
      <w:r>
        <w:tab/>
        <w:t>100</w:t>
      </w:r>
    </w:p>
    <w:p w:rsidR="004E13A5" w:rsidRDefault="00681463">
      <w:pPr>
        <w:pStyle w:val="BodyText"/>
        <w:spacing w:before="0"/>
        <w:ind w:left="2693"/>
      </w:pPr>
      <w:r>
        <w:t>Accessibility Requirements for Persons with</w:t>
      </w:r>
    </w:p>
    <w:p w:rsidR="004E13A5" w:rsidRDefault="00681463">
      <w:pPr>
        <w:pStyle w:val="BodyText"/>
        <w:tabs>
          <w:tab w:val="right" w:leader="dot" w:pos="9461"/>
        </w:tabs>
        <w:spacing w:before="0"/>
        <w:ind w:left="2693"/>
      </w:pPr>
      <w:r>
        <w:t>Disabilities and</w:t>
      </w:r>
      <w:r>
        <w:rPr>
          <w:spacing w:val="1"/>
        </w:rPr>
        <w:t xml:space="preserve"> </w:t>
      </w:r>
      <w:r>
        <w:t>LEP</w:t>
      </w:r>
      <w:r>
        <w:rPr>
          <w:spacing w:val="1"/>
        </w:rPr>
        <w:t xml:space="preserve"> </w:t>
      </w:r>
      <w:r>
        <w:t>Individuals</w:t>
      </w:r>
      <w:r>
        <w:tab/>
        <w:t>101</w:t>
      </w:r>
    </w:p>
    <w:p w:rsidR="004E13A5" w:rsidRDefault="00681463">
      <w:pPr>
        <w:pStyle w:val="BodyText"/>
        <w:tabs>
          <w:tab w:val="right" w:leader="dot" w:pos="9461"/>
        </w:tabs>
        <w:spacing w:before="0"/>
        <w:ind w:left="2693"/>
      </w:pPr>
      <w:r>
        <w:t>Conducting</w:t>
      </w:r>
      <w:r>
        <w:rPr>
          <w:spacing w:val="-4"/>
        </w:rPr>
        <w:t xml:space="preserve"> </w:t>
      </w:r>
      <w:r>
        <w:t>Remote</w:t>
      </w:r>
      <w:r>
        <w:rPr>
          <w:spacing w:val="-2"/>
        </w:rPr>
        <w:t xml:space="preserve"> </w:t>
      </w:r>
      <w:r>
        <w:t>Briefings</w:t>
      </w:r>
      <w:r>
        <w:tab/>
        <w:t>101</w:t>
      </w:r>
    </w:p>
    <w:p w:rsidR="004E13A5" w:rsidRDefault="00681463">
      <w:pPr>
        <w:pStyle w:val="BodyText"/>
        <w:tabs>
          <w:tab w:val="right" w:leader="dot" w:pos="9461"/>
        </w:tabs>
        <w:spacing w:before="0"/>
        <w:ind w:left="2693"/>
      </w:pPr>
      <w:r>
        <w:t>Oral Briefing [24</w:t>
      </w:r>
      <w:r>
        <w:rPr>
          <w:spacing w:val="-4"/>
        </w:rPr>
        <w:t xml:space="preserve"> </w:t>
      </w:r>
      <w:r>
        <w:t>CFR</w:t>
      </w:r>
      <w:r>
        <w:rPr>
          <w:spacing w:val="-1"/>
        </w:rPr>
        <w:t xml:space="preserve"> </w:t>
      </w:r>
      <w:r>
        <w:t>982.301(a)]</w:t>
      </w:r>
      <w:r>
        <w:tab/>
        <w:t>102</w:t>
      </w:r>
    </w:p>
    <w:p w:rsidR="004E13A5" w:rsidRDefault="00681463">
      <w:pPr>
        <w:pStyle w:val="BodyText"/>
        <w:tabs>
          <w:tab w:val="right" w:leader="dot" w:pos="9461"/>
        </w:tabs>
        <w:spacing w:before="0"/>
        <w:ind w:left="2693"/>
      </w:pPr>
      <w:r>
        <w:t>Briefing Packet [24</w:t>
      </w:r>
      <w:r>
        <w:rPr>
          <w:spacing w:val="-4"/>
        </w:rPr>
        <w:t xml:space="preserve"> </w:t>
      </w:r>
      <w:r>
        <w:t>CFR</w:t>
      </w:r>
      <w:r>
        <w:rPr>
          <w:spacing w:val="-1"/>
        </w:rPr>
        <w:t xml:space="preserve"> </w:t>
      </w:r>
      <w:r>
        <w:t>982.301(b)]</w:t>
      </w:r>
      <w:r>
        <w:tab/>
        <w:t>102</w:t>
      </w:r>
    </w:p>
    <w:p w:rsidR="004E13A5" w:rsidRDefault="00681463">
      <w:pPr>
        <w:pStyle w:val="BodyText"/>
        <w:tabs>
          <w:tab w:val="right" w:leader="dot" w:pos="9461"/>
        </w:tabs>
        <w:spacing w:before="0"/>
        <w:ind w:left="2693"/>
      </w:pPr>
      <w:r>
        <w:t>Additional Items to be Included in the</w:t>
      </w:r>
      <w:r>
        <w:rPr>
          <w:spacing w:val="-1"/>
        </w:rPr>
        <w:t xml:space="preserve"> </w:t>
      </w:r>
      <w:r>
        <w:t>Briefing</w:t>
      </w:r>
      <w:r>
        <w:rPr>
          <w:spacing w:val="-4"/>
        </w:rPr>
        <w:t xml:space="preserve"> </w:t>
      </w:r>
      <w:r>
        <w:t>Packet</w:t>
      </w:r>
      <w:r>
        <w:tab/>
        <w:t>104</w:t>
      </w:r>
    </w:p>
    <w:p w:rsidR="004E13A5" w:rsidRDefault="00681463">
      <w:pPr>
        <w:pStyle w:val="BodyText"/>
        <w:tabs>
          <w:tab w:val="left" w:pos="2332"/>
          <w:tab w:val="right" w:leader="dot" w:pos="9461"/>
        </w:tabs>
        <w:spacing w:before="0"/>
        <w:ind w:left="1367"/>
      </w:pPr>
      <w:r>
        <w:t>5-I.C.</w:t>
      </w:r>
      <w:r>
        <w:tab/>
        <w:t>Family</w:t>
      </w:r>
      <w:r>
        <w:rPr>
          <w:spacing w:val="-3"/>
        </w:rPr>
        <w:t xml:space="preserve"> </w:t>
      </w:r>
      <w:r>
        <w:t>Obligations</w:t>
      </w:r>
      <w:r>
        <w:tab/>
        <w:t>104</w:t>
      </w:r>
    </w:p>
    <w:p w:rsidR="004E13A5" w:rsidRDefault="00681463">
      <w:pPr>
        <w:pStyle w:val="BodyText"/>
        <w:tabs>
          <w:tab w:val="right" w:leader="dot" w:pos="9461"/>
        </w:tabs>
        <w:spacing w:before="0"/>
        <w:ind w:left="2693" w:right="117"/>
      </w:pPr>
      <w:r>
        <w:t>Time Frames for Reporting Changes Required by Family   Obligations</w:t>
      </w:r>
      <w:r>
        <w:tab/>
        <w:t>104</w:t>
      </w:r>
    </w:p>
    <w:p w:rsidR="004E13A5" w:rsidRDefault="00681463">
      <w:pPr>
        <w:pStyle w:val="BodyText"/>
        <w:tabs>
          <w:tab w:val="right" w:leader="dot" w:pos="9461"/>
        </w:tabs>
        <w:spacing w:before="0"/>
        <w:ind w:left="2693"/>
      </w:pPr>
      <w:r>
        <w:t>Family Obligations [24</w:t>
      </w:r>
      <w:r>
        <w:rPr>
          <w:spacing w:val="-6"/>
        </w:rPr>
        <w:t xml:space="preserve"> </w:t>
      </w:r>
      <w:r>
        <w:t>CFR</w:t>
      </w:r>
      <w:r>
        <w:rPr>
          <w:spacing w:val="-1"/>
        </w:rPr>
        <w:t xml:space="preserve"> </w:t>
      </w:r>
      <w:r>
        <w:t>982.551]</w:t>
      </w:r>
      <w:r>
        <w:tab/>
        <w:t>105</w:t>
      </w:r>
    </w:p>
    <w:p w:rsidR="004E13A5" w:rsidRDefault="00681463">
      <w:pPr>
        <w:pStyle w:val="BodyText"/>
        <w:tabs>
          <w:tab w:val="left" w:pos="1259"/>
          <w:tab w:val="right" w:leader="dot" w:pos="9361"/>
        </w:tabs>
        <w:spacing w:before="120"/>
        <w:ind w:left="0" w:right="15"/>
        <w:jc w:val="center"/>
      </w:pPr>
      <w:r>
        <w:t>PART</w:t>
      </w:r>
      <w:r>
        <w:rPr>
          <w:spacing w:val="2"/>
        </w:rPr>
        <w:t xml:space="preserve"> </w:t>
      </w:r>
      <w:r>
        <w:rPr>
          <w:spacing w:val="-3"/>
        </w:rPr>
        <w:t>II:</w:t>
      </w:r>
      <w:r>
        <w:rPr>
          <w:spacing w:val="-3"/>
        </w:rPr>
        <w:tab/>
      </w:r>
      <w:r>
        <w:t>SUBSIDY STANDARDS AND</w:t>
      </w:r>
      <w:r>
        <w:rPr>
          <w:spacing w:val="-3"/>
        </w:rPr>
        <w:t xml:space="preserve"> </w:t>
      </w:r>
      <w:r>
        <w:t>VOUCHER</w:t>
      </w:r>
      <w:r>
        <w:rPr>
          <w:spacing w:val="1"/>
        </w:rPr>
        <w:t xml:space="preserve"> </w:t>
      </w:r>
      <w:r>
        <w:t>ISSUANCE</w:t>
      </w:r>
      <w:r>
        <w:tab/>
        <w:t>107</w:t>
      </w:r>
    </w:p>
    <w:p w:rsidR="004E13A5" w:rsidRDefault="00681463">
      <w:pPr>
        <w:pStyle w:val="BodyText"/>
        <w:tabs>
          <w:tab w:val="left" w:pos="2332"/>
          <w:tab w:val="right" w:leader="dot" w:pos="9461"/>
        </w:tabs>
        <w:spacing w:before="0"/>
        <w:ind w:left="1367"/>
      </w:pPr>
      <w:r>
        <w:t>5-II.A.</w:t>
      </w:r>
      <w:r>
        <w:tab/>
        <w:t>Overview</w:t>
      </w:r>
      <w:r>
        <w:tab/>
        <w:t>107</w:t>
      </w:r>
    </w:p>
    <w:p w:rsidR="004E13A5" w:rsidRDefault="00681463">
      <w:pPr>
        <w:pStyle w:val="BodyText"/>
        <w:tabs>
          <w:tab w:val="left" w:pos="2332"/>
          <w:tab w:val="right" w:leader="dot" w:pos="9461"/>
        </w:tabs>
        <w:spacing w:before="0"/>
        <w:ind w:left="1367"/>
      </w:pPr>
      <w:r>
        <w:t>5-II.B.</w:t>
      </w:r>
      <w:r>
        <w:tab/>
        <w:t>Determining Family Unit (Voucher) Size [24</w:t>
      </w:r>
      <w:r>
        <w:rPr>
          <w:spacing w:val="-7"/>
        </w:rPr>
        <w:t xml:space="preserve"> </w:t>
      </w:r>
      <w:r>
        <w:t>CFR</w:t>
      </w:r>
      <w:r>
        <w:rPr>
          <w:spacing w:val="-3"/>
        </w:rPr>
        <w:t xml:space="preserve"> </w:t>
      </w:r>
      <w:r>
        <w:t>982.402]</w:t>
      </w:r>
      <w:r>
        <w:tab/>
        <w:t>107</w:t>
      </w:r>
    </w:p>
    <w:p w:rsidR="004E13A5" w:rsidRDefault="00681463">
      <w:pPr>
        <w:pStyle w:val="BodyText"/>
        <w:tabs>
          <w:tab w:val="left" w:pos="2332"/>
          <w:tab w:val="right" w:leader="dot" w:pos="9461"/>
        </w:tabs>
        <w:spacing w:before="0"/>
        <w:ind w:left="1367"/>
      </w:pPr>
      <w:r>
        <w:t>5-II.C.</w:t>
      </w:r>
      <w:r>
        <w:tab/>
        <w:t>Exceptions to</w:t>
      </w:r>
      <w:r>
        <w:rPr>
          <w:spacing w:val="-1"/>
        </w:rPr>
        <w:t xml:space="preserve"> </w:t>
      </w:r>
      <w:r>
        <w:t>Subsidy</w:t>
      </w:r>
      <w:r>
        <w:rPr>
          <w:spacing w:val="-6"/>
        </w:rPr>
        <w:t xml:space="preserve"> </w:t>
      </w:r>
      <w:r>
        <w:t>Standards</w:t>
      </w:r>
      <w:r>
        <w:tab/>
        <w:t>108</w:t>
      </w:r>
    </w:p>
    <w:p w:rsidR="004E13A5" w:rsidRDefault="00681463">
      <w:pPr>
        <w:pStyle w:val="BodyText"/>
        <w:tabs>
          <w:tab w:val="left" w:pos="2332"/>
          <w:tab w:val="right" w:leader="dot" w:pos="9461"/>
        </w:tabs>
        <w:spacing w:before="0"/>
        <w:ind w:left="1367"/>
      </w:pPr>
      <w:r>
        <w:t>5-II.D.</w:t>
      </w:r>
      <w:r>
        <w:tab/>
        <w:t>Voucher Issuance [24</w:t>
      </w:r>
      <w:r>
        <w:rPr>
          <w:spacing w:val="1"/>
        </w:rPr>
        <w:t xml:space="preserve"> </w:t>
      </w:r>
      <w:r>
        <w:t>CFR</w:t>
      </w:r>
      <w:r>
        <w:rPr>
          <w:spacing w:val="-1"/>
        </w:rPr>
        <w:t xml:space="preserve"> </w:t>
      </w:r>
      <w:r>
        <w:t>982.302]</w:t>
      </w:r>
      <w:r>
        <w:tab/>
        <w:t>109</w:t>
      </w:r>
    </w:p>
    <w:p w:rsidR="004E13A5" w:rsidRDefault="00681463">
      <w:pPr>
        <w:pStyle w:val="BodyText"/>
        <w:tabs>
          <w:tab w:val="left" w:pos="2332"/>
          <w:tab w:val="right" w:leader="dot" w:pos="9461"/>
        </w:tabs>
        <w:spacing w:before="0"/>
        <w:ind w:left="1367"/>
      </w:pPr>
      <w:r>
        <w:t>5-II.E.</w:t>
      </w:r>
      <w:r>
        <w:tab/>
        <w:t>Voucher Term, Extensions,</w:t>
      </w:r>
      <w:r>
        <w:rPr>
          <w:spacing w:val="-2"/>
        </w:rPr>
        <w:t xml:space="preserve"> </w:t>
      </w:r>
      <w:r>
        <w:t>and</w:t>
      </w:r>
      <w:r>
        <w:rPr>
          <w:spacing w:val="-2"/>
        </w:rPr>
        <w:t xml:space="preserve"> </w:t>
      </w:r>
      <w:r>
        <w:t>Suspensions</w:t>
      </w:r>
      <w:r>
        <w:tab/>
        <w:t>110</w:t>
      </w:r>
    </w:p>
    <w:p w:rsidR="004E13A5" w:rsidRDefault="00681463">
      <w:pPr>
        <w:pStyle w:val="BodyText"/>
        <w:tabs>
          <w:tab w:val="right" w:leader="dot" w:pos="9461"/>
        </w:tabs>
        <w:spacing w:before="0"/>
        <w:ind w:left="2693"/>
      </w:pPr>
      <w:r>
        <w:t>Voucher Term [24</w:t>
      </w:r>
      <w:r>
        <w:rPr>
          <w:spacing w:val="-1"/>
        </w:rPr>
        <w:t xml:space="preserve"> </w:t>
      </w:r>
      <w:r>
        <w:t>CFR</w:t>
      </w:r>
      <w:r>
        <w:rPr>
          <w:spacing w:val="-1"/>
        </w:rPr>
        <w:t xml:space="preserve"> </w:t>
      </w:r>
      <w:r>
        <w:t>982.303]</w:t>
      </w:r>
      <w:r>
        <w:tab/>
        <w:t>110</w:t>
      </w:r>
    </w:p>
    <w:p w:rsidR="004E13A5" w:rsidRDefault="00681463">
      <w:pPr>
        <w:pStyle w:val="BodyText"/>
        <w:tabs>
          <w:tab w:val="right" w:leader="dot" w:pos="9461"/>
        </w:tabs>
        <w:spacing w:before="0"/>
        <w:ind w:left="2693"/>
      </w:pPr>
      <w:r>
        <w:t>Extensions of Voucher Term [24</w:t>
      </w:r>
      <w:r>
        <w:rPr>
          <w:spacing w:val="-2"/>
        </w:rPr>
        <w:t xml:space="preserve"> </w:t>
      </w:r>
      <w:r>
        <w:t>CFR</w:t>
      </w:r>
      <w:r>
        <w:rPr>
          <w:spacing w:val="-1"/>
        </w:rPr>
        <w:t xml:space="preserve"> </w:t>
      </w:r>
      <w:r>
        <w:t>982.303(b)]</w:t>
      </w:r>
      <w:r>
        <w:tab/>
        <w:t>110</w:t>
      </w:r>
    </w:p>
    <w:p w:rsidR="004E13A5" w:rsidRDefault="00681463">
      <w:pPr>
        <w:pStyle w:val="BodyText"/>
        <w:tabs>
          <w:tab w:val="right" w:leader="dot" w:pos="9461"/>
        </w:tabs>
        <w:spacing w:before="0"/>
        <w:ind w:left="2693"/>
      </w:pPr>
      <w:r>
        <w:t>Suspensions of Voucher Term [24</w:t>
      </w:r>
      <w:r>
        <w:rPr>
          <w:spacing w:val="-1"/>
        </w:rPr>
        <w:t xml:space="preserve"> </w:t>
      </w:r>
      <w:r>
        <w:t>CFR</w:t>
      </w:r>
      <w:r>
        <w:rPr>
          <w:spacing w:val="-1"/>
        </w:rPr>
        <w:t xml:space="preserve"> </w:t>
      </w:r>
      <w:r>
        <w:t>982.303(c)]</w:t>
      </w:r>
      <w:r>
        <w:tab/>
        <w:t>111</w:t>
      </w:r>
    </w:p>
    <w:p w:rsidR="004E13A5" w:rsidRDefault="00681463">
      <w:pPr>
        <w:pStyle w:val="BodyText"/>
        <w:tabs>
          <w:tab w:val="right" w:leader="dot" w:pos="9461"/>
        </w:tabs>
        <w:spacing w:before="0"/>
        <w:ind w:left="2693"/>
      </w:pPr>
      <w:r>
        <w:t>Expiration of</w:t>
      </w:r>
      <w:r>
        <w:rPr>
          <w:spacing w:val="-1"/>
        </w:rPr>
        <w:t xml:space="preserve"> </w:t>
      </w:r>
      <w:r>
        <w:t>Voucher</w:t>
      </w:r>
      <w:r>
        <w:rPr>
          <w:spacing w:val="-1"/>
        </w:rPr>
        <w:t xml:space="preserve"> </w:t>
      </w:r>
      <w:r>
        <w:t>Term</w:t>
      </w:r>
      <w:r>
        <w:tab/>
        <w:t>111</w:t>
      </w:r>
    </w:p>
    <w:p w:rsidR="004E13A5" w:rsidRDefault="004E13A5">
      <w:pPr>
        <w:pStyle w:val="BodyText"/>
        <w:spacing w:before="0"/>
        <w:ind w:left="0"/>
        <w:rPr>
          <w:sz w:val="26"/>
        </w:rPr>
      </w:pPr>
    </w:p>
    <w:p w:rsidR="004E13A5" w:rsidRDefault="00681463">
      <w:pPr>
        <w:spacing w:before="217"/>
        <w:ind w:right="21"/>
        <w:jc w:val="center"/>
        <w:rPr>
          <w:b/>
          <w:sz w:val="24"/>
        </w:rPr>
      </w:pPr>
      <w:r>
        <w:rPr>
          <w:b/>
          <w:sz w:val="24"/>
        </w:rPr>
        <w:t>Chapter 6</w:t>
      </w:r>
    </w:p>
    <w:p w:rsidR="004E13A5" w:rsidRDefault="00681463">
      <w:pPr>
        <w:ind w:right="22"/>
        <w:jc w:val="center"/>
        <w:rPr>
          <w:b/>
          <w:sz w:val="24"/>
        </w:rPr>
      </w:pPr>
      <w:r>
        <w:rPr>
          <w:b/>
          <w:sz w:val="24"/>
        </w:rPr>
        <w:t>INCOME AND SUBSIDY DETERMINATIONS</w:t>
      </w:r>
    </w:p>
    <w:p w:rsidR="004E13A5" w:rsidRDefault="00681463">
      <w:pPr>
        <w:pStyle w:val="BodyText"/>
        <w:spacing w:before="0"/>
        <w:ind w:left="0" w:right="22"/>
        <w:jc w:val="center"/>
      </w:pPr>
      <w:r>
        <w:t>[24 CFR Part 5, Subparts E and F; 24 CFR 982]</w:t>
      </w:r>
    </w:p>
    <w:p w:rsidR="004E13A5" w:rsidRDefault="00681463">
      <w:pPr>
        <w:pStyle w:val="BodyText"/>
        <w:tabs>
          <w:tab w:val="left" w:pos="1259"/>
          <w:tab w:val="right" w:leader="dot" w:pos="9361"/>
        </w:tabs>
        <w:ind w:left="0" w:right="15"/>
        <w:jc w:val="center"/>
      </w:pPr>
      <w:r>
        <w:t>PART</w:t>
      </w:r>
      <w:r>
        <w:rPr>
          <w:spacing w:val="1"/>
        </w:rPr>
        <w:t xml:space="preserve"> </w:t>
      </w:r>
      <w:r>
        <w:rPr>
          <w:spacing w:val="-3"/>
        </w:rPr>
        <w:t>I:</w:t>
      </w:r>
      <w:r>
        <w:rPr>
          <w:spacing w:val="-3"/>
        </w:rPr>
        <w:tab/>
      </w:r>
      <w:r>
        <w:t>ANNUAL INCOME</w:t>
      </w:r>
      <w:r>
        <w:tab/>
        <w:t>112</w:t>
      </w:r>
    </w:p>
    <w:p w:rsidR="004E13A5" w:rsidRDefault="00681463">
      <w:pPr>
        <w:pStyle w:val="BodyText"/>
        <w:tabs>
          <w:tab w:val="left" w:pos="2332"/>
          <w:tab w:val="right" w:leader="dot" w:pos="9461"/>
        </w:tabs>
        <w:spacing w:before="0"/>
        <w:ind w:left="1367"/>
      </w:pPr>
      <w:r>
        <w:t>6-I.A.</w:t>
      </w:r>
      <w:r>
        <w:tab/>
        <w:t>Overview</w:t>
      </w:r>
      <w:r>
        <w:tab/>
        <w:t>112</w:t>
      </w:r>
    </w:p>
    <w:p w:rsidR="004E13A5" w:rsidRDefault="00681463">
      <w:pPr>
        <w:pStyle w:val="BodyText"/>
        <w:tabs>
          <w:tab w:val="left" w:pos="2332"/>
          <w:tab w:val="right" w:leader="dot" w:pos="9461"/>
        </w:tabs>
        <w:spacing w:before="0"/>
        <w:ind w:left="1367"/>
      </w:pPr>
      <w:r>
        <w:t>6-I.B.</w:t>
      </w:r>
      <w:r>
        <w:tab/>
        <w:t>Household Composition</w:t>
      </w:r>
      <w:r>
        <w:rPr>
          <w:spacing w:val="-3"/>
        </w:rPr>
        <w:t xml:space="preserve"> </w:t>
      </w:r>
      <w:r>
        <w:t>and</w:t>
      </w:r>
      <w:r>
        <w:rPr>
          <w:spacing w:val="1"/>
        </w:rPr>
        <w:t xml:space="preserve"> </w:t>
      </w:r>
      <w:r>
        <w:t>Income</w:t>
      </w:r>
      <w:r>
        <w:tab/>
        <w:t>113</w:t>
      </w:r>
    </w:p>
    <w:p w:rsidR="004E13A5" w:rsidRDefault="00681463">
      <w:pPr>
        <w:pStyle w:val="BodyText"/>
        <w:tabs>
          <w:tab w:val="right" w:leader="dot" w:pos="9461"/>
        </w:tabs>
        <w:spacing w:before="0"/>
        <w:ind w:left="2693"/>
      </w:pPr>
      <w:r>
        <w:t>Summary of Income Included and Excluded</w:t>
      </w:r>
      <w:r>
        <w:rPr>
          <w:spacing w:val="-4"/>
        </w:rPr>
        <w:t xml:space="preserve"> </w:t>
      </w:r>
      <w:r>
        <w:t>by</w:t>
      </w:r>
      <w:r>
        <w:rPr>
          <w:spacing w:val="-6"/>
        </w:rPr>
        <w:t xml:space="preserve"> </w:t>
      </w:r>
      <w:r>
        <w:t>Person</w:t>
      </w:r>
      <w:r>
        <w:tab/>
        <w:t>113</w:t>
      </w:r>
    </w:p>
    <w:p w:rsidR="004E13A5" w:rsidRDefault="00681463">
      <w:pPr>
        <w:pStyle w:val="BodyText"/>
        <w:tabs>
          <w:tab w:val="right" w:leader="dot" w:pos="9461"/>
        </w:tabs>
        <w:spacing w:before="0"/>
        <w:ind w:left="2693"/>
      </w:pPr>
      <w:r>
        <w:t>Temporarily Absent</w:t>
      </w:r>
      <w:r>
        <w:rPr>
          <w:spacing w:val="-4"/>
        </w:rPr>
        <w:t xml:space="preserve"> </w:t>
      </w:r>
      <w:r>
        <w:t>Family</w:t>
      </w:r>
      <w:r>
        <w:rPr>
          <w:spacing w:val="-6"/>
        </w:rPr>
        <w:t xml:space="preserve"> </w:t>
      </w:r>
      <w:r>
        <w:t>Members</w:t>
      </w:r>
      <w:r>
        <w:tab/>
        <w:t>113</w:t>
      </w:r>
    </w:p>
    <w:p w:rsidR="004E13A5" w:rsidRDefault="004E13A5">
      <w:pPr>
        <w:sectPr w:rsidR="004E13A5">
          <w:pgSz w:w="12240" w:h="15840"/>
          <w:pgMar w:top="1360" w:right="1320" w:bottom="640" w:left="1340" w:header="0" w:footer="381" w:gutter="0"/>
          <w:cols w:space="720"/>
        </w:sectPr>
      </w:pPr>
    </w:p>
    <w:p w:rsidR="004E13A5" w:rsidRDefault="00681463">
      <w:pPr>
        <w:pStyle w:val="BodyText"/>
        <w:tabs>
          <w:tab w:val="right" w:leader="dot" w:pos="9081"/>
        </w:tabs>
        <w:spacing w:before="79"/>
        <w:ind w:left="2313"/>
      </w:pPr>
      <w:r>
        <w:lastRenderedPageBreak/>
        <w:t>Family Members Permanently Confined for</w:t>
      </w:r>
      <w:r>
        <w:rPr>
          <w:spacing w:val="-10"/>
        </w:rPr>
        <w:t xml:space="preserve"> </w:t>
      </w:r>
      <w:r>
        <w:t>Medical</w:t>
      </w:r>
      <w:r>
        <w:rPr>
          <w:spacing w:val="-1"/>
        </w:rPr>
        <w:t xml:space="preserve"> </w:t>
      </w:r>
      <w:r>
        <w:t>Reasons</w:t>
      </w:r>
      <w:r>
        <w:tab/>
        <w:t>114</w:t>
      </w:r>
    </w:p>
    <w:p w:rsidR="004E13A5" w:rsidRDefault="00681463">
      <w:pPr>
        <w:pStyle w:val="BodyText"/>
        <w:tabs>
          <w:tab w:val="right" w:leader="dot" w:pos="9081"/>
        </w:tabs>
        <w:spacing w:before="0"/>
        <w:ind w:left="2313"/>
      </w:pPr>
      <w:r>
        <w:t>Joint Custody</w:t>
      </w:r>
      <w:r>
        <w:rPr>
          <w:spacing w:val="-8"/>
        </w:rPr>
        <w:t xml:space="preserve"> </w:t>
      </w:r>
      <w:r>
        <w:t>of Dependents</w:t>
      </w:r>
      <w:r>
        <w:tab/>
        <w:t>114</w:t>
      </w:r>
    </w:p>
    <w:p w:rsidR="004E13A5" w:rsidRDefault="00681463">
      <w:pPr>
        <w:pStyle w:val="BodyText"/>
        <w:tabs>
          <w:tab w:val="right" w:leader="dot" w:pos="9081"/>
        </w:tabs>
        <w:spacing w:before="0"/>
        <w:ind w:left="2313"/>
      </w:pPr>
      <w:r>
        <w:t>Caretakers for a</w:t>
      </w:r>
      <w:r>
        <w:rPr>
          <w:spacing w:val="-2"/>
        </w:rPr>
        <w:t xml:space="preserve"> </w:t>
      </w:r>
      <w:r>
        <w:t>Child</w:t>
      </w:r>
      <w:r>
        <w:tab/>
        <w:t>115</w:t>
      </w:r>
    </w:p>
    <w:p w:rsidR="004E13A5" w:rsidRDefault="00681463">
      <w:pPr>
        <w:pStyle w:val="BodyText"/>
        <w:tabs>
          <w:tab w:val="left" w:pos="1952"/>
          <w:tab w:val="right" w:leader="dot" w:pos="9081"/>
        </w:tabs>
        <w:spacing w:before="0"/>
        <w:ind w:left="987"/>
      </w:pPr>
      <w:r>
        <w:t>6-I.C.</w:t>
      </w:r>
      <w:r>
        <w:tab/>
        <w:t>Anticipating</w:t>
      </w:r>
      <w:r>
        <w:rPr>
          <w:spacing w:val="-4"/>
        </w:rPr>
        <w:t xml:space="preserve"> </w:t>
      </w:r>
      <w:r>
        <w:t>Annual</w:t>
      </w:r>
      <w:r>
        <w:rPr>
          <w:spacing w:val="1"/>
        </w:rPr>
        <w:t xml:space="preserve"> </w:t>
      </w:r>
      <w:r>
        <w:t>Income</w:t>
      </w:r>
      <w:r>
        <w:tab/>
        <w:t>115</w:t>
      </w:r>
    </w:p>
    <w:p w:rsidR="004E13A5" w:rsidRDefault="00681463">
      <w:pPr>
        <w:pStyle w:val="BodyText"/>
        <w:tabs>
          <w:tab w:val="right" w:leader="dot" w:pos="9081"/>
        </w:tabs>
        <w:spacing w:before="0"/>
        <w:ind w:left="2313"/>
      </w:pPr>
      <w:r>
        <w:t>Basis of Annual</w:t>
      </w:r>
      <w:r>
        <w:rPr>
          <w:spacing w:val="2"/>
        </w:rPr>
        <w:t xml:space="preserve"> </w:t>
      </w:r>
      <w:r>
        <w:t>Income Projection</w:t>
      </w:r>
      <w:r>
        <w:tab/>
        <w:t>115</w:t>
      </w:r>
    </w:p>
    <w:p w:rsidR="004E13A5" w:rsidRDefault="00681463">
      <w:pPr>
        <w:pStyle w:val="BodyText"/>
        <w:tabs>
          <w:tab w:val="right" w:leader="dot" w:pos="9081"/>
        </w:tabs>
        <w:spacing w:before="0"/>
        <w:ind w:left="2313"/>
      </w:pPr>
      <w:r>
        <w:t>Projecting</w:t>
      </w:r>
      <w:r>
        <w:rPr>
          <w:spacing w:val="-2"/>
        </w:rPr>
        <w:t xml:space="preserve"> </w:t>
      </w:r>
      <w:r>
        <w:t>Income</w:t>
      </w:r>
      <w:r>
        <w:tab/>
        <w:t>117</w:t>
      </w:r>
    </w:p>
    <w:p w:rsidR="004E13A5" w:rsidRDefault="00681463">
      <w:pPr>
        <w:pStyle w:val="BodyText"/>
        <w:tabs>
          <w:tab w:val="left" w:pos="1952"/>
          <w:tab w:val="right" w:leader="dot" w:pos="9081"/>
        </w:tabs>
        <w:spacing w:before="0"/>
        <w:ind w:left="987"/>
      </w:pPr>
      <w:r>
        <w:t>6-I.D.</w:t>
      </w:r>
      <w:r>
        <w:tab/>
        <w:t>Earned</w:t>
      </w:r>
      <w:r>
        <w:rPr>
          <w:spacing w:val="1"/>
        </w:rPr>
        <w:t xml:space="preserve"> </w:t>
      </w:r>
      <w:r>
        <w:t>Income</w:t>
      </w:r>
      <w:r>
        <w:tab/>
        <w:t>117</w:t>
      </w:r>
    </w:p>
    <w:p w:rsidR="004E13A5" w:rsidRDefault="00681463">
      <w:pPr>
        <w:pStyle w:val="BodyText"/>
        <w:tabs>
          <w:tab w:val="right" w:leader="dot" w:pos="9081"/>
        </w:tabs>
        <w:spacing w:before="0"/>
        <w:ind w:left="2313"/>
      </w:pPr>
      <w:r>
        <w:t>Types of Earned Income Included in</w:t>
      </w:r>
      <w:r>
        <w:rPr>
          <w:spacing w:val="-1"/>
        </w:rPr>
        <w:t xml:space="preserve"> </w:t>
      </w:r>
      <w:r>
        <w:t>Annual</w:t>
      </w:r>
      <w:r>
        <w:rPr>
          <w:spacing w:val="1"/>
        </w:rPr>
        <w:t xml:space="preserve"> </w:t>
      </w:r>
      <w:r>
        <w:t>Income</w:t>
      </w:r>
      <w:r>
        <w:tab/>
        <w:t>117</w:t>
      </w:r>
    </w:p>
    <w:p w:rsidR="004E13A5" w:rsidRDefault="00681463">
      <w:pPr>
        <w:pStyle w:val="BodyText"/>
        <w:tabs>
          <w:tab w:val="right" w:leader="dot" w:pos="9081"/>
        </w:tabs>
        <w:spacing w:before="0"/>
        <w:ind w:left="2313"/>
      </w:pPr>
      <w:r>
        <w:t xml:space="preserve">Types of Earned Income </w:t>
      </w:r>
      <w:r>
        <w:rPr>
          <w:u w:val="single"/>
        </w:rPr>
        <w:t xml:space="preserve">Not </w:t>
      </w:r>
      <w:r>
        <w:t>Counted in Annual</w:t>
      </w:r>
      <w:r>
        <w:rPr>
          <w:spacing w:val="1"/>
        </w:rPr>
        <w:t xml:space="preserve"> </w:t>
      </w:r>
      <w:r>
        <w:t>Income</w:t>
      </w:r>
      <w:r>
        <w:tab/>
        <w:t>117</w:t>
      </w:r>
    </w:p>
    <w:p w:rsidR="004E13A5" w:rsidRDefault="00681463">
      <w:pPr>
        <w:pStyle w:val="BodyText"/>
        <w:tabs>
          <w:tab w:val="left" w:pos="1952"/>
        </w:tabs>
        <w:spacing w:before="0"/>
        <w:ind w:left="987"/>
      </w:pPr>
      <w:r>
        <w:t>6-I.E.</w:t>
      </w:r>
      <w:r>
        <w:tab/>
        <w:t>Earned Income Disallowance for Persons with</w:t>
      </w:r>
      <w:r>
        <w:rPr>
          <w:spacing w:val="-6"/>
        </w:rPr>
        <w:t xml:space="preserve"> </w:t>
      </w:r>
      <w:r>
        <w:t>Disabilities</w:t>
      </w:r>
    </w:p>
    <w:p w:rsidR="004E13A5" w:rsidRDefault="00681463">
      <w:pPr>
        <w:pStyle w:val="BodyText"/>
        <w:tabs>
          <w:tab w:val="right" w:leader="dot" w:pos="9081"/>
        </w:tabs>
        <w:spacing w:before="0"/>
        <w:ind w:left="1952"/>
      </w:pPr>
      <w:r>
        <w:t>[24 CFR 5.617]</w:t>
      </w:r>
      <w:r>
        <w:tab/>
        <w:t>119</w:t>
      </w:r>
    </w:p>
    <w:p w:rsidR="004E13A5" w:rsidRDefault="00681463">
      <w:pPr>
        <w:pStyle w:val="BodyText"/>
        <w:tabs>
          <w:tab w:val="right" w:leader="dot" w:pos="9081"/>
        </w:tabs>
        <w:spacing w:before="0"/>
        <w:ind w:left="2313"/>
      </w:pPr>
      <w:r>
        <w:t>Eligibility</w:t>
      </w:r>
      <w:r>
        <w:tab/>
        <w:t>119</w:t>
      </w:r>
    </w:p>
    <w:p w:rsidR="004E13A5" w:rsidRDefault="00681463">
      <w:pPr>
        <w:pStyle w:val="BodyText"/>
        <w:tabs>
          <w:tab w:val="right" w:leader="dot" w:pos="9081"/>
        </w:tabs>
        <w:spacing w:before="0"/>
        <w:ind w:left="2313"/>
      </w:pPr>
      <w:r>
        <w:t>Calculation of</w:t>
      </w:r>
      <w:r>
        <w:rPr>
          <w:spacing w:val="-2"/>
        </w:rPr>
        <w:t xml:space="preserve"> </w:t>
      </w:r>
      <w:r>
        <w:t>the</w:t>
      </w:r>
      <w:r>
        <w:rPr>
          <w:spacing w:val="-1"/>
        </w:rPr>
        <w:t xml:space="preserve"> </w:t>
      </w:r>
      <w:r>
        <w:t>Disallowance</w:t>
      </w:r>
      <w:r>
        <w:tab/>
        <w:t>120</w:t>
      </w:r>
    </w:p>
    <w:p w:rsidR="004E13A5" w:rsidRDefault="00681463">
      <w:pPr>
        <w:pStyle w:val="BodyText"/>
        <w:tabs>
          <w:tab w:val="right" w:leader="dot" w:pos="9081"/>
        </w:tabs>
        <w:spacing w:before="0"/>
        <w:ind w:left="2313"/>
      </w:pPr>
      <w:r>
        <w:t>Calculation</w:t>
      </w:r>
      <w:r>
        <w:rPr>
          <w:spacing w:val="-1"/>
        </w:rPr>
        <w:t xml:space="preserve"> </w:t>
      </w:r>
      <w:r>
        <w:t>Method</w:t>
      </w:r>
      <w:r>
        <w:tab/>
        <w:t>120</w:t>
      </w:r>
    </w:p>
    <w:p w:rsidR="004E13A5" w:rsidRDefault="00681463">
      <w:pPr>
        <w:pStyle w:val="BodyText"/>
        <w:tabs>
          <w:tab w:val="left" w:pos="1952"/>
          <w:tab w:val="right" w:leader="dot" w:pos="9081"/>
        </w:tabs>
        <w:spacing w:before="0"/>
        <w:ind w:left="987"/>
      </w:pPr>
      <w:r>
        <w:t>6-I.F.</w:t>
      </w:r>
      <w:r>
        <w:tab/>
        <w:t>Business Income [24</w:t>
      </w:r>
      <w:r>
        <w:rPr>
          <w:spacing w:val="1"/>
        </w:rPr>
        <w:t xml:space="preserve"> </w:t>
      </w:r>
      <w:r>
        <w:t>CFR</w:t>
      </w:r>
      <w:r>
        <w:rPr>
          <w:spacing w:val="-1"/>
        </w:rPr>
        <w:t xml:space="preserve"> </w:t>
      </w:r>
      <w:r>
        <w:t>5.609(b)(2)]</w:t>
      </w:r>
      <w:r>
        <w:tab/>
        <w:t>120</w:t>
      </w:r>
    </w:p>
    <w:p w:rsidR="004E13A5" w:rsidRDefault="00681463">
      <w:pPr>
        <w:pStyle w:val="BodyText"/>
        <w:tabs>
          <w:tab w:val="right" w:leader="dot" w:pos="9081"/>
        </w:tabs>
        <w:spacing w:before="0"/>
        <w:ind w:left="2313"/>
      </w:pPr>
      <w:r>
        <w:t>Business</w:t>
      </w:r>
      <w:r>
        <w:rPr>
          <w:spacing w:val="-1"/>
        </w:rPr>
        <w:t xml:space="preserve"> </w:t>
      </w:r>
      <w:r>
        <w:t>Expenses</w:t>
      </w:r>
      <w:r>
        <w:tab/>
        <w:t>121</w:t>
      </w:r>
    </w:p>
    <w:p w:rsidR="004E13A5" w:rsidRDefault="00681463">
      <w:pPr>
        <w:pStyle w:val="BodyText"/>
        <w:tabs>
          <w:tab w:val="right" w:leader="dot" w:pos="9081"/>
        </w:tabs>
        <w:spacing w:before="0"/>
        <w:ind w:left="2313"/>
      </w:pPr>
      <w:r>
        <w:t>Business Expansion</w:t>
      </w:r>
      <w:r>
        <w:tab/>
        <w:t>121</w:t>
      </w:r>
    </w:p>
    <w:p w:rsidR="004E13A5" w:rsidRDefault="00681463">
      <w:pPr>
        <w:pStyle w:val="BodyText"/>
        <w:tabs>
          <w:tab w:val="right" w:leader="dot" w:pos="9081"/>
        </w:tabs>
        <w:spacing w:before="0"/>
        <w:ind w:left="2313"/>
      </w:pPr>
      <w:r>
        <w:t>Capital</w:t>
      </w:r>
      <w:r>
        <w:rPr>
          <w:spacing w:val="1"/>
        </w:rPr>
        <w:t xml:space="preserve"> </w:t>
      </w:r>
      <w:r>
        <w:t>Indebtedness</w:t>
      </w:r>
      <w:r>
        <w:tab/>
        <w:t>121</w:t>
      </w:r>
    </w:p>
    <w:p w:rsidR="004E13A5" w:rsidRDefault="00681463">
      <w:pPr>
        <w:pStyle w:val="BodyText"/>
        <w:tabs>
          <w:tab w:val="right" w:leader="dot" w:pos="9081"/>
        </w:tabs>
        <w:spacing w:before="0"/>
        <w:ind w:left="2313"/>
      </w:pPr>
      <w:r>
        <w:t>Negative Business</w:t>
      </w:r>
      <w:r>
        <w:rPr>
          <w:spacing w:val="1"/>
        </w:rPr>
        <w:t xml:space="preserve"> </w:t>
      </w:r>
      <w:r>
        <w:t>Income</w:t>
      </w:r>
      <w:r>
        <w:tab/>
        <w:t>121</w:t>
      </w:r>
    </w:p>
    <w:p w:rsidR="004E13A5" w:rsidRDefault="00681463">
      <w:pPr>
        <w:pStyle w:val="BodyText"/>
        <w:tabs>
          <w:tab w:val="right" w:leader="dot" w:pos="9081"/>
        </w:tabs>
        <w:spacing w:before="0"/>
        <w:ind w:left="2313"/>
      </w:pPr>
      <w:r>
        <w:t>Withdrawal of Cash or Assets from</w:t>
      </w:r>
      <w:r>
        <w:rPr>
          <w:spacing w:val="-2"/>
        </w:rPr>
        <w:t xml:space="preserve"> </w:t>
      </w:r>
      <w:r>
        <w:t>a</w:t>
      </w:r>
      <w:r>
        <w:rPr>
          <w:spacing w:val="-2"/>
        </w:rPr>
        <w:t xml:space="preserve"> </w:t>
      </w:r>
      <w:r>
        <w:t>Business</w:t>
      </w:r>
      <w:r>
        <w:tab/>
        <w:t>121</w:t>
      </w:r>
    </w:p>
    <w:p w:rsidR="004E13A5" w:rsidRDefault="00681463">
      <w:pPr>
        <w:pStyle w:val="BodyText"/>
        <w:tabs>
          <w:tab w:val="right" w:leader="dot" w:pos="9081"/>
        </w:tabs>
        <w:spacing w:before="0"/>
        <w:ind w:left="2313"/>
      </w:pPr>
      <w:r>
        <w:t>Co-owned</w:t>
      </w:r>
      <w:r>
        <w:rPr>
          <w:spacing w:val="-1"/>
        </w:rPr>
        <w:t xml:space="preserve"> </w:t>
      </w:r>
      <w:r>
        <w:t>Businesses</w:t>
      </w:r>
      <w:r>
        <w:tab/>
        <w:t>122</w:t>
      </w:r>
    </w:p>
    <w:p w:rsidR="004E13A5" w:rsidRDefault="00681463">
      <w:pPr>
        <w:pStyle w:val="BodyText"/>
        <w:tabs>
          <w:tab w:val="left" w:pos="1952"/>
          <w:tab w:val="right" w:leader="dot" w:pos="9081"/>
        </w:tabs>
        <w:spacing w:before="0"/>
        <w:ind w:left="987"/>
      </w:pPr>
      <w:r>
        <w:t>6-I.G.</w:t>
      </w:r>
      <w:r>
        <w:tab/>
        <w:t>Assets [24 CFR 5.609(b)(3) and 24</w:t>
      </w:r>
      <w:r>
        <w:rPr>
          <w:spacing w:val="-3"/>
        </w:rPr>
        <w:t xml:space="preserve"> </w:t>
      </w:r>
      <w:r>
        <w:t>CFR</w:t>
      </w:r>
      <w:r>
        <w:rPr>
          <w:spacing w:val="-1"/>
        </w:rPr>
        <w:t xml:space="preserve"> </w:t>
      </w:r>
      <w:r>
        <w:t>5.603(b)]</w:t>
      </w:r>
      <w:r>
        <w:tab/>
        <w:t>122</w:t>
      </w:r>
    </w:p>
    <w:p w:rsidR="004E13A5" w:rsidRDefault="00681463">
      <w:pPr>
        <w:pStyle w:val="BodyText"/>
        <w:tabs>
          <w:tab w:val="right" w:leader="dot" w:pos="9081"/>
        </w:tabs>
        <w:spacing w:before="0"/>
        <w:ind w:left="2313"/>
      </w:pPr>
      <w:r>
        <w:t>Overview</w:t>
      </w:r>
      <w:r>
        <w:tab/>
        <w:t>122</w:t>
      </w:r>
    </w:p>
    <w:p w:rsidR="004E13A5" w:rsidRDefault="00681463">
      <w:pPr>
        <w:pStyle w:val="BodyText"/>
        <w:tabs>
          <w:tab w:val="right" w:leader="dot" w:pos="9081"/>
        </w:tabs>
        <w:spacing w:before="0"/>
        <w:ind w:left="2313"/>
      </w:pPr>
      <w:r>
        <w:t>General</w:t>
      </w:r>
      <w:r>
        <w:rPr>
          <w:spacing w:val="-1"/>
        </w:rPr>
        <w:t xml:space="preserve"> </w:t>
      </w:r>
      <w:r>
        <w:t>Policies</w:t>
      </w:r>
      <w:r>
        <w:tab/>
        <w:t>122</w:t>
      </w:r>
    </w:p>
    <w:p w:rsidR="004E13A5" w:rsidRDefault="00681463">
      <w:pPr>
        <w:pStyle w:val="BodyText"/>
        <w:tabs>
          <w:tab w:val="right" w:leader="dot" w:pos="9081"/>
        </w:tabs>
        <w:spacing w:before="0"/>
        <w:ind w:left="2313"/>
      </w:pPr>
      <w:r>
        <w:t>Types</w:t>
      </w:r>
      <w:r>
        <w:rPr>
          <w:spacing w:val="-1"/>
        </w:rPr>
        <w:t xml:space="preserve"> </w:t>
      </w:r>
      <w:r>
        <w:t>of</w:t>
      </w:r>
      <w:r>
        <w:rPr>
          <w:spacing w:val="-1"/>
        </w:rPr>
        <w:t xml:space="preserve"> </w:t>
      </w:r>
      <w:r>
        <w:t>Assets</w:t>
      </w:r>
      <w:r>
        <w:tab/>
        <w:t>122</w:t>
      </w:r>
    </w:p>
    <w:p w:rsidR="004E13A5" w:rsidRDefault="00681463">
      <w:pPr>
        <w:pStyle w:val="BodyText"/>
        <w:tabs>
          <w:tab w:val="left" w:pos="1952"/>
          <w:tab w:val="right" w:leader="dot" w:pos="9081"/>
        </w:tabs>
        <w:spacing w:before="0"/>
        <w:ind w:left="987"/>
      </w:pPr>
      <w:r>
        <w:t>6-I.H.</w:t>
      </w:r>
      <w:r>
        <w:tab/>
        <w:t>Periodic</w:t>
      </w:r>
      <w:r>
        <w:rPr>
          <w:spacing w:val="-2"/>
        </w:rPr>
        <w:t xml:space="preserve"> </w:t>
      </w:r>
      <w:r>
        <w:t>Payments</w:t>
      </w:r>
      <w:r>
        <w:tab/>
        <w:t>128</w:t>
      </w:r>
    </w:p>
    <w:p w:rsidR="004E13A5" w:rsidRDefault="00681463">
      <w:pPr>
        <w:pStyle w:val="BodyText"/>
        <w:tabs>
          <w:tab w:val="right" w:leader="dot" w:pos="9081"/>
        </w:tabs>
        <w:spacing w:before="0"/>
        <w:ind w:left="2313"/>
      </w:pPr>
      <w:r>
        <w:t xml:space="preserve">Periodic Payments </w:t>
      </w:r>
      <w:r>
        <w:rPr>
          <w:u w:val="single"/>
        </w:rPr>
        <w:t xml:space="preserve">Included </w:t>
      </w:r>
      <w:r>
        <w:t>in Annual</w:t>
      </w:r>
      <w:r>
        <w:rPr>
          <w:spacing w:val="1"/>
        </w:rPr>
        <w:t xml:space="preserve"> </w:t>
      </w:r>
      <w:r>
        <w:t>Income</w:t>
      </w:r>
      <w:r>
        <w:tab/>
        <w:t>128</w:t>
      </w:r>
    </w:p>
    <w:p w:rsidR="004E13A5" w:rsidRDefault="00681463">
      <w:pPr>
        <w:pStyle w:val="BodyText"/>
        <w:spacing w:before="0"/>
        <w:ind w:left="2313"/>
      </w:pPr>
      <w:r>
        <w:t>Lump-Sum Payments for the Delayed Start of a</w:t>
      </w:r>
    </w:p>
    <w:p w:rsidR="004E13A5" w:rsidRDefault="00681463">
      <w:pPr>
        <w:pStyle w:val="BodyText"/>
        <w:tabs>
          <w:tab w:val="right" w:leader="dot" w:pos="9081"/>
        </w:tabs>
        <w:spacing w:before="0"/>
        <w:ind w:left="2313"/>
      </w:pPr>
      <w:r>
        <w:t>Periodic</w:t>
      </w:r>
      <w:r>
        <w:rPr>
          <w:spacing w:val="-2"/>
        </w:rPr>
        <w:t xml:space="preserve"> </w:t>
      </w:r>
      <w:r>
        <w:t>Payment</w:t>
      </w:r>
      <w:r>
        <w:tab/>
        <w:t>129</w:t>
      </w:r>
    </w:p>
    <w:p w:rsidR="004E13A5" w:rsidRDefault="00681463">
      <w:pPr>
        <w:pStyle w:val="BodyText"/>
        <w:spacing w:before="0"/>
        <w:ind w:left="2313"/>
      </w:pPr>
      <w:r>
        <w:t>Treatment of Overpayment Deductions from</w:t>
      </w:r>
    </w:p>
    <w:p w:rsidR="004E13A5" w:rsidRDefault="00681463">
      <w:pPr>
        <w:pStyle w:val="BodyText"/>
        <w:tabs>
          <w:tab w:val="right" w:leader="dot" w:pos="9081"/>
        </w:tabs>
        <w:spacing w:before="0"/>
        <w:ind w:left="2313"/>
      </w:pPr>
      <w:r>
        <w:t>Social</w:t>
      </w:r>
      <w:r>
        <w:rPr>
          <w:spacing w:val="-1"/>
        </w:rPr>
        <w:t xml:space="preserve"> </w:t>
      </w:r>
      <w:r>
        <w:t>Security</w:t>
      </w:r>
      <w:r>
        <w:rPr>
          <w:spacing w:val="-4"/>
        </w:rPr>
        <w:t xml:space="preserve"> </w:t>
      </w:r>
      <w:r>
        <w:t>Benefits</w:t>
      </w:r>
      <w:r>
        <w:tab/>
        <w:t>129</w:t>
      </w:r>
    </w:p>
    <w:p w:rsidR="004E13A5" w:rsidRDefault="00681463">
      <w:pPr>
        <w:pStyle w:val="BodyText"/>
        <w:tabs>
          <w:tab w:val="right" w:leader="dot" w:pos="9081"/>
        </w:tabs>
        <w:spacing w:before="0"/>
        <w:ind w:left="2313"/>
      </w:pPr>
      <w:r>
        <w:t xml:space="preserve">Periodic Payments </w:t>
      </w:r>
      <w:r>
        <w:rPr>
          <w:u w:val="single"/>
        </w:rPr>
        <w:t xml:space="preserve">Excluded </w:t>
      </w:r>
      <w:r>
        <w:t>from</w:t>
      </w:r>
      <w:r>
        <w:rPr>
          <w:spacing w:val="-3"/>
        </w:rPr>
        <w:t xml:space="preserve"> </w:t>
      </w:r>
      <w:r>
        <w:t>Annual</w:t>
      </w:r>
      <w:r>
        <w:rPr>
          <w:spacing w:val="4"/>
        </w:rPr>
        <w:t xml:space="preserve"> </w:t>
      </w:r>
      <w:r>
        <w:t>Income</w:t>
      </w:r>
      <w:r>
        <w:tab/>
        <w:t>129</w:t>
      </w:r>
    </w:p>
    <w:p w:rsidR="004E13A5" w:rsidRDefault="00681463">
      <w:pPr>
        <w:pStyle w:val="BodyText"/>
        <w:tabs>
          <w:tab w:val="left" w:pos="1952"/>
          <w:tab w:val="right" w:leader="dot" w:pos="9081"/>
        </w:tabs>
        <w:spacing w:before="0"/>
        <w:ind w:left="987"/>
      </w:pPr>
      <w:r>
        <w:t>6-I.I.</w:t>
      </w:r>
      <w:r>
        <w:tab/>
        <w:t>Payments In Lieu</w:t>
      </w:r>
      <w:r>
        <w:rPr>
          <w:spacing w:val="3"/>
        </w:rPr>
        <w:t xml:space="preserve"> </w:t>
      </w:r>
      <w:r>
        <w:t>of</w:t>
      </w:r>
      <w:r>
        <w:rPr>
          <w:spacing w:val="-1"/>
        </w:rPr>
        <w:t xml:space="preserve"> </w:t>
      </w:r>
      <w:r>
        <w:t>Earnings</w:t>
      </w:r>
      <w:r>
        <w:tab/>
        <w:t>130</w:t>
      </w:r>
    </w:p>
    <w:p w:rsidR="004E13A5" w:rsidRDefault="00681463">
      <w:pPr>
        <w:pStyle w:val="BodyText"/>
        <w:tabs>
          <w:tab w:val="left" w:pos="1952"/>
          <w:tab w:val="right" w:leader="dot" w:pos="9081"/>
        </w:tabs>
        <w:spacing w:before="0"/>
        <w:ind w:left="987"/>
      </w:pPr>
      <w:r>
        <w:t>6-I.J.</w:t>
      </w:r>
      <w:r>
        <w:tab/>
        <w:t>Welfare</w:t>
      </w:r>
      <w:r>
        <w:rPr>
          <w:spacing w:val="-2"/>
        </w:rPr>
        <w:t xml:space="preserve"> </w:t>
      </w:r>
      <w:r>
        <w:t>Assistance</w:t>
      </w:r>
      <w:r>
        <w:tab/>
        <w:t>130</w:t>
      </w:r>
    </w:p>
    <w:p w:rsidR="004E13A5" w:rsidRDefault="00681463">
      <w:pPr>
        <w:pStyle w:val="BodyText"/>
        <w:tabs>
          <w:tab w:val="right" w:leader="dot" w:pos="9081"/>
        </w:tabs>
        <w:spacing w:before="0"/>
        <w:ind w:left="2313"/>
      </w:pPr>
      <w:r>
        <w:t>Overview</w:t>
      </w:r>
      <w:r>
        <w:tab/>
        <w:t>130</w:t>
      </w:r>
    </w:p>
    <w:p w:rsidR="004E13A5" w:rsidRDefault="00681463">
      <w:pPr>
        <w:pStyle w:val="BodyText"/>
        <w:spacing w:before="0"/>
        <w:ind w:left="2313"/>
      </w:pPr>
      <w:r>
        <w:t>Sanctions Resulting in the Reduction of Welfare Benefits</w:t>
      </w:r>
    </w:p>
    <w:p w:rsidR="004E13A5" w:rsidRDefault="00681463">
      <w:pPr>
        <w:pStyle w:val="BodyText"/>
        <w:tabs>
          <w:tab w:val="right" w:leader="dot" w:pos="9081"/>
        </w:tabs>
        <w:spacing w:before="0"/>
        <w:ind w:left="2313"/>
      </w:pPr>
      <w:r>
        <w:t>[24 CFR 5.615]</w:t>
      </w:r>
      <w:r>
        <w:tab/>
        <w:t>130</w:t>
      </w:r>
    </w:p>
    <w:p w:rsidR="004E13A5" w:rsidRDefault="00681463">
      <w:pPr>
        <w:pStyle w:val="BodyText"/>
        <w:tabs>
          <w:tab w:val="left" w:pos="1952"/>
          <w:tab w:val="right" w:leader="dot" w:pos="9081"/>
        </w:tabs>
        <w:spacing w:before="0"/>
        <w:ind w:left="987"/>
      </w:pPr>
      <w:r>
        <w:t>6-I.K.</w:t>
      </w:r>
      <w:r>
        <w:tab/>
        <w:t>Periodic and Determinable Allowances [24</w:t>
      </w:r>
      <w:r>
        <w:rPr>
          <w:spacing w:val="-3"/>
        </w:rPr>
        <w:t xml:space="preserve"> </w:t>
      </w:r>
      <w:r>
        <w:t>CFR</w:t>
      </w:r>
      <w:r>
        <w:rPr>
          <w:spacing w:val="-1"/>
        </w:rPr>
        <w:t xml:space="preserve"> </w:t>
      </w:r>
      <w:r>
        <w:t>5.609(b)(7)]</w:t>
      </w:r>
      <w:r>
        <w:tab/>
        <w:t>131</w:t>
      </w:r>
    </w:p>
    <w:p w:rsidR="004E13A5" w:rsidRDefault="00681463">
      <w:pPr>
        <w:pStyle w:val="BodyText"/>
        <w:tabs>
          <w:tab w:val="right" w:leader="dot" w:pos="9081"/>
        </w:tabs>
        <w:spacing w:before="0"/>
        <w:ind w:left="2313"/>
      </w:pPr>
      <w:r>
        <w:t>Alimony and</w:t>
      </w:r>
      <w:r>
        <w:rPr>
          <w:spacing w:val="-5"/>
        </w:rPr>
        <w:t xml:space="preserve"> </w:t>
      </w:r>
      <w:r>
        <w:t>Child Support</w:t>
      </w:r>
      <w:r>
        <w:tab/>
        <w:t>131</w:t>
      </w:r>
    </w:p>
    <w:p w:rsidR="004E13A5" w:rsidRDefault="00681463">
      <w:pPr>
        <w:pStyle w:val="BodyText"/>
        <w:tabs>
          <w:tab w:val="right" w:leader="dot" w:pos="9081"/>
        </w:tabs>
        <w:spacing w:before="0"/>
        <w:ind w:left="2313"/>
      </w:pPr>
      <w:r>
        <w:t>Regular Contributions</w:t>
      </w:r>
      <w:r>
        <w:rPr>
          <w:spacing w:val="-2"/>
        </w:rPr>
        <w:t xml:space="preserve"> </w:t>
      </w:r>
      <w:r>
        <w:t>or</w:t>
      </w:r>
      <w:r>
        <w:rPr>
          <w:spacing w:val="-1"/>
        </w:rPr>
        <w:t xml:space="preserve"> </w:t>
      </w:r>
      <w:r>
        <w:t>Gifts</w:t>
      </w:r>
      <w:r>
        <w:tab/>
        <w:t>131</w:t>
      </w:r>
    </w:p>
    <w:p w:rsidR="004E13A5" w:rsidRDefault="00681463">
      <w:pPr>
        <w:pStyle w:val="BodyText"/>
        <w:tabs>
          <w:tab w:val="left" w:pos="1952"/>
        </w:tabs>
        <w:spacing w:before="0"/>
        <w:ind w:left="987"/>
      </w:pPr>
      <w:r>
        <w:t>6-I.L.</w:t>
      </w:r>
      <w:r>
        <w:tab/>
        <w:t>Student Financial Assistance [24 CFR</w:t>
      </w:r>
      <w:r>
        <w:rPr>
          <w:spacing w:val="-9"/>
        </w:rPr>
        <w:t xml:space="preserve"> </w:t>
      </w:r>
      <w:r>
        <w:t>5.609(b)(9)</w:t>
      </w:r>
    </w:p>
    <w:p w:rsidR="004E13A5" w:rsidRDefault="00681463">
      <w:pPr>
        <w:pStyle w:val="BodyText"/>
        <w:tabs>
          <w:tab w:val="right" w:leader="dot" w:pos="9081"/>
        </w:tabs>
        <w:spacing w:before="0"/>
        <w:ind w:left="1952"/>
      </w:pPr>
      <w:r>
        <w:t>and</w:t>
      </w:r>
      <w:r>
        <w:rPr>
          <w:spacing w:val="-1"/>
        </w:rPr>
        <w:t xml:space="preserve"> </w:t>
      </w:r>
      <w:r>
        <w:t>FR 5/20/14]</w:t>
      </w:r>
      <w:r>
        <w:tab/>
        <w:t>131</w:t>
      </w:r>
    </w:p>
    <w:p w:rsidR="004E13A5" w:rsidRDefault="00681463">
      <w:pPr>
        <w:pStyle w:val="BodyText"/>
        <w:spacing w:before="0"/>
        <w:ind w:left="2313"/>
      </w:pPr>
      <w:r>
        <w:t xml:space="preserve">Student Financial Assistance </w:t>
      </w:r>
      <w:r>
        <w:rPr>
          <w:u w:val="single"/>
        </w:rPr>
        <w:t xml:space="preserve">Included </w:t>
      </w:r>
      <w:r>
        <w:t>in Annual Income</w:t>
      </w:r>
    </w:p>
    <w:p w:rsidR="004E13A5" w:rsidRDefault="00681463">
      <w:pPr>
        <w:pStyle w:val="BodyText"/>
        <w:tabs>
          <w:tab w:val="right" w:leader="dot" w:pos="9081"/>
        </w:tabs>
        <w:spacing w:before="0"/>
        <w:ind w:left="2313"/>
      </w:pPr>
      <w:r>
        <w:t>[24 CFR 5.609(b)(9) and</w:t>
      </w:r>
      <w:r>
        <w:rPr>
          <w:spacing w:val="1"/>
        </w:rPr>
        <w:t xml:space="preserve"> </w:t>
      </w:r>
      <w:r>
        <w:t>FR</w:t>
      </w:r>
      <w:r>
        <w:rPr>
          <w:spacing w:val="1"/>
        </w:rPr>
        <w:t xml:space="preserve"> </w:t>
      </w:r>
      <w:r>
        <w:t>4/10/06]</w:t>
      </w:r>
      <w:r>
        <w:tab/>
        <w:t>132</w:t>
      </w:r>
    </w:p>
    <w:p w:rsidR="004E13A5" w:rsidRDefault="00681463">
      <w:pPr>
        <w:pStyle w:val="BodyText"/>
        <w:spacing w:before="0"/>
        <w:ind w:left="2313"/>
      </w:pPr>
      <w:r>
        <w:t xml:space="preserve">Student Financial Assistance </w:t>
      </w:r>
      <w:r>
        <w:rPr>
          <w:u w:val="single"/>
        </w:rPr>
        <w:t xml:space="preserve">Excluded </w:t>
      </w:r>
      <w:r>
        <w:t>from Annual Income</w:t>
      </w:r>
    </w:p>
    <w:p w:rsidR="004E13A5" w:rsidRDefault="00681463">
      <w:pPr>
        <w:pStyle w:val="BodyText"/>
        <w:tabs>
          <w:tab w:val="right" w:leader="dot" w:pos="9081"/>
        </w:tabs>
        <w:spacing w:before="0"/>
        <w:ind w:left="2313"/>
      </w:pPr>
      <w:r>
        <w:t>[24</w:t>
      </w:r>
      <w:r>
        <w:rPr>
          <w:spacing w:val="-1"/>
        </w:rPr>
        <w:t xml:space="preserve"> </w:t>
      </w:r>
      <w:r>
        <w:t>CFR</w:t>
      </w:r>
      <w:r>
        <w:rPr>
          <w:spacing w:val="-1"/>
        </w:rPr>
        <w:t xml:space="preserve"> </w:t>
      </w:r>
      <w:r>
        <w:t>5.609(c)(6)]</w:t>
      </w:r>
      <w:r>
        <w:tab/>
        <w:t>132</w:t>
      </w:r>
    </w:p>
    <w:p w:rsidR="004E13A5" w:rsidRDefault="004E13A5">
      <w:pPr>
        <w:sectPr w:rsidR="004E13A5">
          <w:pgSz w:w="12240" w:h="15840"/>
          <w:pgMar w:top="1360" w:right="1320" w:bottom="640" w:left="1720" w:header="0" w:footer="381" w:gutter="0"/>
          <w:cols w:space="720"/>
        </w:sectPr>
      </w:pPr>
    </w:p>
    <w:p w:rsidR="004E13A5" w:rsidRDefault="00681463">
      <w:pPr>
        <w:pStyle w:val="BodyText"/>
        <w:tabs>
          <w:tab w:val="left" w:pos="2332"/>
          <w:tab w:val="right" w:leader="dot" w:pos="9461"/>
        </w:tabs>
        <w:spacing w:before="79"/>
        <w:ind w:left="1367"/>
      </w:pPr>
      <w:r>
        <w:lastRenderedPageBreak/>
        <w:t>6-I.M.</w:t>
      </w:r>
      <w:r>
        <w:tab/>
        <w:t>Additional Exclusions From</w:t>
      </w:r>
      <w:r>
        <w:rPr>
          <w:spacing w:val="-1"/>
        </w:rPr>
        <w:t xml:space="preserve"> </w:t>
      </w:r>
      <w:r>
        <w:t>Annual</w:t>
      </w:r>
      <w:r>
        <w:rPr>
          <w:spacing w:val="1"/>
        </w:rPr>
        <w:t xml:space="preserve"> </w:t>
      </w:r>
      <w:r>
        <w:t>Income</w:t>
      </w:r>
      <w:r>
        <w:tab/>
        <w:t>133</w:t>
      </w:r>
    </w:p>
    <w:p w:rsidR="004E13A5" w:rsidRDefault="00681463">
      <w:pPr>
        <w:pStyle w:val="BodyText"/>
        <w:tabs>
          <w:tab w:val="left" w:pos="1360"/>
          <w:tab w:val="right" w:leader="dot" w:pos="9461"/>
        </w:tabs>
      </w:pPr>
      <w:r>
        <w:t>PART</w:t>
      </w:r>
      <w:r>
        <w:rPr>
          <w:spacing w:val="1"/>
        </w:rPr>
        <w:t xml:space="preserve"> </w:t>
      </w:r>
      <w:r>
        <w:rPr>
          <w:spacing w:val="-3"/>
        </w:rPr>
        <w:t>II:</w:t>
      </w:r>
      <w:r>
        <w:rPr>
          <w:spacing w:val="-3"/>
        </w:rPr>
        <w:tab/>
      </w:r>
      <w:r>
        <w:t>ADJUSTED INCOME</w:t>
      </w:r>
      <w:r>
        <w:tab/>
        <w:t>135</w:t>
      </w:r>
    </w:p>
    <w:p w:rsidR="004E13A5" w:rsidRDefault="00681463">
      <w:pPr>
        <w:pStyle w:val="BodyText"/>
        <w:tabs>
          <w:tab w:val="left" w:pos="2332"/>
          <w:tab w:val="right" w:leader="dot" w:pos="9461"/>
        </w:tabs>
        <w:spacing w:before="0"/>
        <w:ind w:left="1367"/>
      </w:pPr>
      <w:r>
        <w:t>6-II.A.</w:t>
      </w:r>
      <w:r>
        <w:tab/>
        <w:t>Introduction</w:t>
      </w:r>
      <w:r>
        <w:tab/>
        <w:t>135</w:t>
      </w:r>
    </w:p>
    <w:p w:rsidR="004E13A5" w:rsidRDefault="00681463">
      <w:pPr>
        <w:pStyle w:val="BodyText"/>
        <w:tabs>
          <w:tab w:val="right" w:leader="dot" w:pos="9461"/>
        </w:tabs>
        <w:spacing w:before="0"/>
        <w:ind w:left="2693"/>
      </w:pPr>
      <w:r>
        <w:t>Overview</w:t>
      </w:r>
      <w:r>
        <w:tab/>
        <w:t>135</w:t>
      </w:r>
    </w:p>
    <w:p w:rsidR="004E13A5" w:rsidRDefault="00681463">
      <w:pPr>
        <w:pStyle w:val="BodyText"/>
        <w:tabs>
          <w:tab w:val="right" w:leader="dot" w:pos="9461"/>
        </w:tabs>
        <w:spacing w:before="0"/>
        <w:ind w:left="2693"/>
      </w:pPr>
      <w:r>
        <w:t>Anticipating</w:t>
      </w:r>
      <w:r>
        <w:rPr>
          <w:spacing w:val="-3"/>
        </w:rPr>
        <w:t xml:space="preserve"> </w:t>
      </w:r>
      <w:r>
        <w:t>Expenses</w:t>
      </w:r>
      <w:r>
        <w:tab/>
        <w:t>135</w:t>
      </w:r>
    </w:p>
    <w:p w:rsidR="004E13A5" w:rsidRDefault="00681463">
      <w:pPr>
        <w:pStyle w:val="BodyText"/>
        <w:tabs>
          <w:tab w:val="left" w:pos="2332"/>
          <w:tab w:val="right" w:leader="dot" w:pos="9461"/>
        </w:tabs>
        <w:spacing w:before="0"/>
        <w:ind w:left="1367"/>
      </w:pPr>
      <w:r>
        <w:t>6-II.B.</w:t>
      </w:r>
      <w:r>
        <w:tab/>
        <w:t>Dependent</w:t>
      </w:r>
      <w:r>
        <w:rPr>
          <w:spacing w:val="-1"/>
        </w:rPr>
        <w:t xml:space="preserve"> </w:t>
      </w:r>
      <w:r>
        <w:t>Deduction</w:t>
      </w:r>
      <w:r>
        <w:tab/>
        <w:t>136</w:t>
      </w:r>
    </w:p>
    <w:p w:rsidR="004E13A5" w:rsidRDefault="00681463">
      <w:pPr>
        <w:pStyle w:val="BodyText"/>
        <w:tabs>
          <w:tab w:val="left" w:pos="2332"/>
          <w:tab w:val="right" w:leader="dot" w:pos="9461"/>
        </w:tabs>
        <w:spacing w:before="0"/>
        <w:ind w:left="1367"/>
      </w:pPr>
      <w:r>
        <w:t>6-II.C.</w:t>
      </w:r>
      <w:r>
        <w:tab/>
        <w:t>Elderly or Disabled</w:t>
      </w:r>
      <w:r>
        <w:rPr>
          <w:spacing w:val="-2"/>
        </w:rPr>
        <w:t xml:space="preserve"> </w:t>
      </w:r>
      <w:r>
        <w:t>Family</w:t>
      </w:r>
      <w:r>
        <w:rPr>
          <w:spacing w:val="-5"/>
        </w:rPr>
        <w:t xml:space="preserve"> </w:t>
      </w:r>
      <w:r>
        <w:t>Deduction</w:t>
      </w:r>
      <w:r>
        <w:tab/>
        <w:t>136</w:t>
      </w:r>
    </w:p>
    <w:p w:rsidR="004E13A5" w:rsidRDefault="00681463">
      <w:pPr>
        <w:pStyle w:val="BodyText"/>
        <w:tabs>
          <w:tab w:val="left" w:pos="2332"/>
          <w:tab w:val="right" w:leader="dot" w:pos="9461"/>
        </w:tabs>
        <w:spacing w:before="0"/>
        <w:ind w:left="1367"/>
      </w:pPr>
      <w:r>
        <w:t>6-II.D.</w:t>
      </w:r>
      <w:r>
        <w:tab/>
        <w:t>Medical Expenses Deduction [24</w:t>
      </w:r>
      <w:r>
        <w:rPr>
          <w:spacing w:val="-2"/>
        </w:rPr>
        <w:t xml:space="preserve"> </w:t>
      </w:r>
      <w:r>
        <w:t>CFR</w:t>
      </w:r>
      <w:r>
        <w:rPr>
          <w:spacing w:val="-1"/>
        </w:rPr>
        <w:t xml:space="preserve"> </w:t>
      </w:r>
      <w:r>
        <w:t>5.611(a)(3)(i)]</w:t>
      </w:r>
      <w:r>
        <w:tab/>
        <w:t>136</w:t>
      </w:r>
    </w:p>
    <w:p w:rsidR="004E13A5" w:rsidRDefault="00681463">
      <w:pPr>
        <w:tabs>
          <w:tab w:val="right" w:leader="dot" w:pos="9461"/>
        </w:tabs>
        <w:ind w:left="2693"/>
        <w:rPr>
          <w:sz w:val="24"/>
        </w:rPr>
      </w:pPr>
      <w:r>
        <w:rPr>
          <w:sz w:val="24"/>
        </w:rPr>
        <w:t>Definition of</w:t>
      </w:r>
      <w:r>
        <w:rPr>
          <w:spacing w:val="-2"/>
          <w:sz w:val="24"/>
        </w:rPr>
        <w:t xml:space="preserve"> </w:t>
      </w:r>
      <w:r>
        <w:rPr>
          <w:i/>
          <w:sz w:val="24"/>
        </w:rPr>
        <w:t>Medical</w:t>
      </w:r>
      <w:r>
        <w:rPr>
          <w:i/>
          <w:spacing w:val="-1"/>
          <w:sz w:val="24"/>
        </w:rPr>
        <w:t xml:space="preserve"> </w:t>
      </w:r>
      <w:r>
        <w:rPr>
          <w:i/>
          <w:sz w:val="24"/>
        </w:rPr>
        <w:t>Expenses</w:t>
      </w:r>
      <w:r>
        <w:rPr>
          <w:sz w:val="24"/>
        </w:rPr>
        <w:tab/>
        <w:t>136</w:t>
      </w:r>
    </w:p>
    <w:p w:rsidR="004E13A5" w:rsidRDefault="00681463">
      <w:pPr>
        <w:pStyle w:val="BodyText"/>
        <w:spacing w:before="0"/>
        <w:ind w:left="2693"/>
      </w:pPr>
      <w:r>
        <w:t>Summary of Allowable Medical Expenses from IRS</w:t>
      </w:r>
    </w:p>
    <w:p w:rsidR="004E13A5" w:rsidRDefault="00681463">
      <w:pPr>
        <w:pStyle w:val="BodyText"/>
        <w:tabs>
          <w:tab w:val="right" w:leader="dot" w:pos="9461"/>
        </w:tabs>
        <w:spacing w:before="0"/>
        <w:ind w:left="2693"/>
      </w:pPr>
      <w:r>
        <w:t>Publication</w:t>
      </w:r>
      <w:r>
        <w:rPr>
          <w:spacing w:val="-1"/>
        </w:rPr>
        <w:t xml:space="preserve"> </w:t>
      </w:r>
      <w:r>
        <w:t>502</w:t>
      </w:r>
      <w:r>
        <w:tab/>
        <w:t>136</w:t>
      </w:r>
    </w:p>
    <w:p w:rsidR="004E13A5" w:rsidRDefault="00681463">
      <w:pPr>
        <w:pStyle w:val="BodyText"/>
        <w:spacing w:before="0"/>
        <w:ind w:left="2693"/>
      </w:pPr>
      <w:r>
        <w:t>Families That Qualify for Both Medical and Disability</w:t>
      </w:r>
    </w:p>
    <w:p w:rsidR="004E13A5" w:rsidRDefault="00681463">
      <w:pPr>
        <w:pStyle w:val="BodyText"/>
        <w:tabs>
          <w:tab w:val="right" w:leader="dot" w:pos="9461"/>
        </w:tabs>
        <w:spacing w:before="0"/>
        <w:ind w:left="2693"/>
      </w:pPr>
      <w:r>
        <w:t>Assistance</w:t>
      </w:r>
      <w:r>
        <w:rPr>
          <w:spacing w:val="-2"/>
        </w:rPr>
        <w:t xml:space="preserve"> </w:t>
      </w:r>
      <w:r>
        <w:t>Expenses</w:t>
      </w:r>
      <w:r>
        <w:tab/>
        <w:t>137</w:t>
      </w:r>
    </w:p>
    <w:p w:rsidR="004E13A5" w:rsidRDefault="00681463">
      <w:pPr>
        <w:pStyle w:val="BodyText"/>
        <w:tabs>
          <w:tab w:val="left" w:pos="2332"/>
        </w:tabs>
        <w:spacing w:before="0"/>
        <w:ind w:left="1367"/>
      </w:pPr>
      <w:r>
        <w:t>6-II.E.</w:t>
      </w:r>
      <w:r>
        <w:tab/>
        <w:t>Disability Assistance Expenses Deduction [24 CFR 5.603(b)</w:t>
      </w:r>
      <w:r>
        <w:rPr>
          <w:spacing w:val="-9"/>
        </w:rPr>
        <w:t xml:space="preserve"> </w:t>
      </w:r>
      <w:r>
        <w:t>and</w:t>
      </w:r>
    </w:p>
    <w:p w:rsidR="004E13A5" w:rsidRDefault="00681463">
      <w:pPr>
        <w:pStyle w:val="BodyText"/>
        <w:tabs>
          <w:tab w:val="right" w:leader="dot" w:pos="9461"/>
        </w:tabs>
        <w:spacing w:before="0"/>
        <w:ind w:left="2332"/>
      </w:pPr>
      <w:r>
        <w:t>24</w:t>
      </w:r>
      <w:r>
        <w:rPr>
          <w:spacing w:val="-1"/>
        </w:rPr>
        <w:t xml:space="preserve"> </w:t>
      </w:r>
      <w:r>
        <w:t>CFR</w:t>
      </w:r>
      <w:r>
        <w:rPr>
          <w:spacing w:val="-1"/>
        </w:rPr>
        <w:t xml:space="preserve"> </w:t>
      </w:r>
      <w:r>
        <w:t>5.611(a)(3)(ii)]</w:t>
      </w:r>
      <w:r>
        <w:tab/>
        <w:t>137</w:t>
      </w:r>
    </w:p>
    <w:p w:rsidR="004E13A5" w:rsidRDefault="00681463">
      <w:pPr>
        <w:pStyle w:val="BodyText"/>
        <w:spacing w:before="0"/>
        <w:ind w:left="2693"/>
      </w:pPr>
      <w:r>
        <w:t>Earned Income Limit on the Disability Assistance</w:t>
      </w:r>
    </w:p>
    <w:p w:rsidR="004E13A5" w:rsidRDefault="00681463">
      <w:pPr>
        <w:pStyle w:val="BodyText"/>
        <w:tabs>
          <w:tab w:val="right" w:leader="dot" w:pos="9461"/>
        </w:tabs>
        <w:spacing w:before="0"/>
        <w:ind w:left="2693"/>
      </w:pPr>
      <w:r>
        <w:t>Expense</w:t>
      </w:r>
      <w:r>
        <w:rPr>
          <w:spacing w:val="-2"/>
        </w:rPr>
        <w:t xml:space="preserve"> </w:t>
      </w:r>
      <w:r>
        <w:t>Deduction</w:t>
      </w:r>
      <w:r>
        <w:tab/>
        <w:t>137</w:t>
      </w:r>
    </w:p>
    <w:p w:rsidR="004E13A5" w:rsidRDefault="00681463">
      <w:pPr>
        <w:pStyle w:val="BodyText"/>
        <w:tabs>
          <w:tab w:val="right" w:leader="dot" w:pos="9461"/>
        </w:tabs>
        <w:spacing w:before="0"/>
        <w:ind w:left="2693"/>
      </w:pPr>
      <w:r>
        <w:t>Eligible</w:t>
      </w:r>
      <w:r>
        <w:rPr>
          <w:spacing w:val="-1"/>
        </w:rPr>
        <w:t xml:space="preserve"> </w:t>
      </w:r>
      <w:r>
        <w:t>Disability</w:t>
      </w:r>
      <w:r>
        <w:rPr>
          <w:spacing w:val="-5"/>
        </w:rPr>
        <w:t xml:space="preserve"> </w:t>
      </w:r>
      <w:r>
        <w:t>Expenses</w:t>
      </w:r>
      <w:r>
        <w:tab/>
        <w:t>138</w:t>
      </w:r>
    </w:p>
    <w:p w:rsidR="004E13A5" w:rsidRDefault="00681463">
      <w:pPr>
        <w:pStyle w:val="BodyText"/>
        <w:tabs>
          <w:tab w:val="right" w:leader="dot" w:pos="9461"/>
        </w:tabs>
        <w:spacing w:before="0"/>
        <w:ind w:left="2693"/>
      </w:pPr>
      <w:r>
        <w:t>Necessary and</w:t>
      </w:r>
      <w:r>
        <w:rPr>
          <w:spacing w:val="-6"/>
        </w:rPr>
        <w:t xml:space="preserve"> </w:t>
      </w:r>
      <w:r>
        <w:t>Reasonable</w:t>
      </w:r>
      <w:r>
        <w:rPr>
          <w:spacing w:val="-1"/>
        </w:rPr>
        <w:t xml:space="preserve"> </w:t>
      </w:r>
      <w:r>
        <w:t>Expenses</w:t>
      </w:r>
      <w:r>
        <w:tab/>
        <w:t>139</w:t>
      </w:r>
    </w:p>
    <w:p w:rsidR="004E13A5" w:rsidRDefault="00681463">
      <w:pPr>
        <w:pStyle w:val="BodyText"/>
        <w:spacing w:before="0"/>
        <w:ind w:left="2693"/>
      </w:pPr>
      <w:r>
        <w:t>Families That Qualify for Both Medical and Disability</w:t>
      </w:r>
    </w:p>
    <w:p w:rsidR="004E13A5" w:rsidRDefault="00681463">
      <w:pPr>
        <w:pStyle w:val="BodyText"/>
        <w:tabs>
          <w:tab w:val="right" w:leader="dot" w:pos="9461"/>
        </w:tabs>
        <w:spacing w:before="0"/>
        <w:ind w:left="2693"/>
      </w:pPr>
      <w:r>
        <w:t>Assistance</w:t>
      </w:r>
      <w:r>
        <w:rPr>
          <w:spacing w:val="-2"/>
        </w:rPr>
        <w:t xml:space="preserve"> </w:t>
      </w:r>
      <w:r>
        <w:t>Expenses</w:t>
      </w:r>
      <w:r>
        <w:tab/>
        <w:t>139</w:t>
      </w:r>
    </w:p>
    <w:p w:rsidR="004E13A5" w:rsidRDefault="00681463">
      <w:pPr>
        <w:pStyle w:val="BodyText"/>
        <w:tabs>
          <w:tab w:val="left" w:pos="2332"/>
          <w:tab w:val="right" w:leader="dot" w:pos="9461"/>
        </w:tabs>
        <w:spacing w:before="0"/>
        <w:ind w:left="1367"/>
      </w:pPr>
      <w:r>
        <w:t>6-II.F.</w:t>
      </w:r>
      <w:r>
        <w:tab/>
        <w:t>Child Care</w:t>
      </w:r>
      <w:r>
        <w:rPr>
          <w:spacing w:val="-3"/>
        </w:rPr>
        <w:t xml:space="preserve"> </w:t>
      </w:r>
      <w:r>
        <w:t>Expense</w:t>
      </w:r>
      <w:r>
        <w:rPr>
          <w:spacing w:val="-2"/>
        </w:rPr>
        <w:t xml:space="preserve"> </w:t>
      </w:r>
      <w:r>
        <w:t>Deduction</w:t>
      </w:r>
      <w:r>
        <w:tab/>
        <w:t>139</w:t>
      </w:r>
    </w:p>
    <w:p w:rsidR="004E13A5" w:rsidRDefault="00681463">
      <w:pPr>
        <w:pStyle w:val="BodyText"/>
        <w:tabs>
          <w:tab w:val="right" w:leader="dot" w:pos="9461"/>
        </w:tabs>
        <w:spacing w:before="0"/>
        <w:ind w:left="2693"/>
      </w:pPr>
      <w:r>
        <w:t xml:space="preserve">Clarifying the Meaning of </w:t>
      </w:r>
      <w:r>
        <w:rPr>
          <w:i/>
        </w:rPr>
        <w:t xml:space="preserve">Child </w:t>
      </w:r>
      <w:r>
        <w:t>for</w:t>
      </w:r>
      <w:r>
        <w:rPr>
          <w:spacing w:val="-8"/>
        </w:rPr>
        <w:t xml:space="preserve"> </w:t>
      </w:r>
      <w:r>
        <w:t>This</w:t>
      </w:r>
      <w:r>
        <w:rPr>
          <w:spacing w:val="-2"/>
        </w:rPr>
        <w:t xml:space="preserve"> </w:t>
      </w:r>
      <w:r>
        <w:t>Deduction</w:t>
      </w:r>
      <w:r>
        <w:tab/>
        <w:t>139</w:t>
      </w:r>
    </w:p>
    <w:p w:rsidR="004E13A5" w:rsidRDefault="00681463">
      <w:pPr>
        <w:pStyle w:val="BodyText"/>
        <w:tabs>
          <w:tab w:val="right" w:leader="dot" w:pos="9461"/>
        </w:tabs>
        <w:spacing w:before="0"/>
        <w:ind w:left="2693"/>
      </w:pPr>
      <w:r>
        <w:t>Qualifying for</w:t>
      </w:r>
      <w:r>
        <w:rPr>
          <w:spacing w:val="-4"/>
        </w:rPr>
        <w:t xml:space="preserve"> </w:t>
      </w:r>
      <w:r>
        <w:t>the</w:t>
      </w:r>
      <w:r>
        <w:rPr>
          <w:spacing w:val="-1"/>
        </w:rPr>
        <w:t xml:space="preserve"> </w:t>
      </w:r>
      <w:r>
        <w:t>Deduction</w:t>
      </w:r>
      <w:r>
        <w:tab/>
        <w:t>139</w:t>
      </w:r>
    </w:p>
    <w:p w:rsidR="004E13A5" w:rsidRDefault="00681463">
      <w:pPr>
        <w:pStyle w:val="BodyText"/>
        <w:tabs>
          <w:tab w:val="right" w:leader="dot" w:pos="9461"/>
        </w:tabs>
        <w:spacing w:before="0"/>
        <w:ind w:left="2693"/>
      </w:pPr>
      <w:r>
        <w:t>Earned Income Limit on Child Care</w:t>
      </w:r>
      <w:r>
        <w:rPr>
          <w:spacing w:val="-2"/>
        </w:rPr>
        <w:t xml:space="preserve"> </w:t>
      </w:r>
      <w:r>
        <w:t>Expense</w:t>
      </w:r>
      <w:r>
        <w:rPr>
          <w:spacing w:val="-2"/>
        </w:rPr>
        <w:t xml:space="preserve"> </w:t>
      </w:r>
      <w:r>
        <w:t>Deduction</w:t>
      </w:r>
      <w:r>
        <w:tab/>
        <w:t>140</w:t>
      </w:r>
    </w:p>
    <w:p w:rsidR="004E13A5" w:rsidRDefault="00681463">
      <w:pPr>
        <w:pStyle w:val="BodyText"/>
        <w:tabs>
          <w:tab w:val="right" w:leader="dot" w:pos="9461"/>
        </w:tabs>
        <w:spacing w:before="0"/>
        <w:ind w:left="2693"/>
      </w:pPr>
      <w:r>
        <w:t>Eligible Child</w:t>
      </w:r>
      <w:r>
        <w:rPr>
          <w:spacing w:val="-2"/>
        </w:rPr>
        <w:t xml:space="preserve"> </w:t>
      </w:r>
      <w:r>
        <w:t>Care</w:t>
      </w:r>
      <w:r>
        <w:rPr>
          <w:spacing w:val="-3"/>
        </w:rPr>
        <w:t xml:space="preserve"> </w:t>
      </w:r>
      <w:r>
        <w:t>Expenses</w:t>
      </w:r>
      <w:r>
        <w:tab/>
        <w:t>141</w:t>
      </w:r>
    </w:p>
    <w:p w:rsidR="004E13A5" w:rsidRDefault="00681463">
      <w:pPr>
        <w:pStyle w:val="BodyText"/>
        <w:tabs>
          <w:tab w:val="left" w:pos="1360"/>
          <w:tab w:val="right" w:leader="dot" w:pos="9461"/>
        </w:tabs>
      </w:pPr>
      <w:r>
        <w:t>PART</w:t>
      </w:r>
      <w:r>
        <w:rPr>
          <w:spacing w:val="-1"/>
        </w:rPr>
        <w:t xml:space="preserve"> </w:t>
      </w:r>
      <w:r>
        <w:t>III:</w:t>
      </w:r>
      <w:r>
        <w:tab/>
        <w:t>CALCULATING FAMILY SHARE AND PHA SUBSIDY</w:t>
      </w:r>
      <w:r>
        <w:tab/>
        <w:t>142</w:t>
      </w:r>
    </w:p>
    <w:p w:rsidR="004E13A5" w:rsidRDefault="00681463">
      <w:pPr>
        <w:pStyle w:val="BodyText"/>
        <w:tabs>
          <w:tab w:val="left" w:pos="2332"/>
          <w:tab w:val="right" w:leader="dot" w:pos="9461"/>
        </w:tabs>
        <w:spacing w:before="0"/>
        <w:ind w:left="1367"/>
      </w:pPr>
      <w:r>
        <w:t>6-III.A.</w:t>
      </w:r>
      <w:r>
        <w:tab/>
        <w:t>Overview of Rent and</w:t>
      </w:r>
      <w:r>
        <w:rPr>
          <w:spacing w:val="-2"/>
        </w:rPr>
        <w:t xml:space="preserve"> </w:t>
      </w:r>
      <w:r>
        <w:t>Subsidy</w:t>
      </w:r>
      <w:r>
        <w:rPr>
          <w:spacing w:val="-6"/>
        </w:rPr>
        <w:t xml:space="preserve"> </w:t>
      </w:r>
      <w:r>
        <w:t>Calculations</w:t>
      </w:r>
      <w:r>
        <w:tab/>
        <w:t>142</w:t>
      </w:r>
    </w:p>
    <w:p w:rsidR="004E13A5" w:rsidRDefault="00681463">
      <w:pPr>
        <w:pStyle w:val="BodyText"/>
        <w:tabs>
          <w:tab w:val="right" w:leader="dot" w:pos="9461"/>
        </w:tabs>
        <w:spacing w:before="0"/>
        <w:ind w:left="2693"/>
      </w:pPr>
      <w:r>
        <w:t>TTP Formula [24</w:t>
      </w:r>
      <w:r>
        <w:rPr>
          <w:spacing w:val="-1"/>
        </w:rPr>
        <w:t xml:space="preserve"> </w:t>
      </w:r>
      <w:r>
        <w:t>CFR</w:t>
      </w:r>
      <w:r>
        <w:rPr>
          <w:spacing w:val="-1"/>
        </w:rPr>
        <w:t xml:space="preserve"> </w:t>
      </w:r>
      <w:r>
        <w:t>5.628]</w:t>
      </w:r>
      <w:r>
        <w:tab/>
        <w:t>142</w:t>
      </w:r>
    </w:p>
    <w:p w:rsidR="004E13A5" w:rsidRDefault="00681463">
      <w:pPr>
        <w:pStyle w:val="BodyText"/>
        <w:tabs>
          <w:tab w:val="right" w:leader="dot" w:pos="9461"/>
        </w:tabs>
        <w:spacing w:before="0"/>
        <w:ind w:left="2693"/>
      </w:pPr>
      <w:r>
        <w:t>Family Share [24</w:t>
      </w:r>
      <w:r>
        <w:rPr>
          <w:spacing w:val="-8"/>
        </w:rPr>
        <w:t xml:space="preserve"> </w:t>
      </w:r>
      <w:r>
        <w:t>CFR</w:t>
      </w:r>
      <w:r>
        <w:rPr>
          <w:spacing w:val="-1"/>
        </w:rPr>
        <w:t xml:space="preserve"> </w:t>
      </w:r>
      <w:r>
        <w:t>982.305(a)(5)]</w:t>
      </w:r>
      <w:r>
        <w:tab/>
        <w:t>142</w:t>
      </w:r>
    </w:p>
    <w:p w:rsidR="004E13A5" w:rsidRDefault="00681463">
      <w:pPr>
        <w:pStyle w:val="BodyText"/>
        <w:tabs>
          <w:tab w:val="right" w:leader="dot" w:pos="9461"/>
        </w:tabs>
        <w:spacing w:before="0"/>
        <w:ind w:left="2693"/>
      </w:pPr>
      <w:r>
        <w:t>PHA Subsidy [24</w:t>
      </w:r>
      <w:r>
        <w:rPr>
          <w:spacing w:val="-9"/>
        </w:rPr>
        <w:t xml:space="preserve"> </w:t>
      </w:r>
      <w:r>
        <w:t>CFR 982.505(b)]</w:t>
      </w:r>
      <w:r>
        <w:tab/>
        <w:t>142</w:t>
      </w:r>
    </w:p>
    <w:p w:rsidR="004E13A5" w:rsidRDefault="00681463">
      <w:pPr>
        <w:pStyle w:val="BodyText"/>
        <w:tabs>
          <w:tab w:val="right" w:leader="dot" w:pos="9461"/>
        </w:tabs>
        <w:spacing w:before="0"/>
        <w:ind w:left="2693"/>
      </w:pPr>
      <w:r>
        <w:t>Utility Reimbursement [24</w:t>
      </w:r>
      <w:r>
        <w:rPr>
          <w:spacing w:val="-9"/>
        </w:rPr>
        <w:t xml:space="preserve"> </w:t>
      </w:r>
      <w:r>
        <w:t>CFR</w:t>
      </w:r>
      <w:r>
        <w:rPr>
          <w:spacing w:val="-1"/>
        </w:rPr>
        <w:t xml:space="preserve"> </w:t>
      </w:r>
      <w:r>
        <w:t>982.514(b)]</w:t>
      </w:r>
      <w:r>
        <w:tab/>
        <w:t>142</w:t>
      </w:r>
    </w:p>
    <w:p w:rsidR="004E13A5" w:rsidRDefault="00681463">
      <w:pPr>
        <w:pStyle w:val="BodyText"/>
        <w:tabs>
          <w:tab w:val="left" w:pos="2332"/>
          <w:tab w:val="right" w:leader="dot" w:pos="9461"/>
        </w:tabs>
        <w:spacing w:before="0"/>
        <w:ind w:left="1367"/>
      </w:pPr>
      <w:r>
        <w:t>6-III.B.</w:t>
      </w:r>
      <w:r>
        <w:tab/>
        <w:t>Financial Hardships Affecting Minimum Rent [24</w:t>
      </w:r>
      <w:r>
        <w:rPr>
          <w:spacing w:val="-5"/>
        </w:rPr>
        <w:t xml:space="preserve"> </w:t>
      </w:r>
      <w:r>
        <w:t>CFR 5.630]</w:t>
      </w:r>
      <w:r>
        <w:tab/>
        <w:t>143</w:t>
      </w:r>
    </w:p>
    <w:p w:rsidR="004E13A5" w:rsidRDefault="00681463">
      <w:pPr>
        <w:pStyle w:val="BodyText"/>
        <w:tabs>
          <w:tab w:val="right" w:leader="dot" w:pos="9461"/>
        </w:tabs>
        <w:spacing w:before="0"/>
        <w:ind w:left="2693"/>
      </w:pPr>
      <w:r>
        <w:t>Overview</w:t>
      </w:r>
      <w:r>
        <w:tab/>
        <w:t>143</w:t>
      </w:r>
    </w:p>
    <w:p w:rsidR="004E13A5" w:rsidRDefault="00681463">
      <w:pPr>
        <w:pStyle w:val="BodyText"/>
        <w:tabs>
          <w:tab w:val="right" w:leader="dot" w:pos="9461"/>
        </w:tabs>
        <w:spacing w:before="0"/>
        <w:ind w:left="2693"/>
      </w:pPr>
      <w:r>
        <w:t>HUD-Defined</w:t>
      </w:r>
      <w:r>
        <w:rPr>
          <w:spacing w:val="1"/>
        </w:rPr>
        <w:t xml:space="preserve"> </w:t>
      </w:r>
      <w:r>
        <w:t>Financial</w:t>
      </w:r>
      <w:r>
        <w:rPr>
          <w:spacing w:val="1"/>
        </w:rPr>
        <w:t xml:space="preserve"> </w:t>
      </w:r>
      <w:r>
        <w:t>Hardship</w:t>
      </w:r>
      <w:r>
        <w:tab/>
        <w:t>143</w:t>
      </w:r>
    </w:p>
    <w:p w:rsidR="004E13A5" w:rsidRDefault="00681463">
      <w:pPr>
        <w:pStyle w:val="BodyText"/>
        <w:tabs>
          <w:tab w:val="right" w:leader="dot" w:pos="9461"/>
        </w:tabs>
        <w:spacing w:before="0"/>
        <w:ind w:left="2693"/>
      </w:pPr>
      <w:r>
        <w:t>Implementation of</w:t>
      </w:r>
      <w:r>
        <w:rPr>
          <w:spacing w:val="-2"/>
        </w:rPr>
        <w:t xml:space="preserve"> </w:t>
      </w:r>
      <w:r>
        <w:t>Hardship</w:t>
      </w:r>
      <w:r>
        <w:rPr>
          <w:spacing w:val="-1"/>
        </w:rPr>
        <w:t xml:space="preserve"> </w:t>
      </w:r>
      <w:r>
        <w:t>Exemption</w:t>
      </w:r>
      <w:r>
        <w:tab/>
        <w:t>144</w:t>
      </w:r>
    </w:p>
    <w:p w:rsidR="004E13A5" w:rsidRDefault="00681463">
      <w:pPr>
        <w:pStyle w:val="BodyText"/>
        <w:tabs>
          <w:tab w:val="left" w:pos="2332"/>
          <w:tab w:val="right" w:leader="dot" w:pos="9461"/>
        </w:tabs>
        <w:spacing w:before="0"/>
        <w:ind w:left="1367"/>
      </w:pPr>
      <w:r>
        <w:t>6-III.C.</w:t>
      </w:r>
      <w:r>
        <w:tab/>
        <w:t>Applying Payment Standards [24</w:t>
      </w:r>
      <w:r>
        <w:rPr>
          <w:spacing w:val="-3"/>
        </w:rPr>
        <w:t xml:space="preserve"> </w:t>
      </w:r>
      <w:r>
        <w:t>CFR</w:t>
      </w:r>
      <w:r>
        <w:rPr>
          <w:spacing w:val="-1"/>
        </w:rPr>
        <w:t xml:space="preserve"> </w:t>
      </w:r>
      <w:r>
        <w:t>982.505]</w:t>
      </w:r>
      <w:r>
        <w:tab/>
        <w:t>146</w:t>
      </w:r>
    </w:p>
    <w:p w:rsidR="004E13A5" w:rsidRDefault="00681463">
      <w:pPr>
        <w:pStyle w:val="BodyText"/>
        <w:tabs>
          <w:tab w:val="right" w:leader="dot" w:pos="9461"/>
        </w:tabs>
        <w:spacing w:before="0"/>
        <w:ind w:left="2693"/>
      </w:pPr>
      <w:r>
        <w:t>Overview</w:t>
      </w:r>
      <w:r>
        <w:tab/>
        <w:t>146</w:t>
      </w:r>
    </w:p>
    <w:p w:rsidR="004E13A5" w:rsidRDefault="00681463">
      <w:pPr>
        <w:pStyle w:val="BodyText"/>
        <w:tabs>
          <w:tab w:val="right" w:leader="dot" w:pos="9461"/>
        </w:tabs>
        <w:spacing w:before="0"/>
        <w:ind w:left="2693"/>
      </w:pPr>
      <w:r>
        <w:t>Changes in</w:t>
      </w:r>
      <w:r>
        <w:rPr>
          <w:spacing w:val="-1"/>
        </w:rPr>
        <w:t xml:space="preserve"> </w:t>
      </w:r>
      <w:r>
        <w:t>Payment</w:t>
      </w:r>
      <w:r>
        <w:rPr>
          <w:spacing w:val="-1"/>
        </w:rPr>
        <w:t xml:space="preserve"> </w:t>
      </w:r>
      <w:r>
        <w:t>Standards</w:t>
      </w:r>
      <w:r>
        <w:tab/>
        <w:t>146</w:t>
      </w:r>
    </w:p>
    <w:p w:rsidR="004E13A5" w:rsidRDefault="00681463">
      <w:pPr>
        <w:pStyle w:val="BodyText"/>
        <w:tabs>
          <w:tab w:val="right" w:leader="dot" w:pos="9461"/>
        </w:tabs>
        <w:spacing w:before="0"/>
        <w:ind w:left="2693"/>
      </w:pPr>
      <w:r>
        <w:t>Reasonable</w:t>
      </w:r>
      <w:r>
        <w:rPr>
          <w:spacing w:val="-1"/>
        </w:rPr>
        <w:t xml:space="preserve"> </w:t>
      </w:r>
      <w:r>
        <w:t>Accommodation</w:t>
      </w:r>
      <w:r>
        <w:tab/>
        <w:t>147</w:t>
      </w:r>
    </w:p>
    <w:p w:rsidR="004E13A5" w:rsidRDefault="00681463">
      <w:pPr>
        <w:pStyle w:val="BodyText"/>
        <w:tabs>
          <w:tab w:val="left" w:pos="2332"/>
          <w:tab w:val="right" w:leader="dot" w:pos="9461"/>
        </w:tabs>
        <w:spacing w:before="0"/>
        <w:ind w:left="1367"/>
      </w:pPr>
      <w:r>
        <w:t>6-III.D.</w:t>
      </w:r>
      <w:r>
        <w:tab/>
        <w:t>Applying Utility Allowances [24</w:t>
      </w:r>
      <w:r>
        <w:rPr>
          <w:spacing w:val="-8"/>
        </w:rPr>
        <w:t xml:space="preserve"> </w:t>
      </w:r>
      <w:r>
        <w:t>CFR 982.517]</w:t>
      </w:r>
      <w:r>
        <w:tab/>
        <w:t>147</w:t>
      </w:r>
    </w:p>
    <w:p w:rsidR="004E13A5" w:rsidRDefault="00681463">
      <w:pPr>
        <w:pStyle w:val="BodyText"/>
        <w:tabs>
          <w:tab w:val="right" w:leader="dot" w:pos="9461"/>
        </w:tabs>
        <w:spacing w:before="0"/>
        <w:ind w:left="2693"/>
      </w:pPr>
      <w:r>
        <w:t>Overview</w:t>
      </w:r>
      <w:r>
        <w:tab/>
        <w:t>147</w:t>
      </w:r>
    </w:p>
    <w:p w:rsidR="004E13A5" w:rsidRDefault="00681463">
      <w:pPr>
        <w:pStyle w:val="BodyText"/>
        <w:tabs>
          <w:tab w:val="right" w:leader="dot" w:pos="9461"/>
        </w:tabs>
        <w:spacing w:before="0"/>
        <w:ind w:left="2693"/>
      </w:pPr>
      <w:r>
        <w:t>Reasonable</w:t>
      </w:r>
      <w:r>
        <w:rPr>
          <w:spacing w:val="-1"/>
        </w:rPr>
        <w:t xml:space="preserve"> </w:t>
      </w:r>
      <w:r>
        <w:t>Accommodation</w:t>
      </w:r>
      <w:r>
        <w:tab/>
        <w:t>147</w:t>
      </w:r>
    </w:p>
    <w:p w:rsidR="004E13A5" w:rsidRDefault="00681463">
      <w:pPr>
        <w:pStyle w:val="BodyText"/>
        <w:tabs>
          <w:tab w:val="right" w:leader="dot" w:pos="9461"/>
        </w:tabs>
        <w:spacing w:before="0"/>
        <w:ind w:left="2693"/>
      </w:pPr>
      <w:r>
        <w:t>Utility</w:t>
      </w:r>
      <w:r>
        <w:rPr>
          <w:spacing w:val="-8"/>
        </w:rPr>
        <w:t xml:space="preserve"> </w:t>
      </w:r>
      <w:r>
        <w:t>Allowance</w:t>
      </w:r>
      <w:r>
        <w:rPr>
          <w:spacing w:val="-1"/>
        </w:rPr>
        <w:t xml:space="preserve"> </w:t>
      </w:r>
      <w:r>
        <w:t>Revisions</w:t>
      </w:r>
      <w:r>
        <w:tab/>
        <w:t>148</w:t>
      </w:r>
    </w:p>
    <w:p w:rsidR="004E13A5" w:rsidRDefault="00681463">
      <w:pPr>
        <w:pStyle w:val="BodyText"/>
        <w:tabs>
          <w:tab w:val="left" w:pos="2332"/>
          <w:tab w:val="right" w:leader="dot" w:pos="9461"/>
        </w:tabs>
        <w:spacing w:before="0"/>
        <w:ind w:left="1367"/>
      </w:pPr>
      <w:r>
        <w:t>6-III.E.</w:t>
      </w:r>
      <w:r>
        <w:tab/>
        <w:t>Prorated Assistance for Mixed Families [24</w:t>
      </w:r>
      <w:r>
        <w:rPr>
          <w:spacing w:val="-3"/>
        </w:rPr>
        <w:t xml:space="preserve"> </w:t>
      </w:r>
      <w:r>
        <w:t>CFR</w:t>
      </w:r>
      <w:r>
        <w:rPr>
          <w:spacing w:val="-3"/>
        </w:rPr>
        <w:t xml:space="preserve"> </w:t>
      </w:r>
      <w:r>
        <w:t>5.520]</w:t>
      </w:r>
      <w:r>
        <w:tab/>
        <w:t>148</w:t>
      </w:r>
    </w:p>
    <w:p w:rsidR="004E13A5" w:rsidRDefault="004E13A5">
      <w:pPr>
        <w:sectPr w:rsidR="004E13A5">
          <w:pgSz w:w="12240" w:h="15840"/>
          <w:pgMar w:top="1360" w:right="1320" w:bottom="640" w:left="1340" w:header="0" w:footer="381" w:gutter="0"/>
          <w:cols w:space="720"/>
        </w:sectPr>
      </w:pPr>
    </w:p>
    <w:p w:rsidR="004E13A5" w:rsidRDefault="00681463">
      <w:pPr>
        <w:pStyle w:val="BodyText"/>
        <w:spacing w:before="79"/>
      </w:pPr>
      <w:r>
        <w:lastRenderedPageBreak/>
        <w:t>Exhibit 6-1:  Annual Income Inclusions</w:t>
      </w:r>
    </w:p>
    <w:p w:rsidR="004E13A5" w:rsidRDefault="00681463">
      <w:pPr>
        <w:pStyle w:val="BodyText"/>
        <w:tabs>
          <w:tab w:val="left" w:leader="dot" w:pos="9101"/>
        </w:tabs>
        <w:spacing w:before="0"/>
        <w:ind w:left="1367"/>
      </w:pPr>
      <w:r>
        <w:t>HHS Definition</w:t>
      </w:r>
      <w:r>
        <w:rPr>
          <w:spacing w:val="-1"/>
        </w:rPr>
        <w:t xml:space="preserve"> </w:t>
      </w:r>
      <w:r>
        <w:t>of</w:t>
      </w:r>
      <w:r>
        <w:rPr>
          <w:spacing w:val="-2"/>
        </w:rPr>
        <w:t xml:space="preserve"> </w:t>
      </w:r>
      <w:r>
        <w:t>"Assistance"</w:t>
      </w:r>
      <w:r>
        <w:tab/>
        <w:t>148</w:t>
      </w:r>
    </w:p>
    <w:p w:rsidR="004E13A5" w:rsidRDefault="00681463">
      <w:pPr>
        <w:pStyle w:val="BodyText"/>
        <w:tabs>
          <w:tab w:val="left" w:leader="dot" w:pos="9101"/>
        </w:tabs>
        <w:spacing w:before="120"/>
      </w:pPr>
      <w:r>
        <w:t>Exhibit 6-2:  Annual</w:t>
      </w:r>
      <w:r>
        <w:rPr>
          <w:spacing w:val="-17"/>
        </w:rPr>
        <w:t xml:space="preserve"> </w:t>
      </w:r>
      <w:r>
        <w:t>Income</w:t>
      </w:r>
      <w:r>
        <w:rPr>
          <w:spacing w:val="-2"/>
        </w:rPr>
        <w:t xml:space="preserve"> </w:t>
      </w:r>
      <w:r>
        <w:t>Exclusions</w:t>
      </w:r>
      <w:r>
        <w:tab/>
        <w:t>151</w:t>
      </w:r>
    </w:p>
    <w:p w:rsidR="004E13A5" w:rsidRDefault="00681463">
      <w:pPr>
        <w:pStyle w:val="BodyText"/>
        <w:tabs>
          <w:tab w:val="left" w:leader="dot" w:pos="9101"/>
        </w:tabs>
      </w:pPr>
      <w:r>
        <w:t>Exhibit 6-3:  Treatment of</w:t>
      </w:r>
      <w:r>
        <w:rPr>
          <w:spacing w:val="-14"/>
        </w:rPr>
        <w:t xml:space="preserve"> </w:t>
      </w:r>
      <w:r>
        <w:t>Family</w:t>
      </w:r>
      <w:r>
        <w:rPr>
          <w:spacing w:val="-6"/>
        </w:rPr>
        <w:t xml:space="preserve"> </w:t>
      </w:r>
      <w:r>
        <w:t>Assets</w:t>
      </w:r>
      <w:r>
        <w:tab/>
        <w:t>153</w:t>
      </w:r>
    </w:p>
    <w:p w:rsidR="004E13A5" w:rsidRDefault="00681463">
      <w:pPr>
        <w:pStyle w:val="BodyText"/>
        <w:tabs>
          <w:tab w:val="left" w:leader="dot" w:pos="9101"/>
        </w:tabs>
      </w:pPr>
      <w:r>
        <w:t>Exhibit 6-4:  Earned Income Disallowance for Persons</w:t>
      </w:r>
      <w:r>
        <w:rPr>
          <w:spacing w:val="-20"/>
        </w:rPr>
        <w:t xml:space="preserve"> </w:t>
      </w:r>
      <w:r>
        <w:t>with</w:t>
      </w:r>
      <w:r>
        <w:rPr>
          <w:spacing w:val="-1"/>
        </w:rPr>
        <w:t xml:space="preserve"> </w:t>
      </w:r>
      <w:r>
        <w:t>Disabilities</w:t>
      </w:r>
      <w:r>
        <w:tab/>
        <w:t>154</w:t>
      </w:r>
    </w:p>
    <w:p w:rsidR="004E13A5" w:rsidRDefault="00681463">
      <w:pPr>
        <w:pStyle w:val="BodyText"/>
        <w:tabs>
          <w:tab w:val="left" w:leader="dot" w:pos="9101"/>
        </w:tabs>
      </w:pPr>
      <w:r>
        <w:t>Exhibit 6-5:  The Effect of Welfare</w:t>
      </w:r>
      <w:r>
        <w:rPr>
          <w:spacing w:val="-22"/>
        </w:rPr>
        <w:t xml:space="preserve"> </w:t>
      </w:r>
      <w:r>
        <w:t>Benefit</w:t>
      </w:r>
      <w:r>
        <w:rPr>
          <w:spacing w:val="-1"/>
        </w:rPr>
        <w:t xml:space="preserve"> </w:t>
      </w:r>
      <w:r>
        <w:t>Reduction</w:t>
      </w:r>
      <w:r>
        <w:tab/>
        <w:t>156</w:t>
      </w:r>
    </w:p>
    <w:p w:rsidR="004E13A5" w:rsidRDefault="00681463">
      <w:pPr>
        <w:pStyle w:val="Heading4"/>
        <w:spacing w:before="515"/>
        <w:ind w:left="3881" w:right="3898" w:hanging="5"/>
        <w:jc w:val="center"/>
      </w:pPr>
      <w:r>
        <w:t>Chapter 7 VERIFICATION</w:t>
      </w:r>
    </w:p>
    <w:p w:rsidR="004E13A5" w:rsidRDefault="00681463">
      <w:pPr>
        <w:pStyle w:val="BodyText"/>
        <w:spacing w:before="0"/>
        <w:ind w:left="1276"/>
      </w:pPr>
      <w:r>
        <w:t>[24 CFR 982.516, 24 CFR 982.551, 24 CFR 5.230, Notice PIH 2010-19]</w:t>
      </w:r>
    </w:p>
    <w:p w:rsidR="004E13A5" w:rsidRDefault="00681463">
      <w:pPr>
        <w:pStyle w:val="BodyText"/>
        <w:tabs>
          <w:tab w:val="left" w:pos="1360"/>
          <w:tab w:val="left" w:leader="dot" w:pos="9101"/>
        </w:tabs>
        <w:spacing w:before="121"/>
      </w:pPr>
      <w:r>
        <w:t>PART</w:t>
      </w:r>
      <w:r>
        <w:rPr>
          <w:spacing w:val="1"/>
        </w:rPr>
        <w:t xml:space="preserve"> </w:t>
      </w:r>
      <w:r>
        <w:rPr>
          <w:spacing w:val="-3"/>
        </w:rPr>
        <w:t>I:</w:t>
      </w:r>
      <w:r>
        <w:rPr>
          <w:spacing w:val="-3"/>
        </w:rPr>
        <w:tab/>
      </w:r>
      <w:r>
        <w:t>GENERAL</w:t>
      </w:r>
      <w:r>
        <w:rPr>
          <w:spacing w:val="-6"/>
        </w:rPr>
        <w:t xml:space="preserve"> </w:t>
      </w:r>
      <w:r>
        <w:t>VERIFICATION</w:t>
      </w:r>
      <w:r>
        <w:rPr>
          <w:spacing w:val="-3"/>
        </w:rPr>
        <w:t xml:space="preserve"> </w:t>
      </w:r>
      <w:r>
        <w:t>REQUIREMENTS</w:t>
      </w:r>
      <w:r>
        <w:tab/>
        <w:t>158</w:t>
      </w:r>
    </w:p>
    <w:p w:rsidR="004E13A5" w:rsidRDefault="00681463">
      <w:pPr>
        <w:pStyle w:val="BodyText"/>
        <w:tabs>
          <w:tab w:val="left" w:pos="2332"/>
        </w:tabs>
        <w:spacing w:before="0"/>
        <w:ind w:left="1367"/>
      </w:pPr>
      <w:r>
        <w:t>7-I.A.</w:t>
      </w:r>
      <w:r>
        <w:tab/>
        <w:t>Family Consent to Release of Information [24 CFR</w:t>
      </w:r>
      <w:r>
        <w:rPr>
          <w:spacing w:val="-11"/>
        </w:rPr>
        <w:t xml:space="preserve"> </w:t>
      </w:r>
      <w:r>
        <w:t>982.516</w:t>
      </w:r>
    </w:p>
    <w:p w:rsidR="004E13A5" w:rsidRDefault="00681463">
      <w:pPr>
        <w:pStyle w:val="BodyText"/>
        <w:tabs>
          <w:tab w:val="left" w:leader="dot" w:pos="9101"/>
        </w:tabs>
        <w:spacing w:before="0"/>
        <w:ind w:left="2332"/>
      </w:pPr>
      <w:r>
        <w:t>and 982.551, 24</w:t>
      </w:r>
      <w:r>
        <w:rPr>
          <w:spacing w:val="-2"/>
        </w:rPr>
        <w:t xml:space="preserve"> </w:t>
      </w:r>
      <w:r>
        <w:t>CFR</w:t>
      </w:r>
      <w:r>
        <w:rPr>
          <w:spacing w:val="-1"/>
        </w:rPr>
        <w:t xml:space="preserve"> </w:t>
      </w:r>
      <w:r>
        <w:t>5.230]</w:t>
      </w:r>
      <w:r>
        <w:tab/>
        <w:t>158</w:t>
      </w:r>
    </w:p>
    <w:p w:rsidR="004E13A5" w:rsidRDefault="00681463">
      <w:pPr>
        <w:pStyle w:val="BodyText"/>
        <w:tabs>
          <w:tab w:val="left" w:leader="dot" w:pos="9101"/>
        </w:tabs>
        <w:spacing w:before="0"/>
        <w:ind w:left="2693"/>
      </w:pPr>
      <w:r>
        <w:t>Consent</w:t>
      </w:r>
      <w:r>
        <w:rPr>
          <w:spacing w:val="-1"/>
        </w:rPr>
        <w:t xml:space="preserve"> </w:t>
      </w:r>
      <w:r>
        <w:t>Forms</w:t>
      </w:r>
      <w:r>
        <w:tab/>
        <w:t>158</w:t>
      </w:r>
    </w:p>
    <w:p w:rsidR="004E13A5" w:rsidRDefault="00681463">
      <w:pPr>
        <w:pStyle w:val="BodyText"/>
        <w:tabs>
          <w:tab w:val="left" w:leader="dot" w:pos="9101"/>
        </w:tabs>
        <w:spacing w:before="0"/>
        <w:ind w:left="2693"/>
      </w:pPr>
      <w:r>
        <w:t>Penalties for Failing to Consent [24</w:t>
      </w:r>
      <w:r>
        <w:rPr>
          <w:spacing w:val="-5"/>
        </w:rPr>
        <w:t xml:space="preserve"> </w:t>
      </w:r>
      <w:r>
        <w:t>CFR</w:t>
      </w:r>
      <w:r>
        <w:rPr>
          <w:spacing w:val="-1"/>
        </w:rPr>
        <w:t xml:space="preserve"> </w:t>
      </w:r>
      <w:r>
        <w:t>5.232]</w:t>
      </w:r>
      <w:r>
        <w:tab/>
        <w:t>158</w:t>
      </w:r>
    </w:p>
    <w:p w:rsidR="004E13A5" w:rsidRDefault="00681463">
      <w:pPr>
        <w:pStyle w:val="BodyText"/>
        <w:tabs>
          <w:tab w:val="left" w:pos="2332"/>
          <w:tab w:val="left" w:leader="dot" w:pos="9101"/>
        </w:tabs>
        <w:spacing w:before="0"/>
        <w:ind w:left="1367"/>
      </w:pPr>
      <w:r>
        <w:t>7-I.B.</w:t>
      </w:r>
      <w:r>
        <w:tab/>
        <w:t>Overview of</w:t>
      </w:r>
      <w:r>
        <w:rPr>
          <w:spacing w:val="-5"/>
        </w:rPr>
        <w:t xml:space="preserve"> </w:t>
      </w:r>
      <w:r>
        <w:t>Verification Requirements</w:t>
      </w:r>
      <w:r>
        <w:tab/>
        <w:t>159</w:t>
      </w:r>
    </w:p>
    <w:p w:rsidR="004E13A5" w:rsidRDefault="00681463">
      <w:pPr>
        <w:pStyle w:val="BodyText"/>
        <w:tabs>
          <w:tab w:val="left" w:leader="dot" w:pos="9101"/>
        </w:tabs>
        <w:spacing w:before="0"/>
        <w:ind w:left="2693"/>
      </w:pPr>
      <w:r>
        <w:t>HUD’s Verification Hierarchy [Notice</w:t>
      </w:r>
      <w:r>
        <w:rPr>
          <w:spacing w:val="-8"/>
        </w:rPr>
        <w:t xml:space="preserve"> </w:t>
      </w:r>
      <w:r>
        <w:t>PIH</w:t>
      </w:r>
      <w:r>
        <w:rPr>
          <w:spacing w:val="-1"/>
        </w:rPr>
        <w:t xml:space="preserve"> </w:t>
      </w:r>
      <w:r>
        <w:t>2010-19]</w:t>
      </w:r>
      <w:r>
        <w:tab/>
        <w:t>159</w:t>
      </w:r>
    </w:p>
    <w:p w:rsidR="004E13A5" w:rsidRDefault="00681463">
      <w:pPr>
        <w:pStyle w:val="BodyText"/>
        <w:tabs>
          <w:tab w:val="left" w:leader="dot" w:pos="9101"/>
        </w:tabs>
        <w:spacing w:before="0"/>
        <w:ind w:left="2693"/>
      </w:pPr>
      <w:r>
        <w:t>Requirements for</w:t>
      </w:r>
      <w:r>
        <w:rPr>
          <w:spacing w:val="-6"/>
        </w:rPr>
        <w:t xml:space="preserve"> </w:t>
      </w:r>
      <w:r>
        <w:t>Acceptable</w:t>
      </w:r>
      <w:r>
        <w:rPr>
          <w:spacing w:val="-2"/>
        </w:rPr>
        <w:t xml:space="preserve"> </w:t>
      </w:r>
      <w:r>
        <w:t>Documents</w:t>
      </w:r>
      <w:r>
        <w:tab/>
        <w:t>159</w:t>
      </w:r>
    </w:p>
    <w:p w:rsidR="004E13A5" w:rsidRDefault="00681463">
      <w:pPr>
        <w:pStyle w:val="BodyText"/>
        <w:tabs>
          <w:tab w:val="left" w:leader="dot" w:pos="9101"/>
        </w:tabs>
        <w:spacing w:before="0"/>
        <w:ind w:left="2693"/>
      </w:pPr>
      <w:r>
        <w:t>File</w:t>
      </w:r>
      <w:r>
        <w:rPr>
          <w:spacing w:val="-2"/>
        </w:rPr>
        <w:t xml:space="preserve"> </w:t>
      </w:r>
      <w:r>
        <w:t>Documentation</w:t>
      </w:r>
      <w:r>
        <w:tab/>
        <w:t>159</w:t>
      </w:r>
    </w:p>
    <w:p w:rsidR="004E13A5" w:rsidRDefault="00681463">
      <w:pPr>
        <w:pStyle w:val="BodyText"/>
        <w:tabs>
          <w:tab w:val="left" w:pos="2332"/>
          <w:tab w:val="left" w:leader="dot" w:pos="9101"/>
        </w:tabs>
        <w:spacing w:before="0"/>
        <w:ind w:left="1367"/>
      </w:pPr>
      <w:r>
        <w:t>7-I.C.</w:t>
      </w:r>
      <w:r>
        <w:tab/>
        <w:t>Up-Front Income</w:t>
      </w:r>
      <w:r>
        <w:rPr>
          <w:spacing w:val="-1"/>
        </w:rPr>
        <w:t xml:space="preserve"> </w:t>
      </w:r>
      <w:r>
        <w:t>Verification</w:t>
      </w:r>
      <w:r>
        <w:rPr>
          <w:spacing w:val="-3"/>
        </w:rPr>
        <w:t xml:space="preserve"> </w:t>
      </w:r>
      <w:r>
        <w:t>(UIV)</w:t>
      </w:r>
      <w:r>
        <w:tab/>
        <w:t>160</w:t>
      </w:r>
    </w:p>
    <w:p w:rsidR="004E13A5" w:rsidRDefault="00681463">
      <w:pPr>
        <w:pStyle w:val="BodyText"/>
        <w:tabs>
          <w:tab w:val="left" w:leader="dot" w:pos="9101"/>
        </w:tabs>
        <w:spacing w:before="0"/>
        <w:ind w:left="2693" w:right="117"/>
      </w:pPr>
      <w:r>
        <w:t>Upfront Income Verification Using HUD’s Enterprise Income Verification (EIV)</w:t>
      </w:r>
      <w:r>
        <w:rPr>
          <w:spacing w:val="-6"/>
        </w:rPr>
        <w:t xml:space="preserve"> </w:t>
      </w:r>
      <w:r>
        <w:t>System</w:t>
      </w:r>
      <w:r>
        <w:rPr>
          <w:spacing w:val="-2"/>
        </w:rPr>
        <w:t xml:space="preserve"> </w:t>
      </w:r>
      <w:r>
        <w:t>(Mandatory)</w:t>
      </w:r>
      <w:r>
        <w:tab/>
        <w:t>160</w:t>
      </w:r>
    </w:p>
    <w:p w:rsidR="004E13A5" w:rsidRDefault="00681463">
      <w:pPr>
        <w:pStyle w:val="BodyText"/>
        <w:spacing w:before="0"/>
        <w:ind w:left="2693"/>
      </w:pPr>
      <w:r>
        <w:t>Upfront Income Verification Using Non-HUD</w:t>
      </w:r>
    </w:p>
    <w:p w:rsidR="004E13A5" w:rsidRDefault="00681463">
      <w:pPr>
        <w:pStyle w:val="BodyText"/>
        <w:tabs>
          <w:tab w:val="left" w:leader="dot" w:pos="9101"/>
        </w:tabs>
        <w:spacing w:before="0"/>
        <w:ind w:left="2693"/>
      </w:pPr>
      <w:r>
        <w:t>Systems</w:t>
      </w:r>
      <w:r>
        <w:rPr>
          <w:spacing w:val="-2"/>
        </w:rPr>
        <w:t xml:space="preserve"> </w:t>
      </w:r>
      <w:r>
        <w:t>(Optional)</w:t>
      </w:r>
      <w:r>
        <w:tab/>
        <w:t>161</w:t>
      </w:r>
    </w:p>
    <w:p w:rsidR="004E13A5" w:rsidRDefault="00681463">
      <w:pPr>
        <w:pStyle w:val="BodyText"/>
        <w:tabs>
          <w:tab w:val="left" w:pos="2332"/>
          <w:tab w:val="left" w:leader="dot" w:pos="9101"/>
        </w:tabs>
        <w:spacing w:before="0"/>
        <w:ind w:left="1367"/>
      </w:pPr>
      <w:r>
        <w:t>7-I.D.</w:t>
      </w:r>
      <w:r>
        <w:tab/>
        <w:t>Third-Party Written and</w:t>
      </w:r>
      <w:r>
        <w:rPr>
          <w:spacing w:val="-7"/>
        </w:rPr>
        <w:t xml:space="preserve"> </w:t>
      </w:r>
      <w:r>
        <w:t>Oral</w:t>
      </w:r>
      <w:r>
        <w:rPr>
          <w:spacing w:val="-1"/>
        </w:rPr>
        <w:t xml:space="preserve"> </w:t>
      </w:r>
      <w:r>
        <w:t>Verification</w:t>
      </w:r>
      <w:r>
        <w:tab/>
        <w:t>161</w:t>
      </w:r>
    </w:p>
    <w:p w:rsidR="004E13A5" w:rsidRDefault="00681463">
      <w:pPr>
        <w:pStyle w:val="BodyText"/>
        <w:tabs>
          <w:tab w:val="left" w:leader="dot" w:pos="9101"/>
        </w:tabs>
        <w:spacing w:before="0"/>
        <w:ind w:left="2693"/>
      </w:pPr>
      <w:r>
        <w:t>Written Third-Party Verification [Notice</w:t>
      </w:r>
      <w:r>
        <w:rPr>
          <w:spacing w:val="-9"/>
        </w:rPr>
        <w:t xml:space="preserve"> </w:t>
      </w:r>
      <w:r>
        <w:t>PIH</w:t>
      </w:r>
      <w:r>
        <w:rPr>
          <w:spacing w:val="-1"/>
        </w:rPr>
        <w:t xml:space="preserve"> </w:t>
      </w:r>
      <w:r>
        <w:t>2010-19]</w:t>
      </w:r>
      <w:r>
        <w:tab/>
        <w:t>162</w:t>
      </w:r>
    </w:p>
    <w:p w:rsidR="004E13A5" w:rsidRDefault="00681463">
      <w:pPr>
        <w:pStyle w:val="BodyText"/>
        <w:tabs>
          <w:tab w:val="left" w:leader="dot" w:pos="9101"/>
        </w:tabs>
        <w:spacing w:before="0"/>
        <w:ind w:left="2693"/>
      </w:pPr>
      <w:r>
        <w:t>Written Third-Party</w:t>
      </w:r>
      <w:r>
        <w:rPr>
          <w:spacing w:val="-8"/>
        </w:rPr>
        <w:t xml:space="preserve"> </w:t>
      </w:r>
      <w:r>
        <w:t>Verification</w:t>
      </w:r>
      <w:r>
        <w:rPr>
          <w:spacing w:val="-2"/>
        </w:rPr>
        <w:t xml:space="preserve"> </w:t>
      </w:r>
      <w:r>
        <w:t>Form</w:t>
      </w:r>
      <w:r>
        <w:tab/>
        <w:t>162</w:t>
      </w:r>
    </w:p>
    <w:p w:rsidR="004E13A5" w:rsidRDefault="00681463">
      <w:pPr>
        <w:pStyle w:val="BodyText"/>
        <w:tabs>
          <w:tab w:val="left" w:leader="dot" w:pos="9101"/>
        </w:tabs>
        <w:spacing w:before="0"/>
        <w:ind w:left="2693"/>
      </w:pPr>
      <w:r>
        <w:t>Oral Third-Party Verification [Notice</w:t>
      </w:r>
      <w:r>
        <w:rPr>
          <w:spacing w:val="-8"/>
        </w:rPr>
        <w:t xml:space="preserve"> </w:t>
      </w:r>
      <w:r>
        <w:t>PIH</w:t>
      </w:r>
      <w:r>
        <w:rPr>
          <w:spacing w:val="-1"/>
        </w:rPr>
        <w:t xml:space="preserve"> </w:t>
      </w:r>
      <w:r>
        <w:t>2010-19]</w:t>
      </w:r>
      <w:r>
        <w:tab/>
        <w:t>162</w:t>
      </w:r>
    </w:p>
    <w:p w:rsidR="004E13A5" w:rsidRDefault="00681463">
      <w:pPr>
        <w:pStyle w:val="BodyText"/>
        <w:spacing w:before="0"/>
        <w:ind w:left="2693"/>
      </w:pPr>
      <w:r>
        <w:t>When Third-Party Verification is Not Required</w:t>
      </w:r>
    </w:p>
    <w:p w:rsidR="004E13A5" w:rsidRDefault="00681463">
      <w:pPr>
        <w:pStyle w:val="BodyText"/>
        <w:tabs>
          <w:tab w:val="left" w:leader="dot" w:pos="9101"/>
        </w:tabs>
        <w:spacing w:before="0"/>
        <w:ind w:left="2693"/>
      </w:pPr>
      <w:r>
        <w:t>[Notice</w:t>
      </w:r>
      <w:r>
        <w:rPr>
          <w:spacing w:val="-3"/>
        </w:rPr>
        <w:t xml:space="preserve"> </w:t>
      </w:r>
      <w:r>
        <w:t>PIH</w:t>
      </w:r>
      <w:r>
        <w:rPr>
          <w:spacing w:val="-1"/>
        </w:rPr>
        <w:t xml:space="preserve"> </w:t>
      </w:r>
      <w:r>
        <w:t>2010-19]</w:t>
      </w:r>
      <w:r>
        <w:tab/>
        <w:t>163</w:t>
      </w:r>
    </w:p>
    <w:p w:rsidR="004E13A5" w:rsidRDefault="00681463">
      <w:pPr>
        <w:pStyle w:val="BodyText"/>
        <w:tabs>
          <w:tab w:val="left" w:pos="2332"/>
          <w:tab w:val="left" w:leader="dot" w:pos="9101"/>
        </w:tabs>
        <w:spacing w:before="0"/>
        <w:ind w:left="1367"/>
      </w:pPr>
      <w:r>
        <w:t>7-I.E.</w:t>
      </w:r>
      <w:r>
        <w:tab/>
        <w:t>Self-Certification</w:t>
      </w:r>
      <w:r>
        <w:tab/>
        <w:t>163</w:t>
      </w:r>
    </w:p>
    <w:p w:rsidR="004E13A5" w:rsidRDefault="00681463">
      <w:pPr>
        <w:pStyle w:val="BodyText"/>
        <w:tabs>
          <w:tab w:val="left" w:pos="1360"/>
          <w:tab w:val="left" w:leader="dot" w:pos="9101"/>
        </w:tabs>
      </w:pPr>
      <w:r>
        <w:t>PART</w:t>
      </w:r>
      <w:r>
        <w:rPr>
          <w:spacing w:val="2"/>
        </w:rPr>
        <w:t xml:space="preserve"> </w:t>
      </w:r>
      <w:r>
        <w:rPr>
          <w:spacing w:val="-3"/>
        </w:rPr>
        <w:t>II:</w:t>
      </w:r>
      <w:r>
        <w:rPr>
          <w:spacing w:val="-3"/>
        </w:rPr>
        <w:tab/>
      </w:r>
      <w:r>
        <w:t>VERIFYING</w:t>
      </w:r>
      <w:r>
        <w:rPr>
          <w:spacing w:val="-4"/>
        </w:rPr>
        <w:t xml:space="preserve"> </w:t>
      </w:r>
      <w:r>
        <w:t>FAMILY</w:t>
      </w:r>
      <w:r>
        <w:rPr>
          <w:spacing w:val="-1"/>
        </w:rPr>
        <w:t xml:space="preserve"> </w:t>
      </w:r>
      <w:r>
        <w:t>INFORMATION</w:t>
      </w:r>
      <w:r>
        <w:tab/>
        <w:t>164</w:t>
      </w:r>
    </w:p>
    <w:p w:rsidR="004E13A5" w:rsidRDefault="00681463">
      <w:pPr>
        <w:pStyle w:val="BodyText"/>
        <w:tabs>
          <w:tab w:val="left" w:pos="2332"/>
          <w:tab w:val="left" w:leader="dot" w:pos="9101"/>
        </w:tabs>
        <w:spacing w:before="0"/>
        <w:ind w:left="1367"/>
      </w:pPr>
      <w:r>
        <w:t>7-II.A.</w:t>
      </w:r>
      <w:r>
        <w:tab/>
        <w:t>Verification of</w:t>
      </w:r>
      <w:r>
        <w:rPr>
          <w:spacing w:val="-1"/>
        </w:rPr>
        <w:t xml:space="preserve"> </w:t>
      </w:r>
      <w:r>
        <w:t>Legal Identity</w:t>
      </w:r>
      <w:r>
        <w:tab/>
        <w:t>164</w:t>
      </w:r>
    </w:p>
    <w:p w:rsidR="004E13A5" w:rsidRDefault="00681463">
      <w:pPr>
        <w:pStyle w:val="BodyText"/>
        <w:tabs>
          <w:tab w:val="left" w:pos="2332"/>
          <w:tab w:val="left" w:leader="dot" w:pos="9101"/>
        </w:tabs>
        <w:spacing w:before="0"/>
        <w:ind w:left="1367"/>
      </w:pPr>
      <w:r>
        <w:t>7-II.B.</w:t>
      </w:r>
      <w:r>
        <w:tab/>
        <w:t>Social Security Numbers [24 CFR 5.216, Notice</w:t>
      </w:r>
      <w:r>
        <w:rPr>
          <w:spacing w:val="-9"/>
        </w:rPr>
        <w:t xml:space="preserve"> </w:t>
      </w:r>
      <w:r>
        <w:t>PIH 2012-10]</w:t>
      </w:r>
      <w:r>
        <w:tab/>
        <w:t>165</w:t>
      </w:r>
    </w:p>
    <w:p w:rsidR="004E13A5" w:rsidRDefault="00681463">
      <w:pPr>
        <w:pStyle w:val="BodyText"/>
        <w:tabs>
          <w:tab w:val="left" w:pos="2332"/>
          <w:tab w:val="left" w:leader="dot" w:pos="9101"/>
        </w:tabs>
        <w:spacing w:before="0"/>
        <w:ind w:left="1367"/>
      </w:pPr>
      <w:r>
        <w:t>7-II.C.</w:t>
      </w:r>
      <w:r>
        <w:tab/>
        <w:t>Documentation</w:t>
      </w:r>
      <w:r>
        <w:rPr>
          <w:spacing w:val="-2"/>
        </w:rPr>
        <w:t xml:space="preserve"> </w:t>
      </w:r>
      <w:r>
        <w:t>of</w:t>
      </w:r>
      <w:r>
        <w:rPr>
          <w:spacing w:val="-3"/>
        </w:rPr>
        <w:t xml:space="preserve"> </w:t>
      </w:r>
      <w:r>
        <w:t>Age</w:t>
      </w:r>
      <w:r>
        <w:tab/>
        <w:t>166</w:t>
      </w:r>
    </w:p>
    <w:p w:rsidR="004E13A5" w:rsidRDefault="00681463">
      <w:pPr>
        <w:pStyle w:val="BodyText"/>
        <w:tabs>
          <w:tab w:val="left" w:pos="2332"/>
          <w:tab w:val="left" w:leader="dot" w:pos="9101"/>
        </w:tabs>
        <w:spacing w:before="0"/>
        <w:ind w:left="1367"/>
      </w:pPr>
      <w:r>
        <w:t>7-II.D.</w:t>
      </w:r>
      <w:r>
        <w:tab/>
        <w:t>Family</w:t>
      </w:r>
      <w:r>
        <w:rPr>
          <w:spacing w:val="-6"/>
        </w:rPr>
        <w:t xml:space="preserve"> </w:t>
      </w:r>
      <w:r>
        <w:t>Relationships</w:t>
      </w:r>
      <w:r>
        <w:tab/>
        <w:t>167</w:t>
      </w:r>
    </w:p>
    <w:p w:rsidR="004E13A5" w:rsidRDefault="00681463">
      <w:pPr>
        <w:pStyle w:val="BodyText"/>
        <w:tabs>
          <w:tab w:val="left" w:leader="dot" w:pos="9101"/>
        </w:tabs>
        <w:spacing w:before="0"/>
        <w:ind w:left="2693"/>
      </w:pPr>
      <w:r>
        <w:t>Marriage</w:t>
      </w:r>
      <w:r>
        <w:tab/>
        <w:t>167</w:t>
      </w:r>
    </w:p>
    <w:p w:rsidR="004E13A5" w:rsidRDefault="00681463">
      <w:pPr>
        <w:pStyle w:val="BodyText"/>
        <w:tabs>
          <w:tab w:val="left" w:leader="dot" w:pos="9101"/>
        </w:tabs>
        <w:spacing w:before="0"/>
        <w:ind w:left="2693"/>
      </w:pPr>
      <w:r>
        <w:t>Separation</w:t>
      </w:r>
      <w:r>
        <w:rPr>
          <w:spacing w:val="-1"/>
        </w:rPr>
        <w:t xml:space="preserve"> </w:t>
      </w:r>
      <w:r>
        <w:t>or</w:t>
      </w:r>
      <w:r>
        <w:rPr>
          <w:spacing w:val="-2"/>
        </w:rPr>
        <w:t xml:space="preserve"> </w:t>
      </w:r>
      <w:r>
        <w:t>Divorce</w:t>
      </w:r>
      <w:r>
        <w:tab/>
        <w:t>167</w:t>
      </w:r>
    </w:p>
    <w:p w:rsidR="004E13A5" w:rsidRDefault="00681463">
      <w:pPr>
        <w:pStyle w:val="BodyText"/>
        <w:tabs>
          <w:tab w:val="left" w:leader="dot" w:pos="9101"/>
        </w:tabs>
        <w:spacing w:before="0"/>
        <w:ind w:left="2693"/>
      </w:pPr>
      <w:r>
        <w:t>Absence of</w:t>
      </w:r>
      <w:r>
        <w:rPr>
          <w:spacing w:val="-3"/>
        </w:rPr>
        <w:t xml:space="preserve"> </w:t>
      </w:r>
      <w:r>
        <w:t>Adult</w:t>
      </w:r>
      <w:r>
        <w:rPr>
          <w:spacing w:val="-1"/>
        </w:rPr>
        <w:t xml:space="preserve"> </w:t>
      </w:r>
      <w:r>
        <w:t>Member</w:t>
      </w:r>
      <w:r>
        <w:tab/>
        <w:t>167</w:t>
      </w:r>
    </w:p>
    <w:p w:rsidR="004E13A5" w:rsidRDefault="00681463">
      <w:pPr>
        <w:pStyle w:val="BodyText"/>
        <w:tabs>
          <w:tab w:val="left" w:leader="dot" w:pos="9101"/>
        </w:tabs>
        <w:spacing w:before="0"/>
        <w:ind w:left="2693"/>
      </w:pPr>
      <w:r>
        <w:t>Foster Children and</w:t>
      </w:r>
      <w:r>
        <w:rPr>
          <w:spacing w:val="-3"/>
        </w:rPr>
        <w:t xml:space="preserve"> </w:t>
      </w:r>
      <w:r>
        <w:t>Foster</w:t>
      </w:r>
      <w:r>
        <w:rPr>
          <w:spacing w:val="-2"/>
        </w:rPr>
        <w:t xml:space="preserve"> </w:t>
      </w:r>
      <w:r>
        <w:t>Adults</w:t>
      </w:r>
      <w:r>
        <w:tab/>
        <w:t>168</w:t>
      </w:r>
    </w:p>
    <w:p w:rsidR="004E13A5" w:rsidRDefault="00681463">
      <w:pPr>
        <w:pStyle w:val="BodyText"/>
        <w:tabs>
          <w:tab w:val="left" w:pos="2332"/>
          <w:tab w:val="left" w:leader="dot" w:pos="9101"/>
        </w:tabs>
        <w:spacing w:before="0"/>
        <w:ind w:left="1367"/>
      </w:pPr>
      <w:r>
        <w:t>7-II.E.</w:t>
      </w:r>
      <w:r>
        <w:tab/>
        <w:t>Verification of</w:t>
      </w:r>
      <w:r>
        <w:rPr>
          <w:spacing w:val="-2"/>
        </w:rPr>
        <w:t xml:space="preserve"> </w:t>
      </w:r>
      <w:r>
        <w:t>Student</w:t>
      </w:r>
      <w:r>
        <w:rPr>
          <w:spacing w:val="-2"/>
        </w:rPr>
        <w:t xml:space="preserve"> </w:t>
      </w:r>
      <w:r>
        <w:t>Status</w:t>
      </w:r>
      <w:r>
        <w:tab/>
        <w:t>168</w:t>
      </w:r>
    </w:p>
    <w:p w:rsidR="004E13A5" w:rsidRDefault="00681463">
      <w:pPr>
        <w:pStyle w:val="BodyText"/>
        <w:tabs>
          <w:tab w:val="left" w:leader="dot" w:pos="9101"/>
        </w:tabs>
        <w:spacing w:before="0"/>
        <w:ind w:left="2693"/>
      </w:pPr>
      <w:r>
        <w:t>General</w:t>
      </w:r>
      <w:r>
        <w:rPr>
          <w:spacing w:val="-2"/>
        </w:rPr>
        <w:t xml:space="preserve"> </w:t>
      </w:r>
      <w:r>
        <w:t>Requirements</w:t>
      </w:r>
      <w:r>
        <w:tab/>
        <w:t>168</w:t>
      </w:r>
    </w:p>
    <w:p w:rsidR="004E13A5" w:rsidRDefault="00681463">
      <w:pPr>
        <w:pStyle w:val="BodyText"/>
        <w:spacing w:before="0"/>
        <w:ind w:left="2693"/>
      </w:pPr>
      <w:r>
        <w:t>Restrictions on Assistance to Students Enrolled in</w:t>
      </w:r>
    </w:p>
    <w:p w:rsidR="004E13A5" w:rsidRDefault="00681463">
      <w:pPr>
        <w:pStyle w:val="BodyText"/>
        <w:tabs>
          <w:tab w:val="left" w:leader="dot" w:pos="9101"/>
        </w:tabs>
        <w:spacing w:before="0"/>
        <w:ind w:left="2693"/>
      </w:pPr>
      <w:r>
        <w:t>Institutions of</w:t>
      </w:r>
      <w:r>
        <w:rPr>
          <w:spacing w:val="-4"/>
        </w:rPr>
        <w:t xml:space="preserve"> </w:t>
      </w:r>
      <w:r>
        <w:t>Higher</w:t>
      </w:r>
      <w:r>
        <w:rPr>
          <w:spacing w:val="-2"/>
        </w:rPr>
        <w:t xml:space="preserve"> </w:t>
      </w:r>
      <w:r>
        <w:t>Education</w:t>
      </w:r>
      <w:r>
        <w:tab/>
        <w:t>168</w:t>
      </w:r>
    </w:p>
    <w:p w:rsidR="004E13A5" w:rsidRDefault="004E13A5">
      <w:pPr>
        <w:sectPr w:rsidR="004E13A5">
          <w:pgSz w:w="12240" w:h="15840"/>
          <w:pgMar w:top="1360" w:right="1320" w:bottom="640" w:left="1340" w:header="0" w:footer="381" w:gutter="0"/>
          <w:cols w:space="720"/>
        </w:sectPr>
      </w:pPr>
    </w:p>
    <w:p w:rsidR="004E13A5" w:rsidRDefault="00681463">
      <w:pPr>
        <w:pStyle w:val="BodyText"/>
        <w:tabs>
          <w:tab w:val="left" w:pos="2332"/>
          <w:tab w:val="right" w:leader="dot" w:pos="9461"/>
        </w:tabs>
        <w:spacing w:before="79"/>
        <w:ind w:left="1367"/>
      </w:pPr>
      <w:r>
        <w:lastRenderedPageBreak/>
        <w:t>7-II.F.</w:t>
      </w:r>
      <w:r>
        <w:tab/>
        <w:t>Documentation of</w:t>
      </w:r>
      <w:r>
        <w:rPr>
          <w:spacing w:val="-1"/>
        </w:rPr>
        <w:t xml:space="preserve"> </w:t>
      </w:r>
      <w:r>
        <w:t>Disability</w:t>
      </w:r>
      <w:r>
        <w:tab/>
        <w:t>169</w:t>
      </w:r>
    </w:p>
    <w:p w:rsidR="004E13A5" w:rsidRDefault="00681463">
      <w:pPr>
        <w:pStyle w:val="BodyText"/>
        <w:tabs>
          <w:tab w:val="right" w:leader="dot" w:pos="9461"/>
        </w:tabs>
        <w:spacing w:before="0"/>
        <w:ind w:left="2693"/>
      </w:pPr>
      <w:r>
        <w:t>Family Members Receiving SSA</w:t>
      </w:r>
      <w:r>
        <w:rPr>
          <w:spacing w:val="-8"/>
        </w:rPr>
        <w:t xml:space="preserve"> </w:t>
      </w:r>
      <w:r>
        <w:t>Disability</w:t>
      </w:r>
      <w:r>
        <w:rPr>
          <w:spacing w:val="-3"/>
        </w:rPr>
        <w:t xml:space="preserve"> </w:t>
      </w:r>
      <w:r>
        <w:t>Benefits</w:t>
      </w:r>
      <w:r>
        <w:tab/>
        <w:t>170</w:t>
      </w:r>
    </w:p>
    <w:p w:rsidR="004E13A5" w:rsidRDefault="00681463">
      <w:pPr>
        <w:pStyle w:val="BodyText"/>
        <w:tabs>
          <w:tab w:val="right" w:leader="dot" w:pos="9461"/>
        </w:tabs>
        <w:spacing w:before="0"/>
        <w:ind w:left="2693"/>
      </w:pPr>
      <w:r>
        <w:t>Family Members Not Receiving SSA</w:t>
      </w:r>
      <w:r>
        <w:rPr>
          <w:spacing w:val="-9"/>
        </w:rPr>
        <w:t xml:space="preserve"> </w:t>
      </w:r>
      <w:r>
        <w:t>Disability</w:t>
      </w:r>
      <w:r>
        <w:rPr>
          <w:spacing w:val="-4"/>
        </w:rPr>
        <w:t xml:space="preserve"> </w:t>
      </w:r>
      <w:r>
        <w:t>Benefits</w:t>
      </w:r>
      <w:r>
        <w:tab/>
        <w:t>170</w:t>
      </w:r>
    </w:p>
    <w:p w:rsidR="004E13A5" w:rsidRDefault="00681463">
      <w:pPr>
        <w:pStyle w:val="BodyText"/>
        <w:tabs>
          <w:tab w:val="left" w:pos="2332"/>
          <w:tab w:val="right" w:leader="dot" w:pos="9461"/>
        </w:tabs>
        <w:spacing w:before="0"/>
        <w:ind w:left="1367"/>
      </w:pPr>
      <w:r>
        <w:t>7-II.G.</w:t>
      </w:r>
      <w:r>
        <w:tab/>
        <w:t>Citizenship or Eligible Immigration Status [24</w:t>
      </w:r>
      <w:r>
        <w:rPr>
          <w:spacing w:val="-3"/>
        </w:rPr>
        <w:t xml:space="preserve"> </w:t>
      </w:r>
      <w:r>
        <w:t>CFR</w:t>
      </w:r>
      <w:r>
        <w:rPr>
          <w:spacing w:val="-1"/>
        </w:rPr>
        <w:t xml:space="preserve"> </w:t>
      </w:r>
      <w:r>
        <w:t>5.508]</w:t>
      </w:r>
      <w:r>
        <w:tab/>
        <w:t>170</w:t>
      </w:r>
    </w:p>
    <w:p w:rsidR="004E13A5" w:rsidRDefault="00681463">
      <w:pPr>
        <w:pStyle w:val="BodyText"/>
        <w:tabs>
          <w:tab w:val="right" w:leader="dot" w:pos="9461"/>
        </w:tabs>
        <w:spacing w:before="0"/>
        <w:ind w:left="2693"/>
      </w:pPr>
      <w:r>
        <w:t>Overview</w:t>
      </w:r>
      <w:r>
        <w:tab/>
        <w:t>170</w:t>
      </w:r>
    </w:p>
    <w:p w:rsidR="004E13A5" w:rsidRDefault="00681463">
      <w:pPr>
        <w:pStyle w:val="BodyText"/>
        <w:tabs>
          <w:tab w:val="right" w:leader="dot" w:pos="9461"/>
        </w:tabs>
        <w:spacing w:before="0"/>
        <w:ind w:left="2693"/>
      </w:pPr>
      <w:r>
        <w:t>U.S. Citizens</w:t>
      </w:r>
      <w:r>
        <w:rPr>
          <w:spacing w:val="-1"/>
        </w:rPr>
        <w:t xml:space="preserve"> </w:t>
      </w:r>
      <w:r>
        <w:t>and</w:t>
      </w:r>
      <w:r>
        <w:rPr>
          <w:spacing w:val="-1"/>
        </w:rPr>
        <w:t xml:space="preserve"> </w:t>
      </w:r>
      <w:r>
        <w:t>Nationals</w:t>
      </w:r>
      <w:r>
        <w:tab/>
        <w:t>170</w:t>
      </w:r>
    </w:p>
    <w:p w:rsidR="004E13A5" w:rsidRDefault="00681463">
      <w:pPr>
        <w:pStyle w:val="BodyText"/>
        <w:tabs>
          <w:tab w:val="right" w:leader="dot" w:pos="9461"/>
        </w:tabs>
        <w:spacing w:before="0"/>
        <w:ind w:left="2693"/>
      </w:pPr>
      <w:r>
        <w:t>Eligible Immigrants</w:t>
      </w:r>
      <w:r>
        <w:tab/>
        <w:t>171</w:t>
      </w:r>
    </w:p>
    <w:p w:rsidR="004E13A5" w:rsidRDefault="00681463">
      <w:pPr>
        <w:pStyle w:val="BodyText"/>
        <w:tabs>
          <w:tab w:val="left" w:pos="2332"/>
          <w:tab w:val="right" w:leader="dot" w:pos="9461"/>
        </w:tabs>
        <w:spacing w:before="0"/>
        <w:ind w:left="1367"/>
      </w:pPr>
      <w:r>
        <w:t>7-II.H.</w:t>
      </w:r>
      <w:r>
        <w:tab/>
        <w:t>Verification of</w:t>
      </w:r>
      <w:r>
        <w:rPr>
          <w:spacing w:val="-1"/>
        </w:rPr>
        <w:t xml:space="preserve"> </w:t>
      </w:r>
      <w:r>
        <w:t>Preference</w:t>
      </w:r>
      <w:r>
        <w:rPr>
          <w:spacing w:val="-2"/>
        </w:rPr>
        <w:t xml:space="preserve"> </w:t>
      </w:r>
      <w:r>
        <w:t>Status</w:t>
      </w:r>
      <w:r>
        <w:tab/>
        <w:t>171</w:t>
      </w:r>
    </w:p>
    <w:p w:rsidR="004E13A5" w:rsidRDefault="00681463">
      <w:pPr>
        <w:pStyle w:val="BodyText"/>
        <w:tabs>
          <w:tab w:val="left" w:pos="1360"/>
          <w:tab w:val="right" w:leader="dot" w:pos="9461"/>
        </w:tabs>
        <w:spacing w:before="120"/>
      </w:pPr>
      <w:r>
        <w:t>PART</w:t>
      </w:r>
      <w:r>
        <w:rPr>
          <w:spacing w:val="-1"/>
        </w:rPr>
        <w:t xml:space="preserve"> </w:t>
      </w:r>
      <w:r>
        <w:t>III:</w:t>
      </w:r>
      <w:r>
        <w:tab/>
        <w:t>VERIFYING INCOME</w:t>
      </w:r>
      <w:r>
        <w:rPr>
          <w:spacing w:val="3"/>
        </w:rPr>
        <w:t xml:space="preserve"> </w:t>
      </w:r>
      <w:r>
        <w:t>AND</w:t>
      </w:r>
      <w:r>
        <w:rPr>
          <w:spacing w:val="-1"/>
        </w:rPr>
        <w:t xml:space="preserve"> </w:t>
      </w:r>
      <w:r>
        <w:t>ASSETS</w:t>
      </w:r>
      <w:r>
        <w:tab/>
        <w:t>171</w:t>
      </w:r>
    </w:p>
    <w:p w:rsidR="004E13A5" w:rsidRDefault="00681463">
      <w:pPr>
        <w:pStyle w:val="BodyText"/>
        <w:tabs>
          <w:tab w:val="left" w:pos="2332"/>
          <w:tab w:val="right" w:leader="dot" w:pos="9461"/>
        </w:tabs>
        <w:spacing w:before="0"/>
        <w:ind w:left="1367"/>
      </w:pPr>
      <w:r>
        <w:t>7-III.A.</w:t>
      </w:r>
      <w:r>
        <w:tab/>
        <w:t>Earned</w:t>
      </w:r>
      <w:r>
        <w:rPr>
          <w:spacing w:val="1"/>
        </w:rPr>
        <w:t xml:space="preserve"> </w:t>
      </w:r>
      <w:r>
        <w:t>Income</w:t>
      </w:r>
      <w:r>
        <w:tab/>
        <w:t>171</w:t>
      </w:r>
    </w:p>
    <w:p w:rsidR="004E13A5" w:rsidRDefault="00681463">
      <w:pPr>
        <w:pStyle w:val="BodyText"/>
        <w:tabs>
          <w:tab w:val="right" w:leader="dot" w:pos="9461"/>
        </w:tabs>
        <w:spacing w:before="0"/>
        <w:ind w:left="2693"/>
      </w:pPr>
      <w:r>
        <w:t>Tips</w:t>
      </w:r>
      <w:r>
        <w:tab/>
        <w:t>171</w:t>
      </w:r>
    </w:p>
    <w:p w:rsidR="004E13A5" w:rsidRDefault="00681463">
      <w:pPr>
        <w:pStyle w:val="BodyText"/>
        <w:tabs>
          <w:tab w:val="left" w:pos="2332"/>
          <w:tab w:val="right" w:leader="dot" w:pos="9461"/>
        </w:tabs>
        <w:spacing w:before="0"/>
        <w:ind w:left="1367"/>
      </w:pPr>
      <w:r>
        <w:t>7-III.B.</w:t>
      </w:r>
      <w:r>
        <w:tab/>
        <w:t>Business and Self</w:t>
      </w:r>
      <w:r>
        <w:rPr>
          <w:spacing w:val="-1"/>
        </w:rPr>
        <w:t xml:space="preserve"> </w:t>
      </w:r>
      <w:r>
        <w:t>Employment</w:t>
      </w:r>
      <w:r>
        <w:rPr>
          <w:spacing w:val="1"/>
        </w:rPr>
        <w:t xml:space="preserve"> </w:t>
      </w:r>
      <w:r>
        <w:t>Income</w:t>
      </w:r>
      <w:r>
        <w:tab/>
        <w:t>172</w:t>
      </w:r>
    </w:p>
    <w:p w:rsidR="004E13A5" w:rsidRDefault="00681463">
      <w:pPr>
        <w:pStyle w:val="BodyText"/>
        <w:tabs>
          <w:tab w:val="left" w:pos="2332"/>
          <w:tab w:val="right" w:leader="dot" w:pos="9461"/>
        </w:tabs>
        <w:spacing w:before="1"/>
        <w:ind w:left="1367"/>
      </w:pPr>
      <w:r>
        <w:t>7-III.C.</w:t>
      </w:r>
      <w:r>
        <w:tab/>
        <w:t>Periodic Payments and Payments In Lieu</w:t>
      </w:r>
      <w:r>
        <w:rPr>
          <w:spacing w:val="3"/>
        </w:rPr>
        <w:t xml:space="preserve"> </w:t>
      </w:r>
      <w:r>
        <w:t>of</w:t>
      </w:r>
      <w:r>
        <w:rPr>
          <w:spacing w:val="-2"/>
        </w:rPr>
        <w:t xml:space="preserve"> </w:t>
      </w:r>
      <w:r>
        <w:t>Earnings</w:t>
      </w:r>
      <w:r>
        <w:tab/>
        <w:t>172</w:t>
      </w:r>
    </w:p>
    <w:p w:rsidR="004E13A5" w:rsidRDefault="00681463">
      <w:pPr>
        <w:pStyle w:val="BodyText"/>
        <w:tabs>
          <w:tab w:val="right" w:leader="dot" w:pos="9461"/>
        </w:tabs>
        <w:spacing w:before="0"/>
        <w:ind w:left="2693"/>
      </w:pPr>
      <w:r>
        <w:t>Social Security/SSI</w:t>
      </w:r>
      <w:r>
        <w:rPr>
          <w:spacing w:val="-4"/>
        </w:rPr>
        <w:t xml:space="preserve"> </w:t>
      </w:r>
      <w:r>
        <w:t>Benefits</w:t>
      </w:r>
      <w:r>
        <w:tab/>
        <w:t>172</w:t>
      </w:r>
    </w:p>
    <w:p w:rsidR="004E13A5" w:rsidRDefault="00681463">
      <w:pPr>
        <w:pStyle w:val="BodyText"/>
        <w:tabs>
          <w:tab w:val="left" w:pos="2332"/>
          <w:tab w:val="right" w:leader="dot" w:pos="9461"/>
        </w:tabs>
        <w:spacing w:before="0"/>
        <w:ind w:left="1367"/>
      </w:pPr>
      <w:r>
        <w:t>7-III.D.</w:t>
      </w:r>
      <w:r>
        <w:tab/>
        <w:t>Alimony or</w:t>
      </w:r>
      <w:r>
        <w:rPr>
          <w:spacing w:val="-5"/>
        </w:rPr>
        <w:t xml:space="preserve"> </w:t>
      </w:r>
      <w:r>
        <w:t>Child Support</w:t>
      </w:r>
      <w:r>
        <w:tab/>
        <w:t>173</w:t>
      </w:r>
    </w:p>
    <w:p w:rsidR="004E13A5" w:rsidRDefault="00681463">
      <w:pPr>
        <w:pStyle w:val="BodyText"/>
        <w:tabs>
          <w:tab w:val="left" w:pos="2332"/>
          <w:tab w:val="right" w:leader="dot" w:pos="9461"/>
        </w:tabs>
        <w:spacing w:before="0"/>
        <w:ind w:left="1367"/>
      </w:pPr>
      <w:r>
        <w:t>7-III.E.</w:t>
      </w:r>
      <w:r>
        <w:tab/>
        <w:t>Assets and Income</w:t>
      </w:r>
      <w:r>
        <w:rPr>
          <w:spacing w:val="3"/>
        </w:rPr>
        <w:t xml:space="preserve"> </w:t>
      </w:r>
      <w:r>
        <w:t>From Assets</w:t>
      </w:r>
      <w:r>
        <w:tab/>
        <w:t>173</w:t>
      </w:r>
    </w:p>
    <w:p w:rsidR="004E13A5" w:rsidRDefault="00681463">
      <w:pPr>
        <w:pStyle w:val="BodyText"/>
        <w:tabs>
          <w:tab w:val="right" w:leader="dot" w:pos="9461"/>
        </w:tabs>
        <w:spacing w:before="0"/>
        <w:ind w:left="2693"/>
      </w:pPr>
      <w:r>
        <w:t>Assets Disposed of for Less than Fair</w:t>
      </w:r>
      <w:r>
        <w:rPr>
          <w:spacing w:val="-3"/>
        </w:rPr>
        <w:t xml:space="preserve"> </w:t>
      </w:r>
      <w:r>
        <w:t>Market</w:t>
      </w:r>
      <w:r>
        <w:rPr>
          <w:spacing w:val="-1"/>
        </w:rPr>
        <w:t xml:space="preserve"> </w:t>
      </w:r>
      <w:r>
        <w:t>Value</w:t>
      </w:r>
      <w:r>
        <w:tab/>
        <w:t>173</w:t>
      </w:r>
    </w:p>
    <w:p w:rsidR="004E13A5" w:rsidRDefault="00681463">
      <w:pPr>
        <w:pStyle w:val="BodyText"/>
        <w:tabs>
          <w:tab w:val="left" w:pos="2332"/>
          <w:tab w:val="right" w:leader="dot" w:pos="9461"/>
        </w:tabs>
        <w:spacing w:before="0"/>
        <w:ind w:left="1367"/>
      </w:pPr>
      <w:r>
        <w:t>7-III.F.</w:t>
      </w:r>
      <w:r>
        <w:tab/>
        <w:t>Net Income From</w:t>
      </w:r>
      <w:r>
        <w:rPr>
          <w:spacing w:val="2"/>
        </w:rPr>
        <w:t xml:space="preserve"> </w:t>
      </w:r>
      <w:r>
        <w:t>Rental</w:t>
      </w:r>
      <w:r>
        <w:rPr>
          <w:spacing w:val="1"/>
        </w:rPr>
        <w:t xml:space="preserve"> </w:t>
      </w:r>
      <w:r>
        <w:t>Property</w:t>
      </w:r>
      <w:r>
        <w:tab/>
        <w:t>174</w:t>
      </w:r>
    </w:p>
    <w:p w:rsidR="004E13A5" w:rsidRDefault="00681463">
      <w:pPr>
        <w:pStyle w:val="BodyText"/>
        <w:tabs>
          <w:tab w:val="left" w:pos="2332"/>
          <w:tab w:val="right" w:leader="dot" w:pos="9461"/>
        </w:tabs>
        <w:spacing w:before="0"/>
        <w:ind w:left="1367"/>
      </w:pPr>
      <w:r>
        <w:t>7-III.G.</w:t>
      </w:r>
      <w:r>
        <w:tab/>
        <w:t>Retirement Accounts</w:t>
      </w:r>
      <w:r>
        <w:tab/>
        <w:t>174</w:t>
      </w:r>
    </w:p>
    <w:p w:rsidR="004E13A5" w:rsidRDefault="00681463">
      <w:pPr>
        <w:pStyle w:val="BodyText"/>
        <w:tabs>
          <w:tab w:val="left" w:pos="2332"/>
          <w:tab w:val="right" w:leader="dot" w:pos="9461"/>
        </w:tabs>
        <w:spacing w:before="0"/>
        <w:ind w:left="1367"/>
      </w:pPr>
      <w:r>
        <w:t>7-III.H.</w:t>
      </w:r>
      <w:r>
        <w:tab/>
        <w:t>Income From Excluded</w:t>
      </w:r>
      <w:r>
        <w:rPr>
          <w:spacing w:val="-2"/>
        </w:rPr>
        <w:t xml:space="preserve"> </w:t>
      </w:r>
      <w:r>
        <w:t>Sources</w:t>
      </w:r>
      <w:r>
        <w:tab/>
        <w:t>175</w:t>
      </w:r>
    </w:p>
    <w:p w:rsidR="004E13A5" w:rsidRDefault="00681463">
      <w:pPr>
        <w:pStyle w:val="BodyText"/>
        <w:tabs>
          <w:tab w:val="left" w:pos="2332"/>
          <w:tab w:val="right" w:leader="dot" w:pos="9461"/>
        </w:tabs>
        <w:spacing w:before="0"/>
        <w:ind w:left="1367"/>
      </w:pPr>
      <w:r>
        <w:t>7-III.I.</w:t>
      </w:r>
      <w:r>
        <w:tab/>
        <w:t>Zero Annual</w:t>
      </w:r>
      <w:r>
        <w:rPr>
          <w:spacing w:val="1"/>
        </w:rPr>
        <w:t xml:space="preserve"> </w:t>
      </w:r>
      <w:r>
        <w:t>Income</w:t>
      </w:r>
      <w:r>
        <w:rPr>
          <w:spacing w:val="-1"/>
        </w:rPr>
        <w:t xml:space="preserve"> </w:t>
      </w:r>
      <w:r>
        <w:t>Status</w:t>
      </w:r>
      <w:r>
        <w:tab/>
        <w:t>175</w:t>
      </w:r>
    </w:p>
    <w:p w:rsidR="004E13A5" w:rsidRDefault="00681463">
      <w:pPr>
        <w:pStyle w:val="BodyText"/>
        <w:tabs>
          <w:tab w:val="left" w:pos="2332"/>
          <w:tab w:val="right" w:leader="dot" w:pos="9461"/>
        </w:tabs>
        <w:spacing w:before="0"/>
        <w:ind w:left="1367"/>
      </w:pPr>
      <w:r>
        <w:t>7-III.J.</w:t>
      </w:r>
      <w:r>
        <w:tab/>
        <w:t>Student</w:t>
      </w:r>
      <w:r>
        <w:rPr>
          <w:spacing w:val="-2"/>
        </w:rPr>
        <w:t xml:space="preserve"> </w:t>
      </w:r>
      <w:r>
        <w:t>Financial</w:t>
      </w:r>
      <w:r>
        <w:rPr>
          <w:spacing w:val="-1"/>
        </w:rPr>
        <w:t xml:space="preserve"> </w:t>
      </w:r>
      <w:r>
        <w:t>Assistance</w:t>
      </w:r>
      <w:r>
        <w:tab/>
        <w:t>175</w:t>
      </w:r>
    </w:p>
    <w:p w:rsidR="004E13A5" w:rsidRDefault="00681463">
      <w:pPr>
        <w:pStyle w:val="BodyText"/>
        <w:tabs>
          <w:tab w:val="left" w:pos="2332"/>
          <w:tab w:val="right" w:leader="dot" w:pos="9461"/>
        </w:tabs>
        <w:spacing w:before="0"/>
        <w:ind w:left="1367"/>
      </w:pPr>
      <w:r>
        <w:t>7-III.K.</w:t>
      </w:r>
      <w:r>
        <w:tab/>
        <w:t>Parental Income of Students Subject to Eligibility</w:t>
      </w:r>
      <w:r>
        <w:rPr>
          <w:spacing w:val="-7"/>
        </w:rPr>
        <w:t xml:space="preserve"> </w:t>
      </w:r>
      <w:r>
        <w:t>Restrictions</w:t>
      </w:r>
      <w:r>
        <w:tab/>
        <w:t>176</w:t>
      </w:r>
    </w:p>
    <w:p w:rsidR="004E13A5" w:rsidRDefault="00681463">
      <w:pPr>
        <w:pStyle w:val="BodyText"/>
        <w:tabs>
          <w:tab w:val="left" w:pos="1360"/>
          <w:tab w:val="right" w:leader="dot" w:pos="9461"/>
        </w:tabs>
        <w:spacing w:before="120"/>
      </w:pPr>
      <w:r>
        <w:t>PART</w:t>
      </w:r>
      <w:r>
        <w:rPr>
          <w:spacing w:val="2"/>
        </w:rPr>
        <w:t xml:space="preserve"> </w:t>
      </w:r>
      <w:r>
        <w:rPr>
          <w:spacing w:val="-3"/>
        </w:rPr>
        <w:t>IV:</w:t>
      </w:r>
      <w:r>
        <w:rPr>
          <w:spacing w:val="-3"/>
        </w:rPr>
        <w:tab/>
      </w:r>
      <w:r>
        <w:t>VERIFYING</w:t>
      </w:r>
      <w:r>
        <w:rPr>
          <w:spacing w:val="-1"/>
        </w:rPr>
        <w:t xml:space="preserve"> </w:t>
      </w:r>
      <w:r>
        <w:t>MANDATORY</w:t>
      </w:r>
      <w:r>
        <w:rPr>
          <w:spacing w:val="-1"/>
        </w:rPr>
        <w:t xml:space="preserve"> </w:t>
      </w:r>
      <w:r>
        <w:t>DEDUCTIONS</w:t>
      </w:r>
      <w:r>
        <w:tab/>
        <w:t>176</w:t>
      </w:r>
    </w:p>
    <w:p w:rsidR="004E13A5" w:rsidRDefault="00681463">
      <w:pPr>
        <w:pStyle w:val="BodyText"/>
        <w:tabs>
          <w:tab w:val="left" w:pos="2332"/>
          <w:tab w:val="right" w:leader="dot" w:pos="9461"/>
        </w:tabs>
        <w:spacing w:before="0"/>
        <w:ind w:left="1367"/>
      </w:pPr>
      <w:r>
        <w:t>7-IV.A.</w:t>
      </w:r>
      <w:r>
        <w:tab/>
        <w:t>Dependent and Elderly/Disabled</w:t>
      </w:r>
      <w:r>
        <w:rPr>
          <w:spacing w:val="2"/>
        </w:rPr>
        <w:t xml:space="preserve"> </w:t>
      </w:r>
      <w:r>
        <w:t>Household</w:t>
      </w:r>
      <w:r>
        <w:rPr>
          <w:spacing w:val="-1"/>
        </w:rPr>
        <w:t xml:space="preserve"> </w:t>
      </w:r>
      <w:r>
        <w:t>Deductions</w:t>
      </w:r>
      <w:r>
        <w:tab/>
        <w:t>176</w:t>
      </w:r>
    </w:p>
    <w:p w:rsidR="004E13A5" w:rsidRDefault="00681463">
      <w:pPr>
        <w:pStyle w:val="BodyText"/>
        <w:tabs>
          <w:tab w:val="right" w:leader="dot" w:pos="9461"/>
        </w:tabs>
        <w:spacing w:before="0"/>
        <w:ind w:left="2693"/>
      </w:pPr>
      <w:r>
        <w:t>Dependent</w:t>
      </w:r>
      <w:r>
        <w:rPr>
          <w:spacing w:val="-1"/>
        </w:rPr>
        <w:t xml:space="preserve"> </w:t>
      </w:r>
      <w:r>
        <w:t>Deduction</w:t>
      </w:r>
      <w:r>
        <w:tab/>
        <w:t>177</w:t>
      </w:r>
    </w:p>
    <w:p w:rsidR="004E13A5" w:rsidRDefault="00681463">
      <w:pPr>
        <w:pStyle w:val="BodyText"/>
        <w:tabs>
          <w:tab w:val="right" w:leader="dot" w:pos="9461"/>
        </w:tabs>
        <w:spacing w:before="0"/>
        <w:ind w:left="2693"/>
      </w:pPr>
      <w:r>
        <w:t>Elderly/Disabled</w:t>
      </w:r>
      <w:r>
        <w:rPr>
          <w:spacing w:val="-1"/>
        </w:rPr>
        <w:t xml:space="preserve"> </w:t>
      </w:r>
      <w:r>
        <w:t>Family</w:t>
      </w:r>
      <w:r>
        <w:rPr>
          <w:spacing w:val="-4"/>
        </w:rPr>
        <w:t xml:space="preserve"> </w:t>
      </w:r>
      <w:r>
        <w:t>Deduction</w:t>
      </w:r>
      <w:r>
        <w:tab/>
        <w:t>177</w:t>
      </w:r>
    </w:p>
    <w:p w:rsidR="004E13A5" w:rsidRDefault="00681463">
      <w:pPr>
        <w:pStyle w:val="BodyText"/>
        <w:tabs>
          <w:tab w:val="left" w:pos="2332"/>
          <w:tab w:val="right" w:leader="dot" w:pos="9461"/>
        </w:tabs>
        <w:spacing w:before="0"/>
        <w:ind w:left="1367"/>
      </w:pPr>
      <w:r>
        <w:t>7-IV.B.</w:t>
      </w:r>
      <w:r>
        <w:tab/>
        <w:t>Medical</w:t>
      </w:r>
      <w:r>
        <w:rPr>
          <w:spacing w:val="-1"/>
        </w:rPr>
        <w:t xml:space="preserve"> </w:t>
      </w:r>
      <w:r>
        <w:t>Expense</w:t>
      </w:r>
      <w:r>
        <w:rPr>
          <w:spacing w:val="-2"/>
        </w:rPr>
        <w:t xml:space="preserve"> </w:t>
      </w:r>
      <w:r>
        <w:t>Deduction</w:t>
      </w:r>
      <w:r>
        <w:tab/>
        <w:t>177</w:t>
      </w:r>
    </w:p>
    <w:p w:rsidR="004E13A5" w:rsidRDefault="00681463">
      <w:pPr>
        <w:pStyle w:val="BodyText"/>
        <w:tabs>
          <w:tab w:val="right" w:leader="dot" w:pos="9461"/>
        </w:tabs>
        <w:spacing w:before="0"/>
        <w:ind w:left="2693"/>
      </w:pPr>
      <w:r>
        <w:t>Amount of Expense</w:t>
      </w:r>
      <w:r>
        <w:tab/>
        <w:t>177</w:t>
      </w:r>
    </w:p>
    <w:p w:rsidR="004E13A5" w:rsidRDefault="00681463">
      <w:pPr>
        <w:pStyle w:val="BodyText"/>
        <w:tabs>
          <w:tab w:val="right" w:leader="dot" w:pos="9461"/>
        </w:tabs>
        <w:spacing w:before="0"/>
        <w:ind w:left="2693"/>
      </w:pPr>
      <w:r>
        <w:t>Eligible</w:t>
      </w:r>
      <w:r>
        <w:rPr>
          <w:spacing w:val="-2"/>
        </w:rPr>
        <w:t xml:space="preserve"> </w:t>
      </w:r>
      <w:r>
        <w:t>Household</w:t>
      </w:r>
      <w:r>
        <w:tab/>
        <w:t>177</w:t>
      </w:r>
    </w:p>
    <w:p w:rsidR="004E13A5" w:rsidRDefault="00681463">
      <w:pPr>
        <w:pStyle w:val="BodyText"/>
        <w:tabs>
          <w:tab w:val="right" w:leader="dot" w:pos="9461"/>
        </w:tabs>
        <w:spacing w:before="0"/>
        <w:ind w:left="2693"/>
      </w:pPr>
      <w:r>
        <w:t>Qualified</w:t>
      </w:r>
      <w:r>
        <w:rPr>
          <w:spacing w:val="-1"/>
        </w:rPr>
        <w:t xml:space="preserve"> </w:t>
      </w:r>
      <w:r>
        <w:t>Expenses</w:t>
      </w:r>
      <w:r>
        <w:tab/>
        <w:t>178</w:t>
      </w:r>
    </w:p>
    <w:p w:rsidR="004E13A5" w:rsidRDefault="00681463">
      <w:pPr>
        <w:pStyle w:val="BodyText"/>
        <w:tabs>
          <w:tab w:val="right" w:leader="dot" w:pos="9461"/>
        </w:tabs>
        <w:spacing w:before="0"/>
        <w:ind w:left="2693"/>
      </w:pPr>
      <w:r>
        <w:t>Unreimbursed</w:t>
      </w:r>
      <w:r>
        <w:rPr>
          <w:spacing w:val="-1"/>
        </w:rPr>
        <w:t xml:space="preserve"> </w:t>
      </w:r>
      <w:r>
        <w:t>Expenses</w:t>
      </w:r>
      <w:r>
        <w:tab/>
        <w:t>178</w:t>
      </w:r>
    </w:p>
    <w:p w:rsidR="004E13A5" w:rsidRDefault="00681463">
      <w:pPr>
        <w:pStyle w:val="BodyText"/>
        <w:tabs>
          <w:tab w:val="right" w:leader="dot" w:pos="9461"/>
        </w:tabs>
        <w:spacing w:before="0"/>
        <w:ind w:left="2693"/>
      </w:pPr>
      <w:r>
        <w:t>Expenses Incurred in</w:t>
      </w:r>
      <w:r>
        <w:rPr>
          <w:spacing w:val="1"/>
        </w:rPr>
        <w:t xml:space="preserve"> </w:t>
      </w:r>
      <w:r>
        <w:t>Past</w:t>
      </w:r>
      <w:r>
        <w:rPr>
          <w:spacing w:val="-1"/>
        </w:rPr>
        <w:t xml:space="preserve"> </w:t>
      </w:r>
      <w:r>
        <w:t>Years</w:t>
      </w:r>
      <w:r>
        <w:tab/>
        <w:t>178</w:t>
      </w:r>
    </w:p>
    <w:p w:rsidR="004E13A5" w:rsidRDefault="00681463">
      <w:pPr>
        <w:pStyle w:val="BodyText"/>
        <w:tabs>
          <w:tab w:val="left" w:pos="2332"/>
          <w:tab w:val="right" w:leader="dot" w:pos="9461"/>
        </w:tabs>
        <w:spacing w:before="0"/>
        <w:ind w:left="1367"/>
      </w:pPr>
      <w:r>
        <w:t>7-IV.C.</w:t>
      </w:r>
      <w:r>
        <w:tab/>
        <w:t>Disability</w:t>
      </w:r>
      <w:r>
        <w:rPr>
          <w:spacing w:val="-6"/>
        </w:rPr>
        <w:t xml:space="preserve"> </w:t>
      </w:r>
      <w:r>
        <w:t>Assistance</w:t>
      </w:r>
      <w:r>
        <w:rPr>
          <w:spacing w:val="-1"/>
        </w:rPr>
        <w:t xml:space="preserve"> </w:t>
      </w:r>
      <w:r>
        <w:t>Expenses</w:t>
      </w:r>
      <w:r>
        <w:tab/>
        <w:t>178</w:t>
      </w:r>
    </w:p>
    <w:p w:rsidR="004E13A5" w:rsidRDefault="00681463">
      <w:pPr>
        <w:pStyle w:val="BodyText"/>
        <w:tabs>
          <w:tab w:val="right" w:leader="dot" w:pos="9461"/>
        </w:tabs>
        <w:spacing w:before="0"/>
        <w:ind w:left="2693"/>
      </w:pPr>
      <w:r>
        <w:t>Amount of Expense</w:t>
      </w:r>
      <w:r>
        <w:tab/>
        <w:t>178</w:t>
      </w:r>
    </w:p>
    <w:p w:rsidR="004E13A5" w:rsidRDefault="00681463">
      <w:pPr>
        <w:pStyle w:val="BodyText"/>
        <w:tabs>
          <w:tab w:val="right" w:leader="dot" w:pos="9461"/>
        </w:tabs>
        <w:spacing w:before="0"/>
        <w:ind w:left="2693"/>
      </w:pPr>
      <w:r>
        <w:t>Family Member is a Person</w:t>
      </w:r>
      <w:r>
        <w:rPr>
          <w:spacing w:val="-8"/>
        </w:rPr>
        <w:t xml:space="preserve"> </w:t>
      </w:r>
      <w:r>
        <w:t>with</w:t>
      </w:r>
      <w:r>
        <w:rPr>
          <w:spacing w:val="-1"/>
        </w:rPr>
        <w:t xml:space="preserve"> </w:t>
      </w:r>
      <w:r>
        <w:t>Disabilities</w:t>
      </w:r>
      <w:r>
        <w:tab/>
        <w:t>179</w:t>
      </w:r>
    </w:p>
    <w:p w:rsidR="004E13A5" w:rsidRDefault="00681463">
      <w:pPr>
        <w:pStyle w:val="BodyText"/>
        <w:tabs>
          <w:tab w:val="right" w:leader="dot" w:pos="9461"/>
        </w:tabs>
        <w:spacing w:before="0"/>
        <w:ind w:left="2693"/>
      </w:pPr>
      <w:r>
        <w:t>Family Member(s) Permitted</w:t>
      </w:r>
      <w:r>
        <w:rPr>
          <w:spacing w:val="-5"/>
        </w:rPr>
        <w:t xml:space="preserve"> </w:t>
      </w:r>
      <w:r>
        <w:t>to Work</w:t>
      </w:r>
      <w:r>
        <w:tab/>
        <w:t>179</w:t>
      </w:r>
    </w:p>
    <w:p w:rsidR="004E13A5" w:rsidRDefault="00681463">
      <w:pPr>
        <w:pStyle w:val="BodyText"/>
        <w:tabs>
          <w:tab w:val="right" w:leader="dot" w:pos="9461"/>
        </w:tabs>
        <w:spacing w:before="1"/>
        <w:ind w:left="2693"/>
      </w:pPr>
      <w:r>
        <w:t>Unreimbursed</w:t>
      </w:r>
      <w:r>
        <w:rPr>
          <w:spacing w:val="-1"/>
        </w:rPr>
        <w:t xml:space="preserve"> </w:t>
      </w:r>
      <w:r>
        <w:t>Expenses</w:t>
      </w:r>
      <w:r>
        <w:tab/>
        <w:t>179</w:t>
      </w:r>
    </w:p>
    <w:p w:rsidR="004E13A5" w:rsidRDefault="00681463">
      <w:pPr>
        <w:pStyle w:val="BodyText"/>
        <w:tabs>
          <w:tab w:val="left" w:pos="2332"/>
          <w:tab w:val="right" w:leader="dot" w:pos="9461"/>
        </w:tabs>
        <w:spacing w:before="0"/>
        <w:ind w:left="1367"/>
      </w:pPr>
      <w:r>
        <w:t>7-IV.D.</w:t>
      </w:r>
      <w:r>
        <w:tab/>
        <w:t>Child</w:t>
      </w:r>
      <w:r>
        <w:rPr>
          <w:spacing w:val="-1"/>
        </w:rPr>
        <w:t xml:space="preserve"> </w:t>
      </w:r>
      <w:r>
        <w:t>Care</w:t>
      </w:r>
      <w:r>
        <w:rPr>
          <w:spacing w:val="-2"/>
        </w:rPr>
        <w:t xml:space="preserve"> </w:t>
      </w:r>
      <w:r>
        <w:t>Expenses</w:t>
      </w:r>
      <w:r>
        <w:tab/>
        <w:t>179</w:t>
      </w:r>
    </w:p>
    <w:p w:rsidR="004E13A5" w:rsidRDefault="00681463">
      <w:pPr>
        <w:pStyle w:val="BodyText"/>
        <w:tabs>
          <w:tab w:val="right" w:leader="dot" w:pos="9461"/>
        </w:tabs>
        <w:spacing w:before="0"/>
        <w:ind w:left="2693"/>
      </w:pPr>
      <w:r>
        <w:t>Eligible</w:t>
      </w:r>
      <w:r>
        <w:rPr>
          <w:spacing w:val="-1"/>
        </w:rPr>
        <w:t xml:space="preserve"> </w:t>
      </w:r>
      <w:r>
        <w:t>Child</w:t>
      </w:r>
      <w:r>
        <w:tab/>
        <w:t>180</w:t>
      </w:r>
    </w:p>
    <w:p w:rsidR="004E13A5" w:rsidRDefault="00681463">
      <w:pPr>
        <w:pStyle w:val="BodyText"/>
        <w:tabs>
          <w:tab w:val="right" w:leader="dot" w:pos="9461"/>
        </w:tabs>
        <w:spacing w:before="0"/>
        <w:ind w:left="2693"/>
      </w:pPr>
      <w:r>
        <w:t>Unreimbursed</w:t>
      </w:r>
      <w:r>
        <w:rPr>
          <w:spacing w:val="-1"/>
        </w:rPr>
        <w:t xml:space="preserve"> </w:t>
      </w:r>
      <w:r>
        <w:t>Expense</w:t>
      </w:r>
      <w:r>
        <w:tab/>
        <w:t>180</w:t>
      </w:r>
    </w:p>
    <w:p w:rsidR="004E13A5" w:rsidRDefault="00681463">
      <w:pPr>
        <w:pStyle w:val="BodyText"/>
        <w:tabs>
          <w:tab w:val="right" w:leader="dot" w:pos="9461"/>
        </w:tabs>
        <w:spacing w:before="0"/>
        <w:ind w:left="2693"/>
      </w:pPr>
      <w:r>
        <w:t>Pursuing an</w:t>
      </w:r>
      <w:r>
        <w:rPr>
          <w:spacing w:val="-2"/>
        </w:rPr>
        <w:t xml:space="preserve"> </w:t>
      </w:r>
      <w:r>
        <w:t>Eligible</w:t>
      </w:r>
      <w:r>
        <w:rPr>
          <w:spacing w:val="-1"/>
        </w:rPr>
        <w:t xml:space="preserve"> </w:t>
      </w:r>
      <w:r>
        <w:t>Activity</w:t>
      </w:r>
      <w:r>
        <w:tab/>
        <w:t>180</w:t>
      </w:r>
    </w:p>
    <w:p w:rsidR="004E13A5" w:rsidRDefault="00681463">
      <w:pPr>
        <w:pStyle w:val="BodyText"/>
        <w:tabs>
          <w:tab w:val="right" w:leader="dot" w:pos="9461"/>
        </w:tabs>
        <w:spacing w:before="0"/>
        <w:ind w:left="2693"/>
      </w:pPr>
      <w:r>
        <w:t>Allowable Type of</w:t>
      </w:r>
      <w:r>
        <w:rPr>
          <w:spacing w:val="-2"/>
        </w:rPr>
        <w:t xml:space="preserve"> </w:t>
      </w:r>
      <w:r>
        <w:t>Child</w:t>
      </w:r>
      <w:r>
        <w:rPr>
          <w:spacing w:val="1"/>
        </w:rPr>
        <w:t xml:space="preserve"> </w:t>
      </w:r>
      <w:r>
        <w:t>Care</w:t>
      </w:r>
      <w:r>
        <w:tab/>
        <w:t>181</w:t>
      </w:r>
    </w:p>
    <w:p w:rsidR="004E13A5" w:rsidRDefault="00681463">
      <w:pPr>
        <w:pStyle w:val="BodyText"/>
        <w:tabs>
          <w:tab w:val="right" w:leader="dot" w:pos="9461"/>
        </w:tabs>
        <w:spacing w:before="0"/>
        <w:ind w:left="2693"/>
      </w:pPr>
      <w:r>
        <w:t>Reasonableness</w:t>
      </w:r>
      <w:r>
        <w:rPr>
          <w:spacing w:val="-1"/>
        </w:rPr>
        <w:t xml:space="preserve"> </w:t>
      </w:r>
      <w:r>
        <w:t>of</w:t>
      </w:r>
      <w:r>
        <w:rPr>
          <w:spacing w:val="-1"/>
        </w:rPr>
        <w:t xml:space="preserve"> </w:t>
      </w:r>
      <w:r>
        <w:t>Expenses</w:t>
      </w:r>
      <w:r>
        <w:tab/>
        <w:t>181</w:t>
      </w:r>
    </w:p>
    <w:p w:rsidR="004E13A5" w:rsidRDefault="00681463">
      <w:pPr>
        <w:pStyle w:val="BodyText"/>
        <w:spacing w:before="120"/>
      </w:pPr>
      <w:r>
        <w:t>Exhibit 7-1:  Summary of Documentation Requirements for Noncitizens</w:t>
      </w:r>
    </w:p>
    <w:p w:rsidR="004E13A5" w:rsidRDefault="00681463">
      <w:pPr>
        <w:pStyle w:val="BodyText"/>
        <w:tabs>
          <w:tab w:val="right" w:leader="dot" w:pos="9461"/>
        </w:tabs>
        <w:spacing w:before="0"/>
        <w:ind w:left="1396"/>
      </w:pPr>
      <w:r>
        <w:t>[HCV GB, pp. 5-9</w:t>
      </w:r>
      <w:r>
        <w:rPr>
          <w:spacing w:val="-1"/>
        </w:rPr>
        <w:t xml:space="preserve"> </w:t>
      </w:r>
      <w:r>
        <w:t>and</w:t>
      </w:r>
      <w:r>
        <w:rPr>
          <w:spacing w:val="-1"/>
        </w:rPr>
        <w:t xml:space="preserve"> </w:t>
      </w:r>
      <w:r>
        <w:t>5-10]</w:t>
      </w:r>
      <w:r>
        <w:tab/>
        <w:t>181</w:t>
      </w:r>
    </w:p>
    <w:p w:rsidR="004E13A5" w:rsidRDefault="004E13A5">
      <w:pPr>
        <w:sectPr w:rsidR="004E13A5">
          <w:pgSz w:w="12240" w:h="15840"/>
          <w:pgMar w:top="1360" w:right="1320" w:bottom="640" w:left="1340" w:header="0" w:footer="381" w:gutter="0"/>
          <w:cols w:space="720"/>
        </w:sectPr>
      </w:pPr>
    </w:p>
    <w:p w:rsidR="004E13A5" w:rsidRDefault="00681463">
      <w:pPr>
        <w:pStyle w:val="Heading4"/>
        <w:spacing w:before="79"/>
        <w:ind w:left="0" w:right="21"/>
        <w:jc w:val="center"/>
      </w:pPr>
      <w:r>
        <w:lastRenderedPageBreak/>
        <w:t>Chapter 8</w:t>
      </w:r>
    </w:p>
    <w:p w:rsidR="004E13A5" w:rsidRDefault="00681463">
      <w:pPr>
        <w:ind w:right="20"/>
        <w:jc w:val="center"/>
        <w:rPr>
          <w:b/>
          <w:sz w:val="24"/>
        </w:rPr>
      </w:pPr>
      <w:r>
        <w:rPr>
          <w:b/>
          <w:sz w:val="24"/>
        </w:rPr>
        <w:t>HOUSING QUALITY STANDARDS AND RENT REASONABLENESS DETERMINATIONS</w:t>
      </w:r>
    </w:p>
    <w:p w:rsidR="004E13A5" w:rsidRDefault="00681463">
      <w:pPr>
        <w:pStyle w:val="BodyText"/>
        <w:spacing w:before="0"/>
        <w:ind w:left="2611"/>
      </w:pPr>
      <w:r>
        <w:t>[24 CFR 982 Subpart I and 24 CFR 982.507]</w:t>
      </w:r>
    </w:p>
    <w:p w:rsidR="004E13A5" w:rsidRDefault="00681463">
      <w:pPr>
        <w:pStyle w:val="BodyText"/>
        <w:tabs>
          <w:tab w:val="left" w:pos="1259"/>
          <w:tab w:val="left" w:leader="dot" w:pos="9001"/>
        </w:tabs>
        <w:ind w:left="0" w:right="15"/>
        <w:jc w:val="center"/>
      </w:pPr>
      <w:r>
        <w:t>PART</w:t>
      </w:r>
      <w:r>
        <w:rPr>
          <w:spacing w:val="1"/>
        </w:rPr>
        <w:t xml:space="preserve"> </w:t>
      </w:r>
      <w:r>
        <w:rPr>
          <w:spacing w:val="-3"/>
        </w:rPr>
        <w:t>I:</w:t>
      </w:r>
      <w:r>
        <w:rPr>
          <w:spacing w:val="-3"/>
        </w:rPr>
        <w:tab/>
      </w:r>
      <w:r>
        <w:t>PHYSICAL</w:t>
      </w:r>
      <w:r>
        <w:rPr>
          <w:spacing w:val="-5"/>
        </w:rPr>
        <w:t xml:space="preserve"> </w:t>
      </w:r>
      <w:r>
        <w:t>STANDARDS</w:t>
      </w:r>
      <w:r>
        <w:tab/>
        <w:t>183</w:t>
      </w:r>
    </w:p>
    <w:p w:rsidR="004E13A5" w:rsidRDefault="00681463">
      <w:pPr>
        <w:pStyle w:val="BodyText"/>
        <w:tabs>
          <w:tab w:val="left" w:pos="2332"/>
          <w:tab w:val="left" w:leader="dot" w:pos="9101"/>
        </w:tabs>
        <w:spacing w:before="0"/>
        <w:ind w:left="1367"/>
      </w:pPr>
      <w:r>
        <w:t>8-I.A.</w:t>
      </w:r>
      <w:r>
        <w:tab/>
        <w:t>General</w:t>
      </w:r>
      <w:r>
        <w:rPr>
          <w:spacing w:val="-1"/>
        </w:rPr>
        <w:t xml:space="preserve"> </w:t>
      </w:r>
      <w:r>
        <w:t>HUD</w:t>
      </w:r>
      <w:r>
        <w:rPr>
          <w:spacing w:val="-2"/>
        </w:rPr>
        <w:t xml:space="preserve"> </w:t>
      </w:r>
      <w:r>
        <w:t>Requirements</w:t>
      </w:r>
      <w:r>
        <w:tab/>
        <w:t>183</w:t>
      </w:r>
    </w:p>
    <w:p w:rsidR="004E13A5" w:rsidRDefault="00681463">
      <w:pPr>
        <w:pStyle w:val="BodyText"/>
        <w:tabs>
          <w:tab w:val="left" w:leader="dot" w:pos="9101"/>
        </w:tabs>
        <w:spacing w:before="0"/>
        <w:ind w:left="2693"/>
      </w:pPr>
      <w:r>
        <w:t>HUD Performance and</w:t>
      </w:r>
      <w:r>
        <w:rPr>
          <w:spacing w:val="-5"/>
        </w:rPr>
        <w:t xml:space="preserve"> </w:t>
      </w:r>
      <w:r>
        <w:t>Acceptability</w:t>
      </w:r>
      <w:r>
        <w:rPr>
          <w:spacing w:val="-6"/>
        </w:rPr>
        <w:t xml:space="preserve"> </w:t>
      </w:r>
      <w:r>
        <w:t>Standards</w:t>
      </w:r>
      <w:r>
        <w:tab/>
        <w:t>183</w:t>
      </w:r>
    </w:p>
    <w:p w:rsidR="004E13A5" w:rsidRDefault="00681463">
      <w:pPr>
        <w:pStyle w:val="BodyText"/>
        <w:tabs>
          <w:tab w:val="left" w:leader="dot" w:pos="9101"/>
        </w:tabs>
        <w:spacing w:before="0"/>
        <w:ind w:left="2693"/>
      </w:pPr>
      <w:r>
        <w:t>Tenant</w:t>
      </w:r>
      <w:r>
        <w:rPr>
          <w:spacing w:val="-2"/>
        </w:rPr>
        <w:t xml:space="preserve"> </w:t>
      </w:r>
      <w:r>
        <w:t>Preference</w:t>
      </w:r>
      <w:r>
        <w:rPr>
          <w:spacing w:val="-1"/>
        </w:rPr>
        <w:t xml:space="preserve"> </w:t>
      </w:r>
      <w:r>
        <w:t>Items</w:t>
      </w:r>
      <w:r>
        <w:tab/>
        <w:t>184</w:t>
      </w:r>
    </w:p>
    <w:p w:rsidR="004E13A5" w:rsidRDefault="00681463">
      <w:pPr>
        <w:pStyle w:val="BodyText"/>
        <w:tabs>
          <w:tab w:val="left" w:leader="dot" w:pos="9101"/>
        </w:tabs>
        <w:spacing w:before="0"/>
        <w:ind w:left="2693"/>
      </w:pPr>
      <w:r>
        <w:t>Modifications to</w:t>
      </w:r>
      <w:r>
        <w:rPr>
          <w:spacing w:val="-2"/>
        </w:rPr>
        <w:t xml:space="preserve"> </w:t>
      </w:r>
      <w:r>
        <w:t>Provide</w:t>
      </w:r>
      <w:r>
        <w:rPr>
          <w:spacing w:val="-3"/>
        </w:rPr>
        <w:t xml:space="preserve"> </w:t>
      </w:r>
      <w:r>
        <w:t>Accessibility</w:t>
      </w:r>
      <w:r>
        <w:tab/>
        <w:t>184</w:t>
      </w:r>
    </w:p>
    <w:p w:rsidR="004E13A5" w:rsidRDefault="00681463">
      <w:pPr>
        <w:pStyle w:val="BodyText"/>
        <w:tabs>
          <w:tab w:val="left" w:pos="2332"/>
          <w:tab w:val="left" w:leader="dot" w:pos="9101"/>
        </w:tabs>
        <w:spacing w:before="0"/>
        <w:ind w:left="1367"/>
      </w:pPr>
      <w:r>
        <w:t>8-I.B.</w:t>
      </w:r>
      <w:r>
        <w:tab/>
        <w:t>Additional Local</w:t>
      </w:r>
      <w:r>
        <w:rPr>
          <w:spacing w:val="-1"/>
        </w:rPr>
        <w:t xml:space="preserve"> </w:t>
      </w:r>
      <w:r>
        <w:t>Requirements</w:t>
      </w:r>
      <w:r>
        <w:tab/>
        <w:t>185</w:t>
      </w:r>
    </w:p>
    <w:p w:rsidR="004E13A5" w:rsidRDefault="00681463">
      <w:pPr>
        <w:pStyle w:val="BodyText"/>
        <w:tabs>
          <w:tab w:val="left" w:leader="dot" w:pos="9101"/>
        </w:tabs>
        <w:spacing w:before="0"/>
        <w:ind w:left="2693"/>
      </w:pPr>
      <w:r>
        <w:t>Thermal Environment [HCV</w:t>
      </w:r>
      <w:r>
        <w:rPr>
          <w:spacing w:val="-3"/>
        </w:rPr>
        <w:t xml:space="preserve"> </w:t>
      </w:r>
      <w:r>
        <w:t>GB</w:t>
      </w:r>
      <w:r>
        <w:rPr>
          <w:spacing w:val="-3"/>
        </w:rPr>
        <w:t xml:space="preserve"> </w:t>
      </w:r>
      <w:r>
        <w:t>p.10-7]</w:t>
      </w:r>
      <w:r>
        <w:tab/>
        <w:t>185</w:t>
      </w:r>
    </w:p>
    <w:p w:rsidR="004E13A5" w:rsidRDefault="00681463">
      <w:pPr>
        <w:pStyle w:val="BodyText"/>
        <w:tabs>
          <w:tab w:val="left" w:leader="dot" w:pos="9101"/>
        </w:tabs>
        <w:spacing w:before="0"/>
        <w:ind w:left="2693"/>
      </w:pPr>
      <w:r>
        <w:t>Clarifications of</w:t>
      </w:r>
      <w:r>
        <w:rPr>
          <w:spacing w:val="-3"/>
        </w:rPr>
        <w:t xml:space="preserve"> </w:t>
      </w:r>
      <w:r>
        <w:t>HUD</w:t>
      </w:r>
      <w:r>
        <w:rPr>
          <w:spacing w:val="-3"/>
        </w:rPr>
        <w:t xml:space="preserve"> </w:t>
      </w:r>
      <w:r>
        <w:t>Requirements</w:t>
      </w:r>
      <w:r>
        <w:tab/>
        <w:t>185</w:t>
      </w:r>
    </w:p>
    <w:p w:rsidR="004E13A5" w:rsidRDefault="00681463">
      <w:pPr>
        <w:pStyle w:val="BodyText"/>
        <w:tabs>
          <w:tab w:val="left" w:pos="2332"/>
          <w:tab w:val="left" w:leader="dot" w:pos="9101"/>
        </w:tabs>
        <w:spacing w:before="1"/>
        <w:ind w:left="1367"/>
      </w:pPr>
      <w:r>
        <w:t>8-I.C.</w:t>
      </w:r>
      <w:r>
        <w:tab/>
        <w:t>Life-Threatening Conditions [24</w:t>
      </w:r>
      <w:r>
        <w:rPr>
          <w:spacing w:val="-5"/>
        </w:rPr>
        <w:t xml:space="preserve"> </w:t>
      </w:r>
      <w:r>
        <w:t>CFR</w:t>
      </w:r>
      <w:r>
        <w:rPr>
          <w:spacing w:val="-1"/>
        </w:rPr>
        <w:t xml:space="preserve"> </w:t>
      </w:r>
      <w:r>
        <w:t>982.404(a)]</w:t>
      </w:r>
      <w:r>
        <w:tab/>
        <w:t>186</w:t>
      </w:r>
    </w:p>
    <w:p w:rsidR="004E13A5" w:rsidRDefault="00681463">
      <w:pPr>
        <w:pStyle w:val="BodyText"/>
        <w:tabs>
          <w:tab w:val="left" w:pos="2332"/>
          <w:tab w:val="left" w:leader="dot" w:pos="9101"/>
        </w:tabs>
        <w:spacing w:before="0"/>
        <w:ind w:left="1367"/>
      </w:pPr>
      <w:r>
        <w:t>8-I.D.</w:t>
      </w:r>
      <w:r>
        <w:tab/>
        <w:t>Owner and Family Responsibilities [24</w:t>
      </w:r>
      <w:r>
        <w:rPr>
          <w:spacing w:val="-8"/>
        </w:rPr>
        <w:t xml:space="preserve"> </w:t>
      </w:r>
      <w:r>
        <w:t>CFR</w:t>
      </w:r>
      <w:r>
        <w:rPr>
          <w:spacing w:val="-1"/>
        </w:rPr>
        <w:t xml:space="preserve"> </w:t>
      </w:r>
      <w:r>
        <w:t>982.404]</w:t>
      </w:r>
      <w:r>
        <w:tab/>
        <w:t>188</w:t>
      </w:r>
    </w:p>
    <w:p w:rsidR="004E13A5" w:rsidRDefault="00681463">
      <w:pPr>
        <w:pStyle w:val="BodyText"/>
        <w:tabs>
          <w:tab w:val="left" w:leader="dot" w:pos="9101"/>
        </w:tabs>
        <w:spacing w:before="0"/>
        <w:ind w:left="2693"/>
      </w:pPr>
      <w:r>
        <w:t>Family</w:t>
      </w:r>
      <w:r>
        <w:rPr>
          <w:spacing w:val="-6"/>
        </w:rPr>
        <w:t xml:space="preserve"> </w:t>
      </w:r>
      <w:r>
        <w:t>Responsibilities</w:t>
      </w:r>
      <w:r>
        <w:tab/>
        <w:t>188</w:t>
      </w:r>
    </w:p>
    <w:p w:rsidR="004E13A5" w:rsidRDefault="00681463">
      <w:pPr>
        <w:pStyle w:val="BodyText"/>
        <w:tabs>
          <w:tab w:val="left" w:leader="dot" w:pos="9101"/>
        </w:tabs>
        <w:spacing w:before="0"/>
        <w:ind w:left="2693"/>
      </w:pPr>
      <w:r>
        <w:t>Owner</w:t>
      </w:r>
      <w:r>
        <w:rPr>
          <w:spacing w:val="-1"/>
        </w:rPr>
        <w:t xml:space="preserve"> </w:t>
      </w:r>
      <w:r>
        <w:t>Responsibilities</w:t>
      </w:r>
      <w:r>
        <w:tab/>
        <w:t>188</w:t>
      </w:r>
    </w:p>
    <w:p w:rsidR="004E13A5" w:rsidRDefault="00681463">
      <w:pPr>
        <w:pStyle w:val="BodyText"/>
        <w:tabs>
          <w:tab w:val="left" w:pos="2332"/>
        </w:tabs>
        <w:spacing w:before="0"/>
        <w:ind w:left="1367"/>
      </w:pPr>
      <w:r>
        <w:t>8-I-E.</w:t>
      </w:r>
      <w:r>
        <w:tab/>
        <w:t>Special Requirements for Children with</w:t>
      </w:r>
      <w:r>
        <w:rPr>
          <w:spacing w:val="-10"/>
        </w:rPr>
        <w:t xml:space="preserve"> </w:t>
      </w:r>
      <w:r>
        <w:t>Environmental</w:t>
      </w:r>
    </w:p>
    <w:p w:rsidR="004E13A5" w:rsidRDefault="00681463">
      <w:pPr>
        <w:pStyle w:val="BodyText"/>
        <w:tabs>
          <w:tab w:val="left" w:leader="dot" w:pos="9101"/>
        </w:tabs>
        <w:spacing w:before="0"/>
        <w:ind w:left="2332"/>
      </w:pPr>
      <w:r>
        <w:t>Intervention Blood Lead Level [24</w:t>
      </w:r>
      <w:r>
        <w:rPr>
          <w:spacing w:val="-4"/>
        </w:rPr>
        <w:t xml:space="preserve"> </w:t>
      </w:r>
      <w:r>
        <w:t>CFR</w:t>
      </w:r>
      <w:r>
        <w:rPr>
          <w:spacing w:val="-2"/>
        </w:rPr>
        <w:t xml:space="preserve"> </w:t>
      </w:r>
      <w:r>
        <w:t>35.1225]</w:t>
      </w:r>
      <w:r>
        <w:tab/>
        <w:t>188</w:t>
      </w:r>
    </w:p>
    <w:p w:rsidR="004E13A5" w:rsidRDefault="00681463">
      <w:pPr>
        <w:pStyle w:val="BodyText"/>
        <w:tabs>
          <w:tab w:val="left" w:pos="2332"/>
        </w:tabs>
        <w:spacing w:before="0"/>
        <w:ind w:left="1367"/>
      </w:pPr>
      <w:r>
        <w:t>8-I-F.</w:t>
      </w:r>
      <w:r>
        <w:tab/>
        <w:t xml:space="preserve">Violation of </w:t>
      </w:r>
      <w:r w:rsidR="002C4221">
        <w:t>NSPIRE</w:t>
      </w:r>
      <w:r>
        <w:t xml:space="preserve"> Space</w:t>
      </w:r>
      <w:r>
        <w:rPr>
          <w:spacing w:val="-4"/>
        </w:rPr>
        <w:t xml:space="preserve"> </w:t>
      </w:r>
      <w:r>
        <w:t>Standards</w:t>
      </w:r>
    </w:p>
    <w:p w:rsidR="004E13A5" w:rsidRDefault="00681463">
      <w:pPr>
        <w:pStyle w:val="BodyText"/>
        <w:tabs>
          <w:tab w:val="left" w:leader="dot" w:pos="9101"/>
        </w:tabs>
        <w:spacing w:before="0"/>
        <w:ind w:left="2332"/>
      </w:pPr>
      <w:r>
        <w:t>[24 CFR 982.401, 24</w:t>
      </w:r>
      <w:r>
        <w:rPr>
          <w:spacing w:val="-1"/>
        </w:rPr>
        <w:t xml:space="preserve"> </w:t>
      </w:r>
      <w:r>
        <w:t>CFR</w:t>
      </w:r>
      <w:r>
        <w:rPr>
          <w:spacing w:val="-1"/>
        </w:rPr>
        <w:t xml:space="preserve"> </w:t>
      </w:r>
      <w:r>
        <w:t>982.403]</w:t>
      </w:r>
      <w:r>
        <w:tab/>
        <w:t>189</w:t>
      </w:r>
    </w:p>
    <w:p w:rsidR="004E13A5" w:rsidRDefault="00681463">
      <w:pPr>
        <w:pStyle w:val="BodyText"/>
        <w:tabs>
          <w:tab w:val="left" w:pos="1259"/>
          <w:tab w:val="left" w:leader="dot" w:pos="9001"/>
        </w:tabs>
        <w:spacing w:before="120"/>
        <w:ind w:left="0" w:right="15"/>
        <w:jc w:val="center"/>
      </w:pPr>
      <w:r>
        <w:t>PART</w:t>
      </w:r>
      <w:r>
        <w:rPr>
          <w:spacing w:val="1"/>
        </w:rPr>
        <w:t xml:space="preserve"> </w:t>
      </w:r>
      <w:r>
        <w:rPr>
          <w:spacing w:val="-3"/>
        </w:rPr>
        <w:t>II:</w:t>
      </w:r>
      <w:r>
        <w:rPr>
          <w:spacing w:val="-3"/>
        </w:rPr>
        <w:tab/>
      </w:r>
      <w:r>
        <w:t>THE</w:t>
      </w:r>
      <w:r>
        <w:rPr>
          <w:spacing w:val="-1"/>
        </w:rPr>
        <w:t xml:space="preserve"> </w:t>
      </w:r>
      <w:r>
        <w:t>INSPECTION</w:t>
      </w:r>
      <w:r>
        <w:rPr>
          <w:spacing w:val="-3"/>
        </w:rPr>
        <w:t xml:space="preserve"> </w:t>
      </w:r>
      <w:r>
        <w:t>PROCESS</w:t>
      </w:r>
      <w:r>
        <w:tab/>
        <w:t>189</w:t>
      </w:r>
    </w:p>
    <w:p w:rsidR="004E13A5" w:rsidRDefault="00681463">
      <w:pPr>
        <w:pStyle w:val="BodyText"/>
        <w:tabs>
          <w:tab w:val="left" w:pos="2332"/>
          <w:tab w:val="left" w:leader="dot" w:pos="9101"/>
        </w:tabs>
        <w:spacing w:before="0"/>
        <w:ind w:left="1367"/>
      </w:pPr>
      <w:r>
        <w:t>8-II.A.</w:t>
      </w:r>
      <w:r>
        <w:tab/>
        <w:t>Overview [24</w:t>
      </w:r>
      <w:r>
        <w:rPr>
          <w:spacing w:val="-2"/>
        </w:rPr>
        <w:t xml:space="preserve"> </w:t>
      </w:r>
      <w:r>
        <w:t>CFR</w:t>
      </w:r>
      <w:r>
        <w:rPr>
          <w:spacing w:val="-1"/>
        </w:rPr>
        <w:t xml:space="preserve"> </w:t>
      </w:r>
      <w:r>
        <w:t>982.405]</w:t>
      </w:r>
      <w:r>
        <w:tab/>
        <w:t>189</w:t>
      </w:r>
    </w:p>
    <w:p w:rsidR="004E13A5" w:rsidRDefault="00681463">
      <w:pPr>
        <w:pStyle w:val="BodyText"/>
        <w:tabs>
          <w:tab w:val="left" w:leader="dot" w:pos="9101"/>
        </w:tabs>
        <w:spacing w:before="0"/>
        <w:ind w:left="2693"/>
      </w:pPr>
      <w:r>
        <w:t>Types</w:t>
      </w:r>
      <w:r>
        <w:rPr>
          <w:spacing w:val="-2"/>
        </w:rPr>
        <w:t xml:space="preserve"> </w:t>
      </w:r>
      <w:r>
        <w:t>of</w:t>
      </w:r>
      <w:r>
        <w:rPr>
          <w:spacing w:val="-1"/>
        </w:rPr>
        <w:t xml:space="preserve"> </w:t>
      </w:r>
      <w:r>
        <w:t>Inspections</w:t>
      </w:r>
      <w:r>
        <w:tab/>
        <w:t>189</w:t>
      </w:r>
    </w:p>
    <w:p w:rsidR="004E13A5" w:rsidRDefault="00681463">
      <w:pPr>
        <w:pStyle w:val="BodyText"/>
        <w:tabs>
          <w:tab w:val="left" w:leader="dot" w:pos="9101"/>
        </w:tabs>
        <w:spacing w:before="0"/>
        <w:ind w:left="2693"/>
      </w:pPr>
      <w:r>
        <w:t>Inspection of PHA-Owned Units [24</w:t>
      </w:r>
      <w:r>
        <w:rPr>
          <w:spacing w:val="-8"/>
        </w:rPr>
        <w:t xml:space="preserve"> </w:t>
      </w:r>
      <w:r>
        <w:t>CFR</w:t>
      </w:r>
      <w:r>
        <w:rPr>
          <w:spacing w:val="-2"/>
        </w:rPr>
        <w:t xml:space="preserve"> </w:t>
      </w:r>
      <w:r>
        <w:t>982.352(b)]</w:t>
      </w:r>
      <w:r>
        <w:tab/>
        <w:t>189</w:t>
      </w:r>
    </w:p>
    <w:p w:rsidR="004E13A5" w:rsidRDefault="00681463">
      <w:pPr>
        <w:pStyle w:val="BodyText"/>
        <w:tabs>
          <w:tab w:val="left" w:leader="dot" w:pos="9101"/>
        </w:tabs>
        <w:spacing w:before="0"/>
        <w:ind w:left="2693"/>
      </w:pPr>
      <w:r>
        <w:t>Inspection</w:t>
      </w:r>
      <w:r>
        <w:rPr>
          <w:spacing w:val="-2"/>
        </w:rPr>
        <w:t xml:space="preserve"> </w:t>
      </w:r>
      <w:r>
        <w:t>Costs</w:t>
      </w:r>
      <w:r>
        <w:tab/>
        <w:t>190</w:t>
      </w:r>
    </w:p>
    <w:p w:rsidR="004E13A5" w:rsidRDefault="00681463">
      <w:pPr>
        <w:pStyle w:val="BodyText"/>
        <w:tabs>
          <w:tab w:val="left" w:leader="dot" w:pos="9101"/>
        </w:tabs>
        <w:spacing w:before="0"/>
        <w:ind w:left="2693"/>
      </w:pPr>
      <w:r>
        <w:t>Remote Video Inspections (RVIs) [Notice</w:t>
      </w:r>
      <w:r>
        <w:rPr>
          <w:spacing w:val="-6"/>
        </w:rPr>
        <w:t xml:space="preserve"> </w:t>
      </w:r>
      <w:r>
        <w:t>PIH</w:t>
      </w:r>
      <w:r>
        <w:rPr>
          <w:spacing w:val="-1"/>
        </w:rPr>
        <w:t xml:space="preserve"> </w:t>
      </w:r>
      <w:r>
        <w:t>2020-31]</w:t>
      </w:r>
      <w:r>
        <w:tab/>
        <w:t>190</w:t>
      </w:r>
    </w:p>
    <w:p w:rsidR="004E13A5" w:rsidRDefault="00681463">
      <w:pPr>
        <w:pStyle w:val="BodyText"/>
        <w:tabs>
          <w:tab w:val="left" w:leader="dot" w:pos="9101"/>
        </w:tabs>
        <w:spacing w:before="0"/>
        <w:ind w:left="2693"/>
      </w:pPr>
      <w:r>
        <w:t>Notice</w:t>
      </w:r>
      <w:r>
        <w:rPr>
          <w:spacing w:val="-3"/>
        </w:rPr>
        <w:t xml:space="preserve"> </w:t>
      </w:r>
      <w:r>
        <w:t>and</w:t>
      </w:r>
      <w:r>
        <w:rPr>
          <w:spacing w:val="-1"/>
        </w:rPr>
        <w:t xml:space="preserve"> </w:t>
      </w:r>
      <w:r>
        <w:t>Scheduling</w:t>
      </w:r>
      <w:r>
        <w:tab/>
        <w:t>190</w:t>
      </w:r>
    </w:p>
    <w:p w:rsidR="004E13A5" w:rsidRDefault="00681463">
      <w:pPr>
        <w:pStyle w:val="BodyText"/>
        <w:tabs>
          <w:tab w:val="left" w:leader="dot" w:pos="9101"/>
        </w:tabs>
        <w:spacing w:before="0"/>
        <w:ind w:left="2693"/>
      </w:pPr>
      <w:r>
        <w:t>Owner and Family</w:t>
      </w:r>
      <w:r>
        <w:rPr>
          <w:spacing w:val="-5"/>
        </w:rPr>
        <w:t xml:space="preserve"> </w:t>
      </w:r>
      <w:r>
        <w:t>Inspection</w:t>
      </w:r>
      <w:r>
        <w:rPr>
          <w:spacing w:val="-1"/>
        </w:rPr>
        <w:t xml:space="preserve"> </w:t>
      </w:r>
      <w:r>
        <w:t>Attendance</w:t>
      </w:r>
      <w:r>
        <w:tab/>
        <w:t>191</w:t>
      </w:r>
    </w:p>
    <w:p w:rsidR="004E13A5" w:rsidRDefault="00681463">
      <w:pPr>
        <w:pStyle w:val="BodyText"/>
        <w:tabs>
          <w:tab w:val="left" w:pos="2332"/>
          <w:tab w:val="left" w:leader="dot" w:pos="9101"/>
        </w:tabs>
        <w:spacing w:before="0"/>
        <w:ind w:left="1367"/>
      </w:pPr>
      <w:r>
        <w:t>8-II.B.</w:t>
      </w:r>
      <w:r>
        <w:tab/>
        <w:t xml:space="preserve">Initial </w:t>
      </w:r>
      <w:r w:rsidR="002C4221">
        <w:t>NSPIRE</w:t>
      </w:r>
      <w:r>
        <w:t xml:space="preserve"> Inspection [24</w:t>
      </w:r>
      <w:r>
        <w:rPr>
          <w:spacing w:val="-4"/>
        </w:rPr>
        <w:t xml:space="preserve"> </w:t>
      </w:r>
      <w:r>
        <w:t>CFR</w:t>
      </w:r>
      <w:r>
        <w:rPr>
          <w:spacing w:val="-2"/>
        </w:rPr>
        <w:t xml:space="preserve"> </w:t>
      </w:r>
      <w:r>
        <w:t>982.401(a)]</w:t>
      </w:r>
      <w:r>
        <w:tab/>
        <w:t>191</w:t>
      </w:r>
    </w:p>
    <w:p w:rsidR="004E13A5" w:rsidRDefault="00681463">
      <w:pPr>
        <w:pStyle w:val="BodyText"/>
        <w:tabs>
          <w:tab w:val="left" w:leader="dot" w:pos="9101"/>
        </w:tabs>
        <w:spacing w:before="0"/>
        <w:ind w:left="2693"/>
      </w:pPr>
      <w:r>
        <w:t>Initial Inspections [FR</w:t>
      </w:r>
      <w:r>
        <w:rPr>
          <w:spacing w:val="-3"/>
        </w:rPr>
        <w:t xml:space="preserve"> </w:t>
      </w:r>
      <w:r>
        <w:t>Notice</w:t>
      </w:r>
      <w:r>
        <w:rPr>
          <w:spacing w:val="-4"/>
        </w:rPr>
        <w:t xml:space="preserve"> </w:t>
      </w:r>
      <w:r>
        <w:t>1/18/17]</w:t>
      </w:r>
      <w:r>
        <w:tab/>
        <w:t>191</w:t>
      </w:r>
    </w:p>
    <w:p w:rsidR="004E13A5" w:rsidRDefault="00681463">
      <w:pPr>
        <w:pStyle w:val="BodyText"/>
        <w:tabs>
          <w:tab w:val="left" w:leader="dot" w:pos="9101"/>
        </w:tabs>
        <w:spacing w:before="0"/>
        <w:ind w:left="2693"/>
      </w:pPr>
      <w:r>
        <w:t>Timing of</w:t>
      </w:r>
      <w:r>
        <w:rPr>
          <w:spacing w:val="-4"/>
        </w:rPr>
        <w:t xml:space="preserve"> </w:t>
      </w:r>
      <w:r>
        <w:t>Initial Inspections</w:t>
      </w:r>
      <w:r>
        <w:tab/>
        <w:t>191</w:t>
      </w:r>
    </w:p>
    <w:p w:rsidR="004E13A5" w:rsidRDefault="00681463">
      <w:pPr>
        <w:pStyle w:val="BodyText"/>
        <w:tabs>
          <w:tab w:val="left" w:leader="dot" w:pos="9101"/>
        </w:tabs>
        <w:spacing w:before="0"/>
        <w:ind w:left="2693"/>
      </w:pPr>
      <w:r>
        <w:t>Inspection Results</w:t>
      </w:r>
      <w:r>
        <w:rPr>
          <w:spacing w:val="-3"/>
        </w:rPr>
        <w:t xml:space="preserve"> </w:t>
      </w:r>
      <w:r>
        <w:t>and</w:t>
      </w:r>
      <w:r>
        <w:rPr>
          <w:spacing w:val="-2"/>
        </w:rPr>
        <w:t xml:space="preserve"> </w:t>
      </w:r>
      <w:r>
        <w:t>Reinspections</w:t>
      </w:r>
      <w:r>
        <w:tab/>
        <w:t>191</w:t>
      </w:r>
    </w:p>
    <w:p w:rsidR="004E13A5" w:rsidRDefault="00681463">
      <w:pPr>
        <w:pStyle w:val="BodyText"/>
        <w:tabs>
          <w:tab w:val="left" w:leader="dot" w:pos="9101"/>
        </w:tabs>
        <w:spacing w:before="0"/>
        <w:ind w:left="2693"/>
      </w:pPr>
      <w:r>
        <w:t>Utilities</w:t>
      </w:r>
      <w:r>
        <w:tab/>
        <w:t>192</w:t>
      </w:r>
    </w:p>
    <w:p w:rsidR="004E13A5" w:rsidRDefault="00681463">
      <w:pPr>
        <w:pStyle w:val="BodyText"/>
        <w:tabs>
          <w:tab w:val="left" w:leader="dot" w:pos="9101"/>
        </w:tabs>
        <w:spacing w:before="0"/>
        <w:ind w:left="2693"/>
      </w:pPr>
      <w:r>
        <w:t>Appliances</w:t>
      </w:r>
      <w:r>
        <w:tab/>
        <w:t>192</w:t>
      </w:r>
    </w:p>
    <w:p w:rsidR="004E13A5" w:rsidRDefault="00681463">
      <w:pPr>
        <w:pStyle w:val="BodyText"/>
        <w:tabs>
          <w:tab w:val="left" w:pos="2332"/>
          <w:tab w:val="left" w:leader="dot" w:pos="9101"/>
        </w:tabs>
        <w:spacing w:before="0"/>
        <w:ind w:left="1367"/>
      </w:pPr>
      <w:r>
        <w:t>8-II.C.</w:t>
      </w:r>
      <w:r>
        <w:tab/>
        <w:t xml:space="preserve">Annual/Biennial </w:t>
      </w:r>
      <w:r w:rsidR="002C4221">
        <w:t>NSPIRE</w:t>
      </w:r>
      <w:r>
        <w:t xml:space="preserve"> Inspections [24</w:t>
      </w:r>
      <w:r>
        <w:rPr>
          <w:spacing w:val="-4"/>
        </w:rPr>
        <w:t xml:space="preserve"> </w:t>
      </w:r>
      <w:r>
        <w:t>CFR</w:t>
      </w:r>
      <w:r>
        <w:rPr>
          <w:spacing w:val="-2"/>
        </w:rPr>
        <w:t xml:space="preserve"> </w:t>
      </w:r>
      <w:r>
        <w:t>982.405(a)]</w:t>
      </w:r>
      <w:r>
        <w:tab/>
        <w:t>192</w:t>
      </w:r>
    </w:p>
    <w:p w:rsidR="004E13A5" w:rsidRDefault="00681463">
      <w:pPr>
        <w:pStyle w:val="BodyText"/>
        <w:tabs>
          <w:tab w:val="left" w:leader="dot" w:pos="9101"/>
        </w:tabs>
        <w:spacing w:before="0"/>
        <w:ind w:left="2693"/>
      </w:pPr>
      <w:r>
        <w:t>Scheduling</w:t>
      </w:r>
      <w:r>
        <w:rPr>
          <w:spacing w:val="-4"/>
        </w:rPr>
        <w:t xml:space="preserve"> </w:t>
      </w:r>
      <w:r>
        <w:t>the Inspection</w:t>
      </w:r>
      <w:r>
        <w:tab/>
        <w:t>192</w:t>
      </w:r>
    </w:p>
    <w:p w:rsidR="004E13A5" w:rsidRDefault="00681463">
      <w:pPr>
        <w:pStyle w:val="BodyText"/>
        <w:tabs>
          <w:tab w:val="left" w:pos="2332"/>
          <w:tab w:val="left" w:leader="dot" w:pos="9101"/>
        </w:tabs>
        <w:spacing w:before="0"/>
        <w:ind w:left="1367"/>
      </w:pPr>
      <w:r>
        <w:t>8-II.D.</w:t>
      </w:r>
      <w:r>
        <w:tab/>
        <w:t>Special Inspections [HCV GB</w:t>
      </w:r>
      <w:r>
        <w:rPr>
          <w:spacing w:val="-4"/>
        </w:rPr>
        <w:t xml:space="preserve"> </w:t>
      </w:r>
      <w:r>
        <w:t>p.</w:t>
      </w:r>
      <w:r>
        <w:rPr>
          <w:spacing w:val="-2"/>
        </w:rPr>
        <w:t xml:space="preserve"> </w:t>
      </w:r>
      <w:r>
        <w:t>10-30]</w:t>
      </w:r>
      <w:r>
        <w:tab/>
        <w:t>193</w:t>
      </w:r>
    </w:p>
    <w:p w:rsidR="004E13A5" w:rsidRDefault="00681463">
      <w:pPr>
        <w:pStyle w:val="BodyText"/>
        <w:tabs>
          <w:tab w:val="left" w:pos="2332"/>
        </w:tabs>
        <w:spacing w:before="0"/>
        <w:ind w:left="1367"/>
      </w:pPr>
      <w:r>
        <w:t>8-II.E.</w:t>
      </w:r>
      <w:r>
        <w:tab/>
        <w:t>Quality Control Inspections [24 CFR</w:t>
      </w:r>
      <w:r>
        <w:rPr>
          <w:spacing w:val="-8"/>
        </w:rPr>
        <w:t xml:space="preserve"> </w:t>
      </w:r>
      <w:r>
        <w:t>982.405(b),</w:t>
      </w:r>
    </w:p>
    <w:p w:rsidR="004E13A5" w:rsidRDefault="00681463">
      <w:pPr>
        <w:pStyle w:val="BodyText"/>
        <w:tabs>
          <w:tab w:val="left" w:leader="dot" w:pos="9101"/>
        </w:tabs>
        <w:spacing w:before="0"/>
        <w:ind w:left="2332"/>
      </w:pPr>
      <w:r>
        <w:t>HCV GB</w:t>
      </w:r>
      <w:r>
        <w:rPr>
          <w:spacing w:val="-3"/>
        </w:rPr>
        <w:t xml:space="preserve"> </w:t>
      </w:r>
      <w:r>
        <w:t>p.</w:t>
      </w:r>
      <w:r>
        <w:rPr>
          <w:spacing w:val="-1"/>
        </w:rPr>
        <w:t xml:space="preserve"> </w:t>
      </w:r>
      <w:r>
        <w:t>10-32]</w:t>
      </w:r>
      <w:r>
        <w:tab/>
        <w:t>193</w:t>
      </w:r>
    </w:p>
    <w:p w:rsidR="004E13A5" w:rsidRDefault="00681463">
      <w:pPr>
        <w:pStyle w:val="BodyText"/>
        <w:tabs>
          <w:tab w:val="left" w:pos="2332"/>
        </w:tabs>
        <w:spacing w:before="0"/>
        <w:ind w:left="1367"/>
      </w:pPr>
      <w:r>
        <w:t>8-II.F.</w:t>
      </w:r>
      <w:r>
        <w:tab/>
        <w:t>Inspection Results and Reinspections for Units</w:t>
      </w:r>
      <w:r>
        <w:rPr>
          <w:spacing w:val="-11"/>
        </w:rPr>
        <w:t xml:space="preserve"> </w:t>
      </w:r>
      <w:r>
        <w:t>Under</w:t>
      </w:r>
    </w:p>
    <w:p w:rsidR="004E13A5" w:rsidRDefault="00681463">
      <w:pPr>
        <w:pStyle w:val="BodyText"/>
        <w:tabs>
          <w:tab w:val="left" w:leader="dot" w:pos="9101"/>
        </w:tabs>
        <w:spacing w:before="0"/>
        <w:ind w:left="2332"/>
      </w:pPr>
      <w:r>
        <w:t>HAP</w:t>
      </w:r>
      <w:r>
        <w:rPr>
          <w:spacing w:val="-1"/>
        </w:rPr>
        <w:t xml:space="preserve"> </w:t>
      </w:r>
      <w:r>
        <w:t>Contract</w:t>
      </w:r>
      <w:r>
        <w:tab/>
        <w:t>193</w:t>
      </w:r>
    </w:p>
    <w:p w:rsidR="004E13A5" w:rsidRDefault="00681463">
      <w:pPr>
        <w:pStyle w:val="BodyText"/>
        <w:tabs>
          <w:tab w:val="left" w:leader="dot" w:pos="9101"/>
        </w:tabs>
        <w:spacing w:before="0"/>
        <w:ind w:left="2693"/>
      </w:pPr>
      <w:r>
        <w:t>Notification of</w:t>
      </w:r>
      <w:r>
        <w:rPr>
          <w:spacing w:val="-4"/>
        </w:rPr>
        <w:t xml:space="preserve"> </w:t>
      </w:r>
      <w:r>
        <w:t>Corrective</w:t>
      </w:r>
      <w:r>
        <w:rPr>
          <w:spacing w:val="-3"/>
        </w:rPr>
        <w:t xml:space="preserve"> </w:t>
      </w:r>
      <w:r>
        <w:t>Actions</w:t>
      </w:r>
      <w:r>
        <w:tab/>
        <w:t>193</w:t>
      </w:r>
    </w:p>
    <w:p w:rsidR="004E13A5" w:rsidRDefault="00681463">
      <w:pPr>
        <w:pStyle w:val="BodyText"/>
        <w:tabs>
          <w:tab w:val="left" w:leader="dot" w:pos="9101"/>
        </w:tabs>
        <w:spacing w:before="0"/>
        <w:ind w:left="2693"/>
      </w:pPr>
      <w:r>
        <w:t>Extensions</w:t>
      </w:r>
      <w:r>
        <w:tab/>
        <w:t>194</w:t>
      </w:r>
    </w:p>
    <w:p w:rsidR="004E13A5" w:rsidRDefault="00681463">
      <w:pPr>
        <w:pStyle w:val="BodyText"/>
        <w:tabs>
          <w:tab w:val="left" w:leader="dot" w:pos="9101"/>
        </w:tabs>
        <w:spacing w:before="0"/>
        <w:ind w:left="2693"/>
      </w:pPr>
      <w:r>
        <w:t>Reinspections</w:t>
      </w:r>
      <w:r>
        <w:tab/>
        <w:t>194</w:t>
      </w:r>
    </w:p>
    <w:p w:rsidR="004E13A5" w:rsidRDefault="00681463">
      <w:pPr>
        <w:pStyle w:val="BodyText"/>
        <w:tabs>
          <w:tab w:val="left" w:pos="2332"/>
          <w:tab w:val="left" w:leader="dot" w:pos="9101"/>
        </w:tabs>
        <w:spacing w:before="0"/>
        <w:ind w:left="1367"/>
      </w:pPr>
      <w:r>
        <w:t>8-II.G.</w:t>
      </w:r>
      <w:r>
        <w:tab/>
        <w:t>Enforcing</w:t>
      </w:r>
      <w:r>
        <w:rPr>
          <w:spacing w:val="-4"/>
        </w:rPr>
        <w:t xml:space="preserve"> </w:t>
      </w:r>
      <w:r>
        <w:t>Owner</w:t>
      </w:r>
      <w:r>
        <w:rPr>
          <w:spacing w:val="-1"/>
        </w:rPr>
        <w:t xml:space="preserve"> </w:t>
      </w:r>
      <w:r>
        <w:t>Compliance</w:t>
      </w:r>
      <w:r>
        <w:tab/>
        <w:t>194</w:t>
      </w:r>
    </w:p>
    <w:p w:rsidR="004E13A5" w:rsidRDefault="00681463">
      <w:pPr>
        <w:pStyle w:val="BodyText"/>
        <w:tabs>
          <w:tab w:val="left" w:leader="dot" w:pos="9101"/>
        </w:tabs>
        <w:spacing w:before="0"/>
        <w:ind w:left="2693"/>
      </w:pPr>
      <w:r>
        <w:t>HAP</w:t>
      </w:r>
      <w:r>
        <w:rPr>
          <w:spacing w:val="-2"/>
        </w:rPr>
        <w:t xml:space="preserve"> </w:t>
      </w:r>
      <w:r>
        <w:t>Abatement</w:t>
      </w:r>
      <w:r>
        <w:tab/>
        <w:t>194</w:t>
      </w:r>
    </w:p>
    <w:p w:rsidR="004E13A5" w:rsidRDefault="004E13A5">
      <w:pPr>
        <w:sectPr w:rsidR="004E13A5">
          <w:pgSz w:w="12240" w:h="15840"/>
          <w:pgMar w:top="1480" w:right="1320" w:bottom="640" w:left="1340" w:header="0" w:footer="381" w:gutter="0"/>
          <w:cols w:space="720"/>
        </w:sectPr>
      </w:pPr>
    </w:p>
    <w:sdt>
      <w:sdtPr>
        <w:id w:val="-1316796088"/>
        <w:docPartObj>
          <w:docPartGallery w:val="Table of Contents"/>
          <w:docPartUnique/>
        </w:docPartObj>
      </w:sdtPr>
      <w:sdtContent>
        <w:p w:rsidR="004E13A5" w:rsidRDefault="00BA59C9">
          <w:pPr>
            <w:pStyle w:val="TOC8"/>
            <w:tabs>
              <w:tab w:val="right" w:leader="dot" w:pos="9461"/>
            </w:tabs>
            <w:spacing w:before="79"/>
          </w:pPr>
          <w:hyperlink w:anchor="_TOC_250369" w:history="1">
            <w:r w:rsidR="00681463">
              <w:t>HAP</w:t>
            </w:r>
            <w:r w:rsidR="00681463">
              <w:rPr>
                <w:spacing w:val="-1"/>
              </w:rPr>
              <w:t xml:space="preserve"> </w:t>
            </w:r>
            <w:r w:rsidR="00681463">
              <w:t>Contract</w:t>
            </w:r>
            <w:r w:rsidR="00681463">
              <w:rPr>
                <w:spacing w:val="-1"/>
              </w:rPr>
              <w:t xml:space="preserve"> </w:t>
            </w:r>
            <w:r w:rsidR="00681463">
              <w:t>Termination</w:t>
            </w:r>
            <w:r w:rsidR="00681463">
              <w:tab/>
              <w:t>195</w:t>
            </w:r>
          </w:hyperlink>
        </w:p>
        <w:p w:rsidR="004E13A5" w:rsidRDefault="00BA59C9">
          <w:pPr>
            <w:pStyle w:val="TOC4"/>
            <w:tabs>
              <w:tab w:val="left" w:pos="2440"/>
              <w:tab w:val="right" w:leader="dot" w:pos="9461"/>
            </w:tabs>
            <w:ind w:left="1360"/>
          </w:pPr>
          <w:hyperlink w:anchor="_TOC_250368" w:history="1">
            <w:r w:rsidR="00681463">
              <w:t>8-II.H.</w:t>
            </w:r>
            <w:r w:rsidR="00681463">
              <w:tab/>
              <w:t xml:space="preserve">Enforcing Family Compliance with </w:t>
            </w:r>
            <w:r w:rsidR="002C4221">
              <w:t>NSPIRE</w:t>
            </w:r>
            <w:r w:rsidR="00681463">
              <w:t xml:space="preserve"> [24</w:t>
            </w:r>
            <w:r w:rsidR="00681463">
              <w:rPr>
                <w:spacing w:val="-7"/>
              </w:rPr>
              <w:t xml:space="preserve"> </w:t>
            </w:r>
            <w:r w:rsidR="00681463">
              <w:t>CFR</w:t>
            </w:r>
            <w:r w:rsidR="00681463">
              <w:rPr>
                <w:spacing w:val="-1"/>
              </w:rPr>
              <w:t xml:space="preserve"> </w:t>
            </w:r>
            <w:r w:rsidR="00681463">
              <w:t>982.404(b)]</w:t>
            </w:r>
            <w:r w:rsidR="00681463">
              <w:tab/>
              <w:t>195</w:t>
            </w:r>
          </w:hyperlink>
        </w:p>
        <w:p w:rsidR="004E13A5" w:rsidRDefault="00681463">
          <w:pPr>
            <w:pStyle w:val="TOC3"/>
            <w:tabs>
              <w:tab w:val="left" w:pos="1360"/>
              <w:tab w:val="right" w:leader="dot" w:pos="9461"/>
            </w:tabs>
          </w:pPr>
          <w:r>
            <w:t>PART</w:t>
          </w:r>
          <w:r>
            <w:rPr>
              <w:spacing w:val="-1"/>
            </w:rPr>
            <w:t xml:space="preserve"> </w:t>
          </w:r>
          <w:r>
            <w:t>III:</w:t>
          </w:r>
          <w:r>
            <w:tab/>
            <w:t>RENT REASONABLENESS [24</w:t>
          </w:r>
          <w:r>
            <w:rPr>
              <w:spacing w:val="-3"/>
            </w:rPr>
            <w:t xml:space="preserve"> </w:t>
          </w:r>
          <w:r>
            <w:t>CFR</w:t>
          </w:r>
          <w:r>
            <w:rPr>
              <w:spacing w:val="-1"/>
            </w:rPr>
            <w:t xml:space="preserve"> </w:t>
          </w:r>
          <w:r>
            <w:t>982.507]</w:t>
          </w:r>
          <w:r>
            <w:tab/>
            <w:t>195</w:t>
          </w:r>
        </w:p>
        <w:p w:rsidR="004E13A5" w:rsidRDefault="00681463">
          <w:pPr>
            <w:pStyle w:val="TOC4"/>
            <w:tabs>
              <w:tab w:val="left" w:pos="2332"/>
              <w:tab w:val="right" w:leader="dot" w:pos="9461"/>
            </w:tabs>
          </w:pPr>
          <w:r>
            <w:t>8-III.A.</w:t>
          </w:r>
          <w:r>
            <w:tab/>
            <w:t>Overview</w:t>
          </w:r>
          <w:r>
            <w:tab/>
            <w:t>195</w:t>
          </w:r>
        </w:p>
        <w:p w:rsidR="004E13A5" w:rsidRDefault="00BA59C9">
          <w:pPr>
            <w:pStyle w:val="TOC8"/>
            <w:tabs>
              <w:tab w:val="right" w:leader="dot" w:pos="9461"/>
            </w:tabs>
          </w:pPr>
          <w:hyperlink w:anchor="_TOC_250367" w:history="1">
            <w:r w:rsidR="00681463">
              <w:t>PHA-Owned Units [24</w:t>
            </w:r>
            <w:r w:rsidR="00681463">
              <w:rPr>
                <w:spacing w:val="-1"/>
              </w:rPr>
              <w:t xml:space="preserve"> </w:t>
            </w:r>
            <w:r w:rsidR="00681463">
              <w:t>CFR</w:t>
            </w:r>
            <w:r w:rsidR="00681463">
              <w:rPr>
                <w:spacing w:val="-1"/>
              </w:rPr>
              <w:t xml:space="preserve"> </w:t>
            </w:r>
            <w:r w:rsidR="00681463">
              <w:t>982.352(b)]</w:t>
            </w:r>
            <w:r w:rsidR="00681463">
              <w:tab/>
              <w:t>196</w:t>
            </w:r>
          </w:hyperlink>
        </w:p>
        <w:p w:rsidR="004E13A5" w:rsidRDefault="00BA59C9">
          <w:pPr>
            <w:pStyle w:val="TOC4"/>
            <w:tabs>
              <w:tab w:val="left" w:pos="2332"/>
              <w:tab w:val="right" w:leader="dot" w:pos="9461"/>
            </w:tabs>
          </w:pPr>
          <w:hyperlink w:anchor="_TOC_250366" w:history="1">
            <w:r w:rsidR="00681463">
              <w:t>8-III.B.</w:t>
            </w:r>
            <w:r w:rsidR="00681463">
              <w:tab/>
              <w:t>When Rent Reasonableness Determinations Are Required</w:t>
            </w:r>
            <w:r w:rsidR="00681463">
              <w:tab/>
              <w:t>196</w:t>
            </w:r>
          </w:hyperlink>
        </w:p>
        <w:p w:rsidR="004E13A5" w:rsidRDefault="00BA59C9">
          <w:pPr>
            <w:pStyle w:val="TOC8"/>
            <w:tabs>
              <w:tab w:val="right" w:leader="dot" w:pos="9461"/>
            </w:tabs>
          </w:pPr>
          <w:hyperlink w:anchor="_TOC_250365" w:history="1">
            <w:r w:rsidR="00681463">
              <w:t>Owner-Initiated</w:t>
            </w:r>
            <w:r w:rsidR="00681463">
              <w:rPr>
                <w:spacing w:val="-1"/>
              </w:rPr>
              <w:t xml:space="preserve"> </w:t>
            </w:r>
            <w:r w:rsidR="00681463">
              <w:t>Rent</w:t>
            </w:r>
            <w:r w:rsidR="00681463">
              <w:rPr>
                <w:spacing w:val="-1"/>
              </w:rPr>
              <w:t xml:space="preserve"> </w:t>
            </w:r>
            <w:r w:rsidR="00681463">
              <w:t>Determinations</w:t>
            </w:r>
            <w:r w:rsidR="00681463">
              <w:tab/>
              <w:t>196</w:t>
            </w:r>
          </w:hyperlink>
        </w:p>
        <w:p w:rsidR="004E13A5" w:rsidRDefault="00BA59C9">
          <w:pPr>
            <w:pStyle w:val="TOC8"/>
            <w:tabs>
              <w:tab w:val="right" w:leader="dot" w:pos="9461"/>
            </w:tabs>
          </w:pPr>
          <w:hyperlink w:anchor="_TOC_250364" w:history="1">
            <w:r w:rsidR="00681463">
              <w:t>PHA- and HUD-Initiated Rent</w:t>
            </w:r>
            <w:r w:rsidR="00681463">
              <w:rPr>
                <w:spacing w:val="-4"/>
              </w:rPr>
              <w:t xml:space="preserve"> </w:t>
            </w:r>
            <w:r w:rsidR="00681463">
              <w:t>Reasonableness</w:t>
            </w:r>
            <w:r w:rsidR="00681463">
              <w:rPr>
                <w:spacing w:val="-2"/>
              </w:rPr>
              <w:t xml:space="preserve"> </w:t>
            </w:r>
            <w:r w:rsidR="00681463">
              <w:t>Determinations</w:t>
            </w:r>
            <w:r w:rsidR="00681463">
              <w:tab/>
              <w:t>196</w:t>
            </w:r>
          </w:hyperlink>
        </w:p>
        <w:p w:rsidR="004E13A5" w:rsidRDefault="00BA59C9">
          <w:pPr>
            <w:pStyle w:val="TOC8"/>
            <w:tabs>
              <w:tab w:val="right" w:leader="dot" w:pos="9461"/>
            </w:tabs>
          </w:pPr>
          <w:hyperlink w:anchor="_TOC_250363" w:history="1">
            <w:r w:rsidR="00681463">
              <w:t>LIHTC- and HOME-Assisted Units [24</w:t>
            </w:r>
            <w:r w:rsidR="00681463">
              <w:rPr>
                <w:spacing w:val="-4"/>
              </w:rPr>
              <w:t xml:space="preserve"> </w:t>
            </w:r>
            <w:r w:rsidR="00681463">
              <w:t>CFR</w:t>
            </w:r>
            <w:r w:rsidR="00681463">
              <w:rPr>
                <w:spacing w:val="-1"/>
              </w:rPr>
              <w:t xml:space="preserve"> </w:t>
            </w:r>
            <w:r w:rsidR="00681463">
              <w:t>982.507(c)</w:t>
            </w:r>
            <w:r w:rsidR="00681463">
              <w:tab/>
              <w:t>197</w:t>
            </w:r>
          </w:hyperlink>
        </w:p>
        <w:p w:rsidR="004E13A5" w:rsidRDefault="00BA59C9">
          <w:pPr>
            <w:pStyle w:val="TOC4"/>
            <w:tabs>
              <w:tab w:val="left" w:pos="2332"/>
              <w:tab w:val="right" w:leader="dot" w:pos="9461"/>
            </w:tabs>
          </w:pPr>
          <w:hyperlink w:anchor="_TOC_250362" w:history="1">
            <w:r w:rsidR="00681463">
              <w:t>8-III.C.</w:t>
            </w:r>
            <w:r w:rsidR="00681463">
              <w:tab/>
              <w:t>How Comparability</w:t>
            </w:r>
            <w:r w:rsidR="00681463">
              <w:rPr>
                <w:spacing w:val="-5"/>
              </w:rPr>
              <w:t xml:space="preserve"> </w:t>
            </w:r>
            <w:r w:rsidR="00681463">
              <w:t>Is</w:t>
            </w:r>
            <w:r w:rsidR="00681463">
              <w:rPr>
                <w:spacing w:val="-1"/>
              </w:rPr>
              <w:t xml:space="preserve"> </w:t>
            </w:r>
            <w:r w:rsidR="00681463">
              <w:t>Established</w:t>
            </w:r>
            <w:r w:rsidR="00681463">
              <w:tab/>
              <w:t>197</w:t>
            </w:r>
          </w:hyperlink>
        </w:p>
        <w:p w:rsidR="004E13A5" w:rsidRDefault="00BA59C9">
          <w:pPr>
            <w:pStyle w:val="TOC8"/>
            <w:tabs>
              <w:tab w:val="right" w:leader="dot" w:pos="9461"/>
            </w:tabs>
          </w:pPr>
          <w:hyperlink w:anchor="_TOC_250361" w:history="1">
            <w:r w:rsidR="00681463">
              <w:t>Factors</w:t>
            </w:r>
            <w:r w:rsidR="00681463">
              <w:rPr>
                <w:spacing w:val="-2"/>
              </w:rPr>
              <w:t xml:space="preserve"> </w:t>
            </w:r>
            <w:r w:rsidR="00681463">
              <w:t>to</w:t>
            </w:r>
            <w:r w:rsidR="00681463">
              <w:rPr>
                <w:spacing w:val="-1"/>
              </w:rPr>
              <w:t xml:space="preserve"> </w:t>
            </w:r>
            <w:r w:rsidR="00681463">
              <w:t>Consider</w:t>
            </w:r>
            <w:r w:rsidR="00681463">
              <w:tab/>
              <w:t>197</w:t>
            </w:r>
          </w:hyperlink>
        </w:p>
        <w:p w:rsidR="004E13A5" w:rsidRDefault="00BA59C9">
          <w:pPr>
            <w:pStyle w:val="TOC8"/>
            <w:tabs>
              <w:tab w:val="right" w:leader="dot" w:pos="9461"/>
            </w:tabs>
          </w:pPr>
          <w:hyperlink w:anchor="_TOC_250360" w:history="1">
            <w:r w:rsidR="00681463">
              <w:t>Units that Must Not be Used</w:t>
            </w:r>
            <w:r w:rsidR="00681463">
              <w:rPr>
                <w:spacing w:val="-2"/>
              </w:rPr>
              <w:t xml:space="preserve"> </w:t>
            </w:r>
            <w:r w:rsidR="00681463">
              <w:t>as</w:t>
            </w:r>
            <w:r w:rsidR="00681463">
              <w:rPr>
                <w:spacing w:val="-1"/>
              </w:rPr>
              <w:t xml:space="preserve"> </w:t>
            </w:r>
            <w:r w:rsidR="00681463">
              <w:t>Comparables</w:t>
            </w:r>
            <w:r w:rsidR="00681463">
              <w:tab/>
              <w:t>197</w:t>
            </w:r>
          </w:hyperlink>
        </w:p>
        <w:p w:rsidR="004E13A5" w:rsidRDefault="00BA59C9">
          <w:pPr>
            <w:pStyle w:val="TOC8"/>
            <w:tabs>
              <w:tab w:val="right" w:leader="dot" w:pos="9461"/>
            </w:tabs>
            <w:spacing w:before="1"/>
          </w:pPr>
          <w:hyperlink w:anchor="_TOC_250359" w:history="1">
            <w:r w:rsidR="00681463">
              <w:t>Rents Charged for Other Units on</w:t>
            </w:r>
            <w:r w:rsidR="00681463">
              <w:rPr>
                <w:spacing w:val="-2"/>
              </w:rPr>
              <w:t xml:space="preserve"> </w:t>
            </w:r>
            <w:r w:rsidR="00681463">
              <w:t>the</w:t>
            </w:r>
            <w:r w:rsidR="00681463">
              <w:rPr>
                <w:spacing w:val="-1"/>
              </w:rPr>
              <w:t xml:space="preserve"> </w:t>
            </w:r>
            <w:r w:rsidR="00681463">
              <w:t>Premises</w:t>
            </w:r>
            <w:r w:rsidR="00681463">
              <w:tab/>
              <w:t>198</w:t>
            </w:r>
          </w:hyperlink>
        </w:p>
        <w:p w:rsidR="004E13A5" w:rsidRDefault="00BA59C9">
          <w:pPr>
            <w:pStyle w:val="TOC4"/>
            <w:tabs>
              <w:tab w:val="left" w:pos="2332"/>
              <w:tab w:val="right" w:leader="dot" w:pos="9461"/>
            </w:tabs>
          </w:pPr>
          <w:hyperlink w:anchor="_TOC_250358" w:history="1">
            <w:r w:rsidR="00681463">
              <w:t>8-III.D.</w:t>
            </w:r>
            <w:r w:rsidR="00681463">
              <w:tab/>
              <w:t>PHA Rent</w:t>
            </w:r>
            <w:r w:rsidR="00681463">
              <w:rPr>
                <w:spacing w:val="-2"/>
              </w:rPr>
              <w:t xml:space="preserve"> </w:t>
            </w:r>
            <w:r w:rsidR="00681463">
              <w:t>Reasonableness</w:t>
            </w:r>
            <w:r w:rsidR="00681463">
              <w:rPr>
                <w:spacing w:val="-1"/>
              </w:rPr>
              <w:t xml:space="preserve"> </w:t>
            </w:r>
            <w:r w:rsidR="00681463">
              <w:t>Methodology</w:t>
            </w:r>
            <w:r w:rsidR="00681463">
              <w:tab/>
              <w:t>198</w:t>
            </w:r>
          </w:hyperlink>
        </w:p>
        <w:p w:rsidR="004E13A5" w:rsidRDefault="00BA59C9">
          <w:pPr>
            <w:pStyle w:val="TOC8"/>
            <w:tabs>
              <w:tab w:val="right" w:leader="dot" w:pos="9461"/>
            </w:tabs>
          </w:pPr>
          <w:hyperlink w:anchor="_TOC_250357" w:history="1">
            <w:r w:rsidR="00681463">
              <w:t>How Market Data Is</w:t>
            </w:r>
            <w:r w:rsidR="00681463">
              <w:rPr>
                <w:spacing w:val="-1"/>
              </w:rPr>
              <w:t xml:space="preserve"> </w:t>
            </w:r>
            <w:r w:rsidR="00681463">
              <w:t>Collected</w:t>
            </w:r>
            <w:r w:rsidR="00681463">
              <w:tab/>
              <w:t>198</w:t>
            </w:r>
          </w:hyperlink>
        </w:p>
        <w:p w:rsidR="004E13A5" w:rsidRDefault="00BA59C9">
          <w:pPr>
            <w:pStyle w:val="TOC8"/>
            <w:tabs>
              <w:tab w:val="right" w:leader="dot" w:pos="9461"/>
            </w:tabs>
          </w:pPr>
          <w:hyperlink w:anchor="_TOC_250356" w:history="1">
            <w:r w:rsidR="00681463">
              <w:t>How Rents</w:t>
            </w:r>
            <w:r w:rsidR="00681463">
              <w:rPr>
                <w:spacing w:val="-2"/>
              </w:rPr>
              <w:t xml:space="preserve"> </w:t>
            </w:r>
            <w:r w:rsidR="00681463">
              <w:t>Are</w:t>
            </w:r>
            <w:r w:rsidR="00681463">
              <w:rPr>
                <w:spacing w:val="-2"/>
              </w:rPr>
              <w:t xml:space="preserve"> </w:t>
            </w:r>
            <w:r w:rsidR="00681463">
              <w:t>Determined</w:t>
            </w:r>
            <w:r w:rsidR="00681463">
              <w:tab/>
              <w:t>198</w:t>
            </w:r>
          </w:hyperlink>
        </w:p>
        <w:p w:rsidR="004E13A5" w:rsidRDefault="00BA59C9">
          <w:pPr>
            <w:pStyle w:val="TOC3"/>
            <w:tabs>
              <w:tab w:val="right" w:leader="dot" w:pos="9461"/>
            </w:tabs>
          </w:pPr>
          <w:hyperlink w:anchor="_TOC_250355" w:history="1">
            <w:r w:rsidR="00681463">
              <w:t>Exhibit 8-1:  Overview of HUD Housing</w:t>
            </w:r>
            <w:r w:rsidR="00681463">
              <w:rPr>
                <w:spacing w:val="-17"/>
              </w:rPr>
              <w:t xml:space="preserve"> </w:t>
            </w:r>
            <w:r w:rsidR="00681463">
              <w:t>Quality</w:t>
            </w:r>
            <w:r w:rsidR="00681463">
              <w:rPr>
                <w:spacing w:val="-5"/>
              </w:rPr>
              <w:t xml:space="preserve"> </w:t>
            </w:r>
            <w:r w:rsidR="00681463">
              <w:t>Standards</w:t>
            </w:r>
            <w:r w:rsidR="00681463">
              <w:tab/>
              <w:t>199</w:t>
            </w:r>
          </w:hyperlink>
        </w:p>
        <w:p w:rsidR="004E13A5" w:rsidRDefault="00BA59C9">
          <w:pPr>
            <w:pStyle w:val="TOC3"/>
            <w:tabs>
              <w:tab w:val="right" w:leader="dot" w:pos="9461"/>
            </w:tabs>
          </w:pPr>
          <w:hyperlink w:anchor="_TOC_250354" w:history="1">
            <w:r w:rsidR="00681463">
              <w:t>Exhibit 8-2:  Summary of Tenant Preference Areas Related to</w:t>
            </w:r>
            <w:r w:rsidR="00681463">
              <w:rPr>
                <w:spacing w:val="-20"/>
              </w:rPr>
              <w:t xml:space="preserve"> </w:t>
            </w:r>
            <w:r w:rsidR="00681463">
              <w:t>Housing</w:t>
            </w:r>
            <w:r w:rsidR="00681463">
              <w:rPr>
                <w:spacing w:val="-4"/>
              </w:rPr>
              <w:t xml:space="preserve"> </w:t>
            </w:r>
            <w:r w:rsidR="00681463">
              <w:t>Quality</w:t>
            </w:r>
            <w:r w:rsidR="00681463">
              <w:tab/>
              <w:t>201</w:t>
            </w:r>
          </w:hyperlink>
        </w:p>
        <w:p w:rsidR="004E13A5" w:rsidRDefault="00BA59C9">
          <w:pPr>
            <w:pStyle w:val="TOC1"/>
            <w:spacing w:before="516"/>
          </w:pPr>
          <w:hyperlink w:anchor="_TOC_250353" w:history="1">
            <w:r w:rsidR="00681463">
              <w:t>Chapter 9</w:t>
            </w:r>
          </w:hyperlink>
        </w:p>
        <w:p w:rsidR="004E13A5" w:rsidRDefault="00BA59C9">
          <w:pPr>
            <w:pStyle w:val="TOC1"/>
          </w:pPr>
          <w:hyperlink w:anchor="_TOC_250352" w:history="1">
            <w:r w:rsidR="00681463">
              <w:t>GENERAL LEASING POLICIES</w:t>
            </w:r>
          </w:hyperlink>
        </w:p>
        <w:p w:rsidR="004E13A5" w:rsidRDefault="00BA59C9">
          <w:pPr>
            <w:pStyle w:val="TOC4"/>
            <w:tabs>
              <w:tab w:val="left" w:pos="2332"/>
              <w:tab w:val="right" w:leader="dot" w:pos="9461"/>
            </w:tabs>
            <w:spacing w:before="120"/>
          </w:pPr>
          <w:hyperlink w:anchor="_TOC_250351" w:history="1">
            <w:r w:rsidR="00681463">
              <w:t>9-I.A.</w:t>
            </w:r>
            <w:r w:rsidR="00681463">
              <w:tab/>
              <w:t>Tenant</w:t>
            </w:r>
            <w:r w:rsidR="00681463">
              <w:rPr>
                <w:spacing w:val="-1"/>
              </w:rPr>
              <w:t xml:space="preserve"> </w:t>
            </w:r>
            <w:r w:rsidR="00681463">
              <w:t>Screening</w:t>
            </w:r>
            <w:r w:rsidR="00681463">
              <w:tab/>
              <w:t>203</w:t>
            </w:r>
          </w:hyperlink>
        </w:p>
        <w:p w:rsidR="004E13A5" w:rsidRDefault="00BA59C9">
          <w:pPr>
            <w:pStyle w:val="TOC4"/>
            <w:tabs>
              <w:tab w:val="left" w:pos="2332"/>
              <w:tab w:val="right" w:leader="dot" w:pos="9461"/>
            </w:tabs>
          </w:pPr>
          <w:hyperlink w:anchor="_TOC_250350" w:history="1">
            <w:r w:rsidR="00681463">
              <w:t>9-I.B.</w:t>
            </w:r>
            <w:r w:rsidR="00681463">
              <w:tab/>
              <w:t>Requesting Tenancy Approval</w:t>
            </w:r>
            <w:r w:rsidR="00681463">
              <w:rPr>
                <w:spacing w:val="-7"/>
              </w:rPr>
              <w:t xml:space="preserve"> </w:t>
            </w:r>
            <w:r w:rsidR="00681463">
              <w:t>[Form</w:t>
            </w:r>
            <w:r w:rsidR="00681463">
              <w:rPr>
                <w:spacing w:val="-1"/>
              </w:rPr>
              <w:t xml:space="preserve"> </w:t>
            </w:r>
            <w:r w:rsidR="00681463">
              <w:t>HUD-52517]</w:t>
            </w:r>
            <w:r w:rsidR="00681463">
              <w:tab/>
              <w:t>204</w:t>
            </w:r>
          </w:hyperlink>
        </w:p>
        <w:p w:rsidR="004E13A5" w:rsidRDefault="00BA59C9">
          <w:pPr>
            <w:pStyle w:val="TOC4"/>
            <w:tabs>
              <w:tab w:val="left" w:pos="2332"/>
              <w:tab w:val="right" w:leader="dot" w:pos="9461"/>
            </w:tabs>
          </w:pPr>
          <w:hyperlink w:anchor="_TOC_250349" w:history="1">
            <w:r w:rsidR="00681463">
              <w:t>9-I.C.</w:t>
            </w:r>
            <w:r w:rsidR="00681463">
              <w:tab/>
              <w:t>Owner</w:t>
            </w:r>
            <w:r w:rsidR="00681463">
              <w:rPr>
                <w:spacing w:val="-1"/>
              </w:rPr>
              <w:t xml:space="preserve"> </w:t>
            </w:r>
            <w:r w:rsidR="00681463">
              <w:t>Participation</w:t>
            </w:r>
            <w:r w:rsidR="00681463">
              <w:tab/>
              <w:t>205</w:t>
            </w:r>
          </w:hyperlink>
        </w:p>
        <w:p w:rsidR="004E13A5" w:rsidRDefault="00BA59C9">
          <w:pPr>
            <w:pStyle w:val="TOC4"/>
            <w:tabs>
              <w:tab w:val="left" w:pos="2332"/>
              <w:tab w:val="right" w:leader="dot" w:pos="9461"/>
            </w:tabs>
          </w:pPr>
          <w:hyperlink w:anchor="_TOC_250348" w:history="1">
            <w:r w:rsidR="00681463">
              <w:t>9-I.D.</w:t>
            </w:r>
            <w:r w:rsidR="00681463">
              <w:tab/>
              <w:t>Eligible</w:t>
            </w:r>
            <w:r w:rsidR="00681463">
              <w:rPr>
                <w:spacing w:val="-1"/>
              </w:rPr>
              <w:t xml:space="preserve"> </w:t>
            </w:r>
            <w:r w:rsidR="00681463">
              <w:t>Units</w:t>
            </w:r>
            <w:r w:rsidR="00681463">
              <w:tab/>
              <w:t>205</w:t>
            </w:r>
          </w:hyperlink>
        </w:p>
        <w:p w:rsidR="004E13A5" w:rsidRDefault="00BA59C9">
          <w:pPr>
            <w:pStyle w:val="TOC8"/>
            <w:tabs>
              <w:tab w:val="right" w:leader="dot" w:pos="9461"/>
            </w:tabs>
          </w:pPr>
          <w:hyperlink w:anchor="_TOC_250347" w:history="1">
            <w:r w:rsidR="00681463">
              <w:t>Ineligible Units [24</w:t>
            </w:r>
            <w:r w:rsidR="00681463">
              <w:rPr>
                <w:spacing w:val="-1"/>
              </w:rPr>
              <w:t xml:space="preserve"> </w:t>
            </w:r>
            <w:r w:rsidR="00681463">
              <w:t>CFR</w:t>
            </w:r>
            <w:r w:rsidR="00681463">
              <w:rPr>
                <w:spacing w:val="-1"/>
              </w:rPr>
              <w:t xml:space="preserve"> </w:t>
            </w:r>
            <w:r w:rsidR="00681463">
              <w:t>982.352(a)]</w:t>
            </w:r>
            <w:r w:rsidR="00681463">
              <w:tab/>
              <w:t>203</w:t>
            </w:r>
          </w:hyperlink>
        </w:p>
        <w:p w:rsidR="004E13A5" w:rsidRDefault="00BA59C9">
          <w:pPr>
            <w:pStyle w:val="TOC8"/>
            <w:tabs>
              <w:tab w:val="right" w:leader="dot" w:pos="9461"/>
            </w:tabs>
          </w:pPr>
          <w:hyperlink w:anchor="_TOC_250346" w:history="1">
            <w:r w:rsidR="00681463">
              <w:t>PHA-Owned Units [24</w:t>
            </w:r>
            <w:r w:rsidR="00681463">
              <w:rPr>
                <w:spacing w:val="-1"/>
              </w:rPr>
              <w:t xml:space="preserve"> </w:t>
            </w:r>
            <w:r w:rsidR="00681463">
              <w:t>CFR</w:t>
            </w:r>
            <w:r w:rsidR="00681463">
              <w:rPr>
                <w:spacing w:val="-1"/>
              </w:rPr>
              <w:t xml:space="preserve"> </w:t>
            </w:r>
            <w:r w:rsidR="00681463">
              <w:t>982.352(b)]</w:t>
            </w:r>
            <w:r w:rsidR="00681463">
              <w:tab/>
              <w:t>206</w:t>
            </w:r>
          </w:hyperlink>
        </w:p>
        <w:p w:rsidR="004E13A5" w:rsidRDefault="00BA59C9">
          <w:pPr>
            <w:pStyle w:val="TOC8"/>
            <w:tabs>
              <w:tab w:val="right" w:leader="dot" w:pos="9461"/>
            </w:tabs>
          </w:pPr>
          <w:hyperlink w:anchor="_TOC_250345" w:history="1">
            <w:r w:rsidR="00681463">
              <w:t>Special Housing Types [24 CFR 982</w:t>
            </w:r>
            <w:r w:rsidR="00681463">
              <w:rPr>
                <w:spacing w:val="-3"/>
              </w:rPr>
              <w:t xml:space="preserve"> </w:t>
            </w:r>
            <w:r w:rsidR="00681463">
              <w:t>Subpart</w:t>
            </w:r>
            <w:r w:rsidR="00681463">
              <w:rPr>
                <w:spacing w:val="-1"/>
              </w:rPr>
              <w:t xml:space="preserve"> </w:t>
            </w:r>
            <w:r w:rsidR="00681463">
              <w:t>M]</w:t>
            </w:r>
            <w:r w:rsidR="00681463">
              <w:tab/>
              <w:t>206</w:t>
            </w:r>
          </w:hyperlink>
        </w:p>
        <w:p w:rsidR="004E13A5" w:rsidRDefault="00BA59C9">
          <w:pPr>
            <w:pStyle w:val="TOC8"/>
            <w:tabs>
              <w:tab w:val="right" w:leader="dot" w:pos="9461"/>
            </w:tabs>
          </w:pPr>
          <w:hyperlink w:anchor="_TOC_250344" w:history="1">
            <w:r w:rsidR="00681463">
              <w:t>Duplicative Assistance [24</w:t>
            </w:r>
            <w:r w:rsidR="00681463">
              <w:rPr>
                <w:spacing w:val="-3"/>
              </w:rPr>
              <w:t xml:space="preserve"> </w:t>
            </w:r>
            <w:r w:rsidR="00681463">
              <w:t>CFR</w:t>
            </w:r>
            <w:r w:rsidR="00681463">
              <w:rPr>
                <w:spacing w:val="-1"/>
              </w:rPr>
              <w:t xml:space="preserve"> </w:t>
            </w:r>
            <w:r w:rsidR="00681463">
              <w:t>982.352(c)]</w:t>
            </w:r>
            <w:r w:rsidR="00681463">
              <w:tab/>
              <w:t>206</w:t>
            </w:r>
          </w:hyperlink>
        </w:p>
        <w:p w:rsidR="004E13A5" w:rsidRDefault="00681463">
          <w:pPr>
            <w:pStyle w:val="TOC8"/>
          </w:pPr>
          <w:r>
            <w:t>Housing Quality Standards (</w:t>
          </w:r>
          <w:r w:rsidR="002C4221">
            <w:t>NSPIRE</w:t>
          </w:r>
          <w:r>
            <w:t>) [24 CFR 982.305 and</w:t>
          </w:r>
        </w:p>
        <w:p w:rsidR="004E13A5" w:rsidRDefault="00681463">
          <w:pPr>
            <w:pStyle w:val="TOC8"/>
            <w:tabs>
              <w:tab w:val="right" w:leader="dot" w:pos="9461"/>
            </w:tabs>
          </w:pPr>
          <w:r>
            <w:t>24</w:t>
          </w:r>
          <w:r>
            <w:rPr>
              <w:spacing w:val="-1"/>
            </w:rPr>
            <w:t xml:space="preserve"> </w:t>
          </w:r>
          <w:r>
            <w:t>CFR</w:t>
          </w:r>
          <w:r>
            <w:rPr>
              <w:spacing w:val="-1"/>
            </w:rPr>
            <w:t xml:space="preserve"> </w:t>
          </w:r>
          <w:r>
            <w:t>982.401]</w:t>
          </w:r>
          <w:r>
            <w:tab/>
            <w:t>206</w:t>
          </w:r>
        </w:p>
        <w:p w:rsidR="004E13A5" w:rsidRDefault="00BA59C9">
          <w:pPr>
            <w:pStyle w:val="TOC8"/>
            <w:tabs>
              <w:tab w:val="right" w:leader="dot" w:pos="9461"/>
            </w:tabs>
          </w:pPr>
          <w:hyperlink w:anchor="_TOC_250343" w:history="1">
            <w:r w:rsidR="00681463">
              <w:t>Unit Size</w:t>
            </w:r>
            <w:r w:rsidR="00681463">
              <w:tab/>
              <w:t>207</w:t>
            </w:r>
          </w:hyperlink>
        </w:p>
        <w:p w:rsidR="004E13A5" w:rsidRDefault="00BA59C9">
          <w:pPr>
            <w:pStyle w:val="TOC8"/>
            <w:tabs>
              <w:tab w:val="right" w:leader="dot" w:pos="9461"/>
            </w:tabs>
          </w:pPr>
          <w:hyperlink w:anchor="_TOC_250342" w:history="1">
            <w:r w:rsidR="00681463">
              <w:t>Rent Reasonableness [24 CFR 982.305 and 24</w:t>
            </w:r>
            <w:r w:rsidR="00681463">
              <w:rPr>
                <w:spacing w:val="-3"/>
              </w:rPr>
              <w:t xml:space="preserve"> </w:t>
            </w:r>
            <w:r w:rsidR="00681463">
              <w:t>CFR</w:t>
            </w:r>
            <w:r w:rsidR="00681463">
              <w:rPr>
                <w:spacing w:val="-1"/>
              </w:rPr>
              <w:t xml:space="preserve"> </w:t>
            </w:r>
            <w:r w:rsidR="00681463">
              <w:t>982.507]</w:t>
            </w:r>
            <w:r w:rsidR="00681463">
              <w:tab/>
              <w:t>207</w:t>
            </w:r>
          </w:hyperlink>
        </w:p>
        <w:p w:rsidR="004E13A5" w:rsidRDefault="00BA59C9">
          <w:pPr>
            <w:pStyle w:val="TOC8"/>
            <w:tabs>
              <w:tab w:val="right" w:leader="dot" w:pos="9461"/>
            </w:tabs>
          </w:pPr>
          <w:hyperlink w:anchor="_TOC_250341" w:history="1">
            <w:r w:rsidR="00681463">
              <w:t>Rent Burden [24</w:t>
            </w:r>
            <w:r w:rsidR="00681463">
              <w:rPr>
                <w:spacing w:val="-1"/>
              </w:rPr>
              <w:t xml:space="preserve"> </w:t>
            </w:r>
            <w:r w:rsidR="00681463">
              <w:t>CFR</w:t>
            </w:r>
            <w:r w:rsidR="00681463">
              <w:rPr>
                <w:spacing w:val="-1"/>
              </w:rPr>
              <w:t xml:space="preserve"> </w:t>
            </w:r>
            <w:r w:rsidR="00681463">
              <w:t>982.508]</w:t>
            </w:r>
            <w:r w:rsidR="00681463">
              <w:tab/>
              <w:t>207</w:t>
            </w:r>
          </w:hyperlink>
        </w:p>
        <w:p w:rsidR="004E13A5" w:rsidRDefault="00BA59C9">
          <w:pPr>
            <w:pStyle w:val="TOC4"/>
            <w:tabs>
              <w:tab w:val="left" w:pos="2332"/>
              <w:tab w:val="right" w:leader="dot" w:pos="9461"/>
            </w:tabs>
          </w:pPr>
          <w:hyperlink w:anchor="_TOC_250340" w:history="1">
            <w:r w:rsidR="00681463">
              <w:t>9-I.E.</w:t>
            </w:r>
            <w:r w:rsidR="00681463">
              <w:tab/>
              <w:t>Lease and</w:t>
            </w:r>
            <w:r w:rsidR="00681463">
              <w:rPr>
                <w:spacing w:val="1"/>
              </w:rPr>
              <w:t xml:space="preserve"> </w:t>
            </w:r>
            <w:r w:rsidR="00681463">
              <w:t>Tenancy</w:t>
            </w:r>
            <w:r w:rsidR="00681463">
              <w:rPr>
                <w:spacing w:val="-6"/>
              </w:rPr>
              <w:t xml:space="preserve"> </w:t>
            </w:r>
            <w:r w:rsidR="00681463">
              <w:t>Addendum</w:t>
            </w:r>
            <w:r w:rsidR="00681463">
              <w:tab/>
              <w:t>207</w:t>
            </w:r>
          </w:hyperlink>
        </w:p>
        <w:p w:rsidR="004E13A5" w:rsidRDefault="00BA59C9">
          <w:pPr>
            <w:pStyle w:val="TOC8"/>
            <w:tabs>
              <w:tab w:val="right" w:leader="dot" w:pos="9461"/>
            </w:tabs>
            <w:spacing w:before="1"/>
          </w:pPr>
          <w:hyperlink w:anchor="_TOC_250339" w:history="1">
            <w:r w:rsidR="00681463">
              <w:t>Lease Form and Tenancy Addendum [24</w:t>
            </w:r>
            <w:r w:rsidR="00681463">
              <w:rPr>
                <w:spacing w:val="-2"/>
              </w:rPr>
              <w:t xml:space="preserve"> </w:t>
            </w:r>
            <w:r w:rsidR="00681463">
              <w:t>CFR</w:t>
            </w:r>
            <w:r w:rsidR="00681463">
              <w:rPr>
                <w:spacing w:val="-1"/>
              </w:rPr>
              <w:t xml:space="preserve"> </w:t>
            </w:r>
            <w:r w:rsidR="00681463">
              <w:t>982.308]</w:t>
            </w:r>
            <w:r w:rsidR="00681463">
              <w:tab/>
              <w:t>207</w:t>
            </w:r>
          </w:hyperlink>
        </w:p>
        <w:p w:rsidR="004E13A5" w:rsidRDefault="00BA59C9">
          <w:pPr>
            <w:pStyle w:val="TOC8"/>
            <w:tabs>
              <w:tab w:val="right" w:leader="dot" w:pos="9461"/>
            </w:tabs>
          </w:pPr>
          <w:hyperlink w:anchor="_TOC_250338" w:history="1">
            <w:r w:rsidR="00681463">
              <w:t>Lease Information [24</w:t>
            </w:r>
            <w:r w:rsidR="00681463">
              <w:rPr>
                <w:spacing w:val="1"/>
              </w:rPr>
              <w:t xml:space="preserve"> </w:t>
            </w:r>
            <w:r w:rsidR="00681463">
              <w:t>CFR</w:t>
            </w:r>
            <w:r w:rsidR="00681463">
              <w:rPr>
                <w:spacing w:val="-1"/>
              </w:rPr>
              <w:t xml:space="preserve"> </w:t>
            </w:r>
            <w:r w:rsidR="00681463">
              <w:t>982.308(d)]</w:t>
            </w:r>
            <w:r w:rsidR="00681463">
              <w:tab/>
              <w:t>208</w:t>
            </w:r>
          </w:hyperlink>
        </w:p>
        <w:p w:rsidR="004E13A5" w:rsidRDefault="00BA59C9">
          <w:pPr>
            <w:pStyle w:val="TOC8"/>
            <w:tabs>
              <w:tab w:val="right" w:leader="dot" w:pos="9461"/>
            </w:tabs>
          </w:pPr>
          <w:hyperlink w:anchor="_TOC_250337" w:history="1">
            <w:r w:rsidR="00681463">
              <w:t>Term of</w:t>
            </w:r>
            <w:r w:rsidR="00681463">
              <w:rPr>
                <w:spacing w:val="-2"/>
              </w:rPr>
              <w:t xml:space="preserve"> </w:t>
            </w:r>
            <w:r w:rsidR="00681463">
              <w:t>Assisted</w:t>
            </w:r>
            <w:r w:rsidR="00681463">
              <w:rPr>
                <w:spacing w:val="-1"/>
              </w:rPr>
              <w:t xml:space="preserve"> </w:t>
            </w:r>
            <w:r w:rsidR="00681463">
              <w:t>Tenancy</w:t>
            </w:r>
            <w:r w:rsidR="00681463">
              <w:tab/>
              <w:t>208</w:t>
            </w:r>
          </w:hyperlink>
        </w:p>
        <w:p w:rsidR="004E13A5" w:rsidRDefault="00BA59C9">
          <w:pPr>
            <w:pStyle w:val="TOC8"/>
            <w:tabs>
              <w:tab w:val="right" w:leader="dot" w:pos="9461"/>
            </w:tabs>
          </w:pPr>
          <w:hyperlink w:anchor="_TOC_250336" w:history="1">
            <w:r w:rsidR="00681463">
              <w:t>Security Deposit [24 CFR 982.313 (a)</w:t>
            </w:r>
            <w:r w:rsidR="00681463">
              <w:rPr>
                <w:spacing w:val="-3"/>
              </w:rPr>
              <w:t xml:space="preserve"> </w:t>
            </w:r>
            <w:r w:rsidR="00681463">
              <w:t>and</w:t>
            </w:r>
            <w:r w:rsidR="00681463">
              <w:rPr>
                <w:spacing w:val="-1"/>
              </w:rPr>
              <w:t xml:space="preserve"> </w:t>
            </w:r>
            <w:r w:rsidR="00681463">
              <w:t>(b)]</w:t>
            </w:r>
            <w:r w:rsidR="00681463">
              <w:tab/>
              <w:t>208</w:t>
            </w:r>
          </w:hyperlink>
        </w:p>
        <w:p w:rsidR="004E13A5" w:rsidRDefault="00BA59C9">
          <w:pPr>
            <w:pStyle w:val="TOC8"/>
            <w:tabs>
              <w:tab w:val="right" w:leader="dot" w:pos="9461"/>
            </w:tabs>
          </w:pPr>
          <w:hyperlink w:anchor="_TOC_250335" w:history="1">
            <w:r w:rsidR="00681463">
              <w:t>Separate Non-Lease Agreements between Owner</w:t>
            </w:r>
            <w:r w:rsidR="00681463">
              <w:rPr>
                <w:spacing w:val="-5"/>
              </w:rPr>
              <w:t xml:space="preserve"> </w:t>
            </w:r>
            <w:r w:rsidR="00681463">
              <w:t>and</w:t>
            </w:r>
            <w:r w:rsidR="00681463">
              <w:rPr>
                <w:spacing w:val="-1"/>
              </w:rPr>
              <w:t xml:space="preserve"> </w:t>
            </w:r>
            <w:r w:rsidR="00681463">
              <w:t>Tenant</w:t>
            </w:r>
            <w:r w:rsidR="00681463">
              <w:tab/>
              <w:t>209</w:t>
            </w:r>
          </w:hyperlink>
        </w:p>
        <w:p w:rsidR="004E13A5" w:rsidRDefault="00BA59C9">
          <w:pPr>
            <w:pStyle w:val="TOC8"/>
            <w:tabs>
              <w:tab w:val="right" w:leader="dot" w:pos="9461"/>
            </w:tabs>
          </w:pPr>
          <w:hyperlink w:anchor="_TOC_250334" w:history="1">
            <w:r w:rsidR="00681463">
              <w:t>PHA Review</w:t>
            </w:r>
            <w:r w:rsidR="00681463">
              <w:rPr>
                <w:spacing w:val="-3"/>
              </w:rPr>
              <w:t xml:space="preserve"> </w:t>
            </w:r>
            <w:r w:rsidR="00681463">
              <w:t>of Lease</w:t>
            </w:r>
            <w:r w:rsidR="00681463">
              <w:tab/>
              <w:t>209</w:t>
            </w:r>
          </w:hyperlink>
        </w:p>
        <w:p w:rsidR="004E13A5" w:rsidRDefault="00BA59C9">
          <w:pPr>
            <w:pStyle w:val="TOC4"/>
            <w:tabs>
              <w:tab w:val="left" w:pos="2332"/>
              <w:tab w:val="right" w:leader="dot" w:pos="9461"/>
            </w:tabs>
          </w:pPr>
          <w:hyperlink w:anchor="_TOC_250333" w:history="1">
            <w:r w:rsidR="00681463">
              <w:t>9-I.F.</w:t>
            </w:r>
            <w:r w:rsidR="00681463">
              <w:tab/>
              <w:t>Tenancy Approval [24</w:t>
            </w:r>
            <w:r w:rsidR="00681463">
              <w:rPr>
                <w:spacing w:val="-5"/>
              </w:rPr>
              <w:t xml:space="preserve"> </w:t>
            </w:r>
            <w:r w:rsidR="00681463">
              <w:t>CFR</w:t>
            </w:r>
            <w:r w:rsidR="00681463">
              <w:rPr>
                <w:spacing w:val="-1"/>
              </w:rPr>
              <w:t xml:space="preserve"> </w:t>
            </w:r>
            <w:r w:rsidR="00681463">
              <w:t>982.305]</w:t>
            </w:r>
            <w:r w:rsidR="00681463">
              <w:tab/>
              <w:t>210</w:t>
            </w:r>
          </w:hyperlink>
        </w:p>
        <w:p w:rsidR="004E13A5" w:rsidRDefault="00BA59C9">
          <w:pPr>
            <w:pStyle w:val="TOC4"/>
            <w:tabs>
              <w:tab w:val="left" w:pos="2332"/>
              <w:tab w:val="right" w:leader="dot" w:pos="9461"/>
            </w:tabs>
          </w:pPr>
          <w:hyperlink w:anchor="_TOC_250332" w:history="1">
            <w:r w:rsidR="00681463">
              <w:t>9-I.G.</w:t>
            </w:r>
            <w:r w:rsidR="00681463">
              <w:tab/>
              <w:t>HAP Contract Execution [24</w:t>
            </w:r>
            <w:r w:rsidR="00681463">
              <w:rPr>
                <w:spacing w:val="-1"/>
              </w:rPr>
              <w:t xml:space="preserve"> </w:t>
            </w:r>
            <w:r w:rsidR="00681463">
              <w:t>CFR</w:t>
            </w:r>
            <w:r w:rsidR="00681463">
              <w:rPr>
                <w:spacing w:val="-1"/>
              </w:rPr>
              <w:t xml:space="preserve"> </w:t>
            </w:r>
            <w:r w:rsidR="00681463">
              <w:t>982.305]</w:t>
            </w:r>
            <w:r w:rsidR="00681463">
              <w:tab/>
              <w:t>211</w:t>
            </w:r>
          </w:hyperlink>
        </w:p>
        <w:p w:rsidR="004E13A5" w:rsidRDefault="00BA59C9">
          <w:pPr>
            <w:pStyle w:val="TOC4"/>
            <w:tabs>
              <w:tab w:val="left" w:pos="2332"/>
              <w:tab w:val="right" w:leader="dot" w:pos="9461"/>
            </w:tabs>
          </w:pPr>
          <w:hyperlink w:anchor="_TOC_250331" w:history="1">
            <w:r w:rsidR="00681463">
              <w:t>9-I.H.</w:t>
            </w:r>
            <w:r w:rsidR="00681463">
              <w:tab/>
              <w:t>Changes in Lease or Rent [24</w:t>
            </w:r>
            <w:r w:rsidR="00681463">
              <w:rPr>
                <w:spacing w:val="1"/>
              </w:rPr>
              <w:t xml:space="preserve"> </w:t>
            </w:r>
            <w:r w:rsidR="00681463">
              <w:t>CFR</w:t>
            </w:r>
            <w:r w:rsidR="00681463">
              <w:rPr>
                <w:spacing w:val="-1"/>
              </w:rPr>
              <w:t xml:space="preserve"> </w:t>
            </w:r>
            <w:r w:rsidR="00681463">
              <w:t>982.308]</w:t>
            </w:r>
            <w:r w:rsidR="00681463">
              <w:tab/>
              <w:t>212</w:t>
            </w:r>
          </w:hyperlink>
        </w:p>
        <w:p w:rsidR="004E13A5" w:rsidRDefault="00BA59C9">
          <w:pPr>
            <w:pStyle w:val="TOC1"/>
            <w:spacing w:before="79"/>
          </w:pPr>
          <w:hyperlink w:anchor="_TOC_250330" w:history="1">
            <w:r w:rsidR="00681463">
              <w:t>Chapter 10</w:t>
            </w:r>
          </w:hyperlink>
        </w:p>
        <w:p w:rsidR="004E13A5" w:rsidRDefault="00681463">
          <w:pPr>
            <w:pStyle w:val="TOC1"/>
            <w:ind w:right="23"/>
          </w:pPr>
          <w:r>
            <w:lastRenderedPageBreak/>
            <w:t>MOVING WITH CONTINUED ASSISTANCE AND PORTABILITY</w:t>
          </w:r>
        </w:p>
        <w:p w:rsidR="004E13A5" w:rsidRDefault="00BA59C9">
          <w:pPr>
            <w:pStyle w:val="TOC2"/>
            <w:tabs>
              <w:tab w:val="left" w:pos="1259"/>
              <w:tab w:val="left" w:leader="dot" w:pos="9001"/>
            </w:tabs>
          </w:pPr>
          <w:hyperlink w:anchor="_TOC_250329" w:history="1">
            <w:r w:rsidR="00681463">
              <w:t>PART</w:t>
            </w:r>
            <w:r w:rsidR="00681463">
              <w:rPr>
                <w:spacing w:val="1"/>
              </w:rPr>
              <w:t xml:space="preserve"> </w:t>
            </w:r>
            <w:r w:rsidR="00681463">
              <w:rPr>
                <w:spacing w:val="-3"/>
              </w:rPr>
              <w:t>I:</w:t>
            </w:r>
            <w:r w:rsidR="00681463">
              <w:rPr>
                <w:spacing w:val="-3"/>
              </w:rPr>
              <w:tab/>
            </w:r>
            <w:r w:rsidR="00681463">
              <w:t>MOVING WITH</w:t>
            </w:r>
            <w:r w:rsidR="00681463">
              <w:rPr>
                <w:spacing w:val="-6"/>
              </w:rPr>
              <w:t xml:space="preserve"> </w:t>
            </w:r>
            <w:r w:rsidR="00681463">
              <w:t>CONTINUED</w:t>
            </w:r>
            <w:r w:rsidR="00681463">
              <w:rPr>
                <w:spacing w:val="-2"/>
              </w:rPr>
              <w:t xml:space="preserve"> </w:t>
            </w:r>
            <w:r w:rsidR="00681463">
              <w:t>ASSISTANCE</w:t>
            </w:r>
            <w:r w:rsidR="00681463">
              <w:tab/>
              <w:t>213</w:t>
            </w:r>
          </w:hyperlink>
        </w:p>
        <w:p w:rsidR="004E13A5" w:rsidRDefault="00BA59C9">
          <w:pPr>
            <w:pStyle w:val="TOC4"/>
            <w:tabs>
              <w:tab w:val="left" w:pos="2332"/>
              <w:tab w:val="left" w:leader="dot" w:pos="9101"/>
            </w:tabs>
          </w:pPr>
          <w:hyperlink w:anchor="_TOC_250328" w:history="1">
            <w:r w:rsidR="00681463">
              <w:t>10-I.A.</w:t>
            </w:r>
            <w:r w:rsidR="00681463">
              <w:tab/>
              <w:t>Allowable</w:t>
            </w:r>
            <w:r w:rsidR="00681463">
              <w:rPr>
                <w:spacing w:val="-1"/>
              </w:rPr>
              <w:t xml:space="preserve"> </w:t>
            </w:r>
            <w:r w:rsidR="00681463">
              <w:t>Moves</w:t>
            </w:r>
            <w:r w:rsidR="00681463">
              <w:tab/>
              <w:t>213</w:t>
            </w:r>
          </w:hyperlink>
        </w:p>
        <w:p w:rsidR="004E13A5" w:rsidRDefault="00BA59C9">
          <w:pPr>
            <w:pStyle w:val="TOC4"/>
            <w:tabs>
              <w:tab w:val="left" w:pos="2332"/>
              <w:tab w:val="left" w:leader="dot" w:pos="9101"/>
            </w:tabs>
          </w:pPr>
          <w:hyperlink w:anchor="_TOC_250327" w:history="1">
            <w:r w:rsidR="00681463">
              <w:t>10-I.B.</w:t>
            </w:r>
            <w:r w:rsidR="00681463">
              <w:tab/>
              <w:t>Restrictions</w:t>
            </w:r>
            <w:r w:rsidR="00681463">
              <w:rPr>
                <w:spacing w:val="-1"/>
              </w:rPr>
              <w:t xml:space="preserve"> </w:t>
            </w:r>
            <w:r w:rsidR="00681463">
              <w:t>On</w:t>
            </w:r>
            <w:r w:rsidR="00681463">
              <w:rPr>
                <w:spacing w:val="-1"/>
              </w:rPr>
              <w:t xml:space="preserve"> </w:t>
            </w:r>
            <w:r w:rsidR="00681463">
              <w:t>Moves</w:t>
            </w:r>
            <w:r w:rsidR="00681463">
              <w:tab/>
              <w:t>214</w:t>
            </w:r>
          </w:hyperlink>
        </w:p>
        <w:p w:rsidR="004E13A5" w:rsidRDefault="00BA59C9">
          <w:pPr>
            <w:pStyle w:val="TOC8"/>
            <w:tabs>
              <w:tab w:val="left" w:leader="dot" w:pos="9101"/>
            </w:tabs>
          </w:pPr>
          <w:hyperlink w:anchor="_TOC_250326" w:history="1">
            <w:r w:rsidR="00681463">
              <w:t>Denial</w:t>
            </w:r>
            <w:r w:rsidR="00681463">
              <w:rPr>
                <w:spacing w:val="-1"/>
              </w:rPr>
              <w:t xml:space="preserve"> </w:t>
            </w:r>
            <w:r w:rsidR="00681463">
              <w:t>of</w:t>
            </w:r>
            <w:r w:rsidR="00681463">
              <w:rPr>
                <w:spacing w:val="-2"/>
              </w:rPr>
              <w:t xml:space="preserve"> </w:t>
            </w:r>
            <w:r w:rsidR="00681463">
              <w:t>Moves</w:t>
            </w:r>
            <w:r w:rsidR="00681463">
              <w:tab/>
              <w:t>215</w:t>
            </w:r>
          </w:hyperlink>
        </w:p>
        <w:p w:rsidR="004E13A5" w:rsidRDefault="00681463">
          <w:pPr>
            <w:pStyle w:val="TOC8"/>
            <w:tabs>
              <w:tab w:val="left" w:leader="dot" w:pos="9101"/>
            </w:tabs>
          </w:pPr>
          <w:r>
            <w:t>Restrictions on Elective Moves [24</w:t>
          </w:r>
          <w:r>
            <w:rPr>
              <w:spacing w:val="-5"/>
            </w:rPr>
            <w:t xml:space="preserve"> </w:t>
          </w:r>
          <w:r>
            <w:t>CFR</w:t>
          </w:r>
          <w:r>
            <w:rPr>
              <w:spacing w:val="-1"/>
            </w:rPr>
            <w:t xml:space="preserve"> </w:t>
          </w:r>
          <w:r>
            <w:t>982.314(c)]</w:t>
          </w:r>
          <w:r>
            <w:tab/>
            <w:t>215</w:t>
          </w:r>
        </w:p>
        <w:p w:rsidR="004E13A5" w:rsidRDefault="00BA59C9">
          <w:pPr>
            <w:pStyle w:val="TOC4"/>
            <w:tabs>
              <w:tab w:val="left" w:pos="2332"/>
              <w:tab w:val="left" w:leader="dot" w:pos="9101"/>
            </w:tabs>
          </w:pPr>
          <w:hyperlink w:anchor="_TOC_250325" w:history="1">
            <w:r w:rsidR="00681463">
              <w:t>10-I.C.</w:t>
            </w:r>
            <w:r w:rsidR="00681463">
              <w:tab/>
              <w:t>Moving</w:t>
            </w:r>
            <w:r w:rsidR="00681463">
              <w:rPr>
                <w:spacing w:val="-4"/>
              </w:rPr>
              <w:t xml:space="preserve"> </w:t>
            </w:r>
            <w:r w:rsidR="00681463">
              <w:t>Process</w:t>
            </w:r>
            <w:r w:rsidR="00681463">
              <w:tab/>
              <w:t>216</w:t>
            </w:r>
          </w:hyperlink>
        </w:p>
        <w:p w:rsidR="004E13A5" w:rsidRDefault="00BA59C9">
          <w:pPr>
            <w:pStyle w:val="TOC8"/>
            <w:tabs>
              <w:tab w:val="left" w:leader="dot" w:pos="9101"/>
            </w:tabs>
          </w:pPr>
          <w:hyperlink w:anchor="_TOC_250324" w:history="1">
            <w:r w:rsidR="00681463">
              <w:t>Notification</w:t>
            </w:r>
            <w:r w:rsidR="00681463">
              <w:tab/>
              <w:t>216</w:t>
            </w:r>
          </w:hyperlink>
        </w:p>
        <w:p w:rsidR="004E13A5" w:rsidRDefault="00BA59C9">
          <w:pPr>
            <w:pStyle w:val="TOC8"/>
            <w:tabs>
              <w:tab w:val="left" w:leader="dot" w:pos="9101"/>
            </w:tabs>
          </w:pPr>
          <w:hyperlink w:anchor="_TOC_250323" w:history="1">
            <w:r w:rsidR="00681463">
              <w:t>Approval</w:t>
            </w:r>
            <w:r w:rsidR="00681463">
              <w:tab/>
              <w:t>216</w:t>
            </w:r>
          </w:hyperlink>
        </w:p>
        <w:p w:rsidR="004E13A5" w:rsidRDefault="00BA59C9">
          <w:pPr>
            <w:pStyle w:val="TOC8"/>
            <w:tabs>
              <w:tab w:val="left" w:leader="dot" w:pos="9101"/>
            </w:tabs>
          </w:pPr>
          <w:hyperlink w:anchor="_TOC_250322" w:history="1">
            <w:r w:rsidR="00681463">
              <w:t>Reexamination of Family Income</w:t>
            </w:r>
            <w:r w:rsidR="00681463">
              <w:rPr>
                <w:spacing w:val="-7"/>
              </w:rPr>
              <w:t xml:space="preserve"> </w:t>
            </w:r>
            <w:r w:rsidR="00681463">
              <w:t>and</w:t>
            </w:r>
            <w:r w:rsidR="00681463">
              <w:rPr>
                <w:spacing w:val="-2"/>
              </w:rPr>
              <w:t xml:space="preserve"> </w:t>
            </w:r>
            <w:r w:rsidR="00681463">
              <w:t>Composition</w:t>
            </w:r>
            <w:r w:rsidR="00681463">
              <w:tab/>
              <w:t>216</w:t>
            </w:r>
          </w:hyperlink>
        </w:p>
        <w:p w:rsidR="004E13A5" w:rsidRDefault="00BA59C9">
          <w:pPr>
            <w:pStyle w:val="TOC8"/>
            <w:tabs>
              <w:tab w:val="left" w:leader="dot" w:pos="9101"/>
            </w:tabs>
          </w:pPr>
          <w:hyperlink w:anchor="_TOC_250321" w:history="1">
            <w:r w:rsidR="00681463">
              <w:t>Voucher Issuance</w:t>
            </w:r>
            <w:r w:rsidR="00681463">
              <w:rPr>
                <w:spacing w:val="-3"/>
              </w:rPr>
              <w:t xml:space="preserve"> </w:t>
            </w:r>
            <w:r w:rsidR="00681463">
              <w:t>and</w:t>
            </w:r>
            <w:r w:rsidR="00681463">
              <w:rPr>
                <w:spacing w:val="-1"/>
              </w:rPr>
              <w:t xml:space="preserve"> </w:t>
            </w:r>
            <w:r w:rsidR="00681463">
              <w:t>Briefing</w:t>
            </w:r>
            <w:r w:rsidR="00681463">
              <w:tab/>
              <w:t>216</w:t>
            </w:r>
          </w:hyperlink>
        </w:p>
        <w:p w:rsidR="004E13A5" w:rsidRDefault="00BA59C9">
          <w:pPr>
            <w:pStyle w:val="TOC8"/>
            <w:tabs>
              <w:tab w:val="left" w:leader="dot" w:pos="9101"/>
            </w:tabs>
            <w:spacing w:before="1"/>
          </w:pPr>
          <w:hyperlink w:anchor="_TOC_250320" w:history="1">
            <w:r w:rsidR="00681463">
              <w:t>Housing Assistance Payments [24</w:t>
            </w:r>
            <w:r w:rsidR="00681463">
              <w:rPr>
                <w:spacing w:val="-6"/>
              </w:rPr>
              <w:t xml:space="preserve"> </w:t>
            </w:r>
            <w:r w:rsidR="00681463">
              <w:t>CFR</w:t>
            </w:r>
            <w:r w:rsidR="00681463">
              <w:rPr>
                <w:spacing w:val="-1"/>
              </w:rPr>
              <w:t xml:space="preserve"> </w:t>
            </w:r>
            <w:r w:rsidR="00681463">
              <w:t>982.311(d)]</w:t>
            </w:r>
            <w:r w:rsidR="00681463">
              <w:tab/>
              <w:t>217</w:t>
            </w:r>
          </w:hyperlink>
        </w:p>
        <w:p w:rsidR="004E13A5" w:rsidRDefault="00BA59C9">
          <w:pPr>
            <w:pStyle w:val="TOC8"/>
            <w:tabs>
              <w:tab w:val="left" w:leader="dot" w:pos="9101"/>
            </w:tabs>
          </w:pPr>
          <w:hyperlink w:anchor="_TOC_250319" w:history="1">
            <w:r w:rsidR="00681463">
              <w:t>Zero HAP Families Who Wish to Move [24</w:t>
            </w:r>
            <w:r w:rsidR="00681463">
              <w:rPr>
                <w:spacing w:val="-7"/>
              </w:rPr>
              <w:t xml:space="preserve"> </w:t>
            </w:r>
            <w:r w:rsidR="00681463">
              <w:t>CFR</w:t>
            </w:r>
            <w:r w:rsidR="00681463">
              <w:rPr>
                <w:spacing w:val="-1"/>
              </w:rPr>
              <w:t xml:space="preserve"> </w:t>
            </w:r>
            <w:r w:rsidR="00681463">
              <w:t>982.455]</w:t>
            </w:r>
            <w:r w:rsidR="00681463">
              <w:tab/>
              <w:t>217</w:t>
            </w:r>
          </w:hyperlink>
        </w:p>
        <w:p w:rsidR="004E13A5" w:rsidRDefault="00BA59C9">
          <w:pPr>
            <w:pStyle w:val="TOC2"/>
            <w:tabs>
              <w:tab w:val="left" w:pos="1259"/>
              <w:tab w:val="left" w:leader="dot" w:pos="9001"/>
            </w:tabs>
          </w:pPr>
          <w:hyperlink w:anchor="_TOC_250318" w:history="1">
            <w:r w:rsidR="00681463">
              <w:t>PART</w:t>
            </w:r>
            <w:r w:rsidR="00681463">
              <w:rPr>
                <w:spacing w:val="2"/>
              </w:rPr>
              <w:t xml:space="preserve"> </w:t>
            </w:r>
            <w:r w:rsidR="00681463">
              <w:rPr>
                <w:spacing w:val="-3"/>
              </w:rPr>
              <w:t>II:</w:t>
            </w:r>
            <w:r w:rsidR="00681463">
              <w:rPr>
                <w:spacing w:val="-3"/>
              </w:rPr>
              <w:tab/>
            </w:r>
            <w:r w:rsidR="00681463">
              <w:t>PORTABILITY</w:t>
            </w:r>
            <w:r w:rsidR="00681463">
              <w:tab/>
              <w:t>217</w:t>
            </w:r>
          </w:hyperlink>
        </w:p>
        <w:p w:rsidR="004E13A5" w:rsidRDefault="00BA59C9">
          <w:pPr>
            <w:pStyle w:val="TOC4"/>
            <w:tabs>
              <w:tab w:val="left" w:leader="dot" w:pos="9101"/>
            </w:tabs>
          </w:pPr>
          <w:hyperlink w:anchor="_TOC_250317" w:history="1">
            <w:r w:rsidR="00681463">
              <w:t xml:space="preserve">10-II.A.  </w:t>
            </w:r>
            <w:r w:rsidR="00681463">
              <w:rPr>
                <w:spacing w:val="8"/>
              </w:rPr>
              <w:t xml:space="preserve"> </w:t>
            </w:r>
            <w:r w:rsidR="00681463">
              <w:t>Overview</w:t>
            </w:r>
            <w:r w:rsidR="00681463">
              <w:tab/>
              <w:t>217</w:t>
            </w:r>
          </w:hyperlink>
        </w:p>
        <w:p w:rsidR="004E13A5" w:rsidRDefault="00BA59C9">
          <w:pPr>
            <w:pStyle w:val="TOC4"/>
            <w:tabs>
              <w:tab w:val="left" w:pos="2332"/>
              <w:tab w:val="left" w:leader="dot" w:pos="9101"/>
            </w:tabs>
          </w:pPr>
          <w:hyperlink w:anchor="_TOC_250316" w:history="1">
            <w:r w:rsidR="00681463">
              <w:t>10-II.B.</w:t>
            </w:r>
            <w:r w:rsidR="00681463">
              <w:tab/>
              <w:t>Initial</w:t>
            </w:r>
            <w:r w:rsidR="00681463">
              <w:rPr>
                <w:spacing w:val="-1"/>
              </w:rPr>
              <w:t xml:space="preserve"> </w:t>
            </w:r>
            <w:r w:rsidR="00681463">
              <w:t>PHA</w:t>
            </w:r>
            <w:r w:rsidR="00681463">
              <w:rPr>
                <w:spacing w:val="-2"/>
              </w:rPr>
              <w:t xml:space="preserve"> </w:t>
            </w:r>
            <w:r w:rsidR="00681463">
              <w:t>Role</w:t>
            </w:r>
            <w:r w:rsidR="00681463">
              <w:tab/>
              <w:t>218</w:t>
            </w:r>
          </w:hyperlink>
        </w:p>
        <w:p w:rsidR="004E13A5" w:rsidRDefault="00BA59C9">
          <w:pPr>
            <w:pStyle w:val="TOC8"/>
            <w:tabs>
              <w:tab w:val="left" w:leader="dot" w:pos="9101"/>
            </w:tabs>
          </w:pPr>
          <w:hyperlink w:anchor="_TOC_250315" w:history="1">
            <w:r w:rsidR="00681463">
              <w:t>Allowable Moves</w:t>
            </w:r>
            <w:r w:rsidR="00681463">
              <w:rPr>
                <w:spacing w:val="-1"/>
              </w:rPr>
              <w:t xml:space="preserve"> </w:t>
            </w:r>
            <w:r w:rsidR="00681463">
              <w:t>under Portability</w:t>
            </w:r>
            <w:r w:rsidR="00681463">
              <w:tab/>
              <w:t>218</w:t>
            </w:r>
          </w:hyperlink>
        </w:p>
        <w:p w:rsidR="004E13A5" w:rsidRDefault="00BA59C9">
          <w:pPr>
            <w:pStyle w:val="TOC8"/>
            <w:tabs>
              <w:tab w:val="left" w:leader="dot" w:pos="9101"/>
            </w:tabs>
          </w:pPr>
          <w:hyperlink w:anchor="_TOC_250314" w:history="1">
            <w:r w:rsidR="00681463">
              <w:t>Determining Income</w:t>
            </w:r>
            <w:r w:rsidR="00681463">
              <w:rPr>
                <w:spacing w:val="-2"/>
              </w:rPr>
              <w:t xml:space="preserve"> </w:t>
            </w:r>
            <w:r w:rsidR="00681463">
              <w:t>Eligibility</w:t>
            </w:r>
            <w:r w:rsidR="00681463">
              <w:tab/>
              <w:t>219</w:t>
            </w:r>
          </w:hyperlink>
        </w:p>
        <w:p w:rsidR="004E13A5" w:rsidRDefault="00BA59C9">
          <w:pPr>
            <w:pStyle w:val="TOC8"/>
            <w:tabs>
              <w:tab w:val="left" w:leader="dot" w:pos="9101"/>
            </w:tabs>
          </w:pPr>
          <w:hyperlink w:anchor="_TOC_250313" w:history="1">
            <w:r w:rsidR="00681463">
              <w:t>Reexamination of Family Income</w:t>
            </w:r>
            <w:r w:rsidR="00681463">
              <w:rPr>
                <w:spacing w:val="-7"/>
              </w:rPr>
              <w:t xml:space="preserve"> </w:t>
            </w:r>
            <w:r w:rsidR="00681463">
              <w:t>and</w:t>
            </w:r>
            <w:r w:rsidR="00681463">
              <w:rPr>
                <w:spacing w:val="-2"/>
              </w:rPr>
              <w:t xml:space="preserve"> </w:t>
            </w:r>
            <w:r w:rsidR="00681463">
              <w:t>Composition</w:t>
            </w:r>
            <w:r w:rsidR="00681463">
              <w:tab/>
              <w:t>220</w:t>
            </w:r>
          </w:hyperlink>
        </w:p>
        <w:p w:rsidR="004E13A5" w:rsidRDefault="00BA59C9">
          <w:pPr>
            <w:pStyle w:val="TOC8"/>
            <w:tabs>
              <w:tab w:val="left" w:leader="dot" w:pos="9101"/>
            </w:tabs>
          </w:pPr>
          <w:hyperlink w:anchor="_TOC_250312" w:history="1">
            <w:r w:rsidR="00681463">
              <w:t>Briefing</w:t>
            </w:r>
            <w:r w:rsidR="00681463">
              <w:tab/>
              <w:t>220</w:t>
            </w:r>
          </w:hyperlink>
        </w:p>
        <w:p w:rsidR="004E13A5" w:rsidRDefault="00BA59C9">
          <w:pPr>
            <w:pStyle w:val="TOC8"/>
            <w:tabs>
              <w:tab w:val="left" w:leader="dot" w:pos="9101"/>
            </w:tabs>
          </w:pPr>
          <w:hyperlink w:anchor="_TOC_250311" w:history="1">
            <w:r w:rsidR="00681463">
              <w:t>Voucher Issuance</w:t>
            </w:r>
            <w:r w:rsidR="00681463">
              <w:rPr>
                <w:spacing w:val="-1"/>
              </w:rPr>
              <w:t xml:space="preserve"> </w:t>
            </w:r>
            <w:r w:rsidR="00681463">
              <w:t>and</w:t>
            </w:r>
            <w:r w:rsidR="00681463">
              <w:rPr>
                <w:spacing w:val="-2"/>
              </w:rPr>
              <w:t xml:space="preserve"> </w:t>
            </w:r>
            <w:r w:rsidR="00681463">
              <w:t>Term</w:t>
            </w:r>
            <w:r w:rsidR="00681463">
              <w:tab/>
              <w:t>220</w:t>
            </w:r>
          </w:hyperlink>
        </w:p>
        <w:p w:rsidR="004E13A5" w:rsidRDefault="00BA59C9">
          <w:pPr>
            <w:pStyle w:val="TOC8"/>
            <w:tabs>
              <w:tab w:val="left" w:leader="dot" w:pos="9101"/>
            </w:tabs>
          </w:pPr>
          <w:hyperlink w:anchor="_TOC_250310" w:history="1">
            <w:r w:rsidR="00681463">
              <w:t>Voucher Extensions</w:t>
            </w:r>
            <w:r w:rsidR="00681463">
              <w:rPr>
                <w:spacing w:val="-3"/>
              </w:rPr>
              <w:t xml:space="preserve"> </w:t>
            </w:r>
            <w:r w:rsidR="00681463">
              <w:t>and Expiration</w:t>
            </w:r>
            <w:r w:rsidR="00681463">
              <w:tab/>
              <w:t>221</w:t>
            </w:r>
          </w:hyperlink>
        </w:p>
        <w:p w:rsidR="004E13A5" w:rsidRDefault="00BA59C9">
          <w:pPr>
            <w:pStyle w:val="TOC8"/>
            <w:tabs>
              <w:tab w:val="left" w:leader="dot" w:pos="9101"/>
            </w:tabs>
          </w:pPr>
          <w:hyperlink w:anchor="_TOC_250309" w:history="1">
            <w:r w:rsidR="00681463">
              <w:t>Preapproval Contact with the</w:t>
            </w:r>
            <w:r w:rsidR="00681463">
              <w:rPr>
                <w:spacing w:val="-3"/>
              </w:rPr>
              <w:t xml:space="preserve"> </w:t>
            </w:r>
            <w:r w:rsidR="00681463">
              <w:t>Receiving</w:t>
            </w:r>
            <w:r w:rsidR="00681463">
              <w:rPr>
                <w:spacing w:val="-5"/>
              </w:rPr>
              <w:t xml:space="preserve"> </w:t>
            </w:r>
            <w:r w:rsidR="00681463">
              <w:t>PHA</w:t>
            </w:r>
            <w:r w:rsidR="00681463">
              <w:tab/>
              <w:t>221</w:t>
            </w:r>
          </w:hyperlink>
        </w:p>
        <w:p w:rsidR="004E13A5" w:rsidRDefault="00BA59C9">
          <w:pPr>
            <w:pStyle w:val="TOC8"/>
            <w:tabs>
              <w:tab w:val="left" w:leader="dot" w:pos="9101"/>
            </w:tabs>
          </w:pPr>
          <w:hyperlink w:anchor="_TOC_250308" w:history="1">
            <w:r w:rsidR="00681463">
              <w:t>Initial Notification to the</w:t>
            </w:r>
            <w:r w:rsidR="00681463">
              <w:rPr>
                <w:spacing w:val="-3"/>
              </w:rPr>
              <w:t xml:space="preserve"> </w:t>
            </w:r>
            <w:r w:rsidR="00681463">
              <w:t>Receiving</w:t>
            </w:r>
            <w:r w:rsidR="00681463">
              <w:rPr>
                <w:spacing w:val="-4"/>
              </w:rPr>
              <w:t xml:space="preserve"> </w:t>
            </w:r>
            <w:r w:rsidR="00681463">
              <w:t>PHA</w:t>
            </w:r>
            <w:r w:rsidR="00681463">
              <w:tab/>
              <w:t>221</w:t>
            </w:r>
          </w:hyperlink>
        </w:p>
        <w:p w:rsidR="004E13A5" w:rsidRDefault="00BA59C9">
          <w:pPr>
            <w:pStyle w:val="TOC8"/>
            <w:tabs>
              <w:tab w:val="left" w:leader="dot" w:pos="9101"/>
            </w:tabs>
          </w:pPr>
          <w:hyperlink w:anchor="_TOC_250307" w:history="1">
            <w:r w:rsidR="00681463">
              <w:t>Sending Documentation to the</w:t>
            </w:r>
            <w:r w:rsidR="00681463">
              <w:rPr>
                <w:spacing w:val="-4"/>
              </w:rPr>
              <w:t xml:space="preserve"> </w:t>
            </w:r>
            <w:r w:rsidR="00681463">
              <w:t>Receiving</w:t>
            </w:r>
            <w:r w:rsidR="00681463">
              <w:rPr>
                <w:spacing w:val="-4"/>
              </w:rPr>
              <w:t xml:space="preserve"> </w:t>
            </w:r>
            <w:r w:rsidR="00681463">
              <w:t>PHA</w:t>
            </w:r>
            <w:r w:rsidR="00681463">
              <w:tab/>
              <w:t>221</w:t>
            </w:r>
          </w:hyperlink>
        </w:p>
        <w:p w:rsidR="004E13A5" w:rsidRDefault="00681463">
          <w:pPr>
            <w:pStyle w:val="TOC8"/>
            <w:tabs>
              <w:tab w:val="left" w:leader="dot" w:pos="9101"/>
            </w:tabs>
          </w:pPr>
          <w:r>
            <w:t>Initial Billing Deadline [Notice</w:t>
          </w:r>
          <w:r>
            <w:rPr>
              <w:spacing w:val="-8"/>
            </w:rPr>
            <w:t xml:space="preserve"> </w:t>
          </w:r>
          <w:r>
            <w:t>PIH</w:t>
          </w:r>
          <w:r>
            <w:rPr>
              <w:spacing w:val="-1"/>
            </w:rPr>
            <w:t xml:space="preserve"> </w:t>
          </w:r>
          <w:r>
            <w:t>2012-42]</w:t>
          </w:r>
          <w:r>
            <w:tab/>
            <w:t>222</w:t>
          </w:r>
        </w:p>
        <w:p w:rsidR="004E13A5" w:rsidRDefault="00681463">
          <w:pPr>
            <w:pStyle w:val="TOC8"/>
          </w:pPr>
          <w:r>
            <w:t>Monthly Billing Payments [24 CFR 982.355(e), Notice</w:t>
          </w:r>
        </w:p>
        <w:p w:rsidR="004E13A5" w:rsidRDefault="00681463">
          <w:pPr>
            <w:pStyle w:val="TOC8"/>
            <w:tabs>
              <w:tab w:val="left" w:leader="dot" w:pos="9101"/>
            </w:tabs>
          </w:pPr>
          <w:r>
            <w:t>PIH</w:t>
          </w:r>
          <w:r>
            <w:rPr>
              <w:spacing w:val="-2"/>
            </w:rPr>
            <w:t xml:space="preserve"> </w:t>
          </w:r>
          <w:r>
            <w:t>2012-42]</w:t>
          </w:r>
          <w:r>
            <w:tab/>
            <w:t>223</w:t>
          </w:r>
        </w:p>
        <w:p w:rsidR="004E13A5" w:rsidRDefault="00BA59C9">
          <w:pPr>
            <w:pStyle w:val="TOC8"/>
            <w:tabs>
              <w:tab w:val="left" w:leader="dot" w:pos="9101"/>
            </w:tabs>
          </w:pPr>
          <w:hyperlink w:anchor="_TOC_250306" w:history="1">
            <w:r w:rsidR="00681463">
              <w:t>Annual Updates of</w:t>
            </w:r>
            <w:r w:rsidR="00681463">
              <w:rPr>
                <w:spacing w:val="-3"/>
              </w:rPr>
              <w:t xml:space="preserve"> </w:t>
            </w:r>
            <w:r w:rsidR="00681463">
              <w:t>Form</w:t>
            </w:r>
            <w:r w:rsidR="00681463">
              <w:rPr>
                <w:spacing w:val="-1"/>
              </w:rPr>
              <w:t xml:space="preserve"> </w:t>
            </w:r>
            <w:r w:rsidR="00681463">
              <w:t>HUD-50058</w:t>
            </w:r>
            <w:r w:rsidR="00681463">
              <w:tab/>
              <w:t>223</w:t>
            </w:r>
          </w:hyperlink>
        </w:p>
        <w:p w:rsidR="004E13A5" w:rsidRDefault="00BA59C9">
          <w:pPr>
            <w:pStyle w:val="TOC8"/>
            <w:tabs>
              <w:tab w:val="left" w:leader="dot" w:pos="9101"/>
            </w:tabs>
          </w:pPr>
          <w:hyperlink w:anchor="_TOC_250305" w:history="1">
            <w:r w:rsidR="00681463">
              <w:t>Denial or Termination of Assistance [24</w:t>
            </w:r>
            <w:r w:rsidR="00681463">
              <w:rPr>
                <w:spacing w:val="-5"/>
              </w:rPr>
              <w:t xml:space="preserve"> </w:t>
            </w:r>
            <w:r w:rsidR="00681463">
              <w:t>CFR</w:t>
            </w:r>
            <w:r w:rsidR="00681463">
              <w:rPr>
                <w:spacing w:val="-1"/>
              </w:rPr>
              <w:t xml:space="preserve"> </w:t>
            </w:r>
            <w:r w:rsidR="00681463">
              <w:t>982.355(c)(9)]</w:t>
            </w:r>
            <w:r w:rsidR="00681463">
              <w:tab/>
              <w:t>223</w:t>
            </w:r>
          </w:hyperlink>
        </w:p>
        <w:p w:rsidR="004E13A5" w:rsidRDefault="00BA59C9">
          <w:pPr>
            <w:pStyle w:val="TOC4"/>
            <w:tabs>
              <w:tab w:val="left" w:pos="2332"/>
              <w:tab w:val="left" w:leader="dot" w:pos="9101"/>
            </w:tabs>
          </w:pPr>
          <w:hyperlink w:anchor="_TOC_250304" w:history="1">
            <w:r w:rsidR="00681463">
              <w:t>10-II.C.</w:t>
            </w:r>
            <w:r w:rsidR="00681463">
              <w:tab/>
              <w:t>Receiving</w:t>
            </w:r>
            <w:r w:rsidR="00681463">
              <w:rPr>
                <w:spacing w:val="-4"/>
              </w:rPr>
              <w:t xml:space="preserve"> </w:t>
            </w:r>
            <w:r w:rsidR="00681463">
              <w:t>PHA Role</w:t>
            </w:r>
            <w:r w:rsidR="00681463">
              <w:tab/>
              <w:t>223</w:t>
            </w:r>
          </w:hyperlink>
        </w:p>
        <w:p w:rsidR="004E13A5" w:rsidRDefault="00681463">
          <w:pPr>
            <w:pStyle w:val="TOC8"/>
            <w:tabs>
              <w:tab w:val="left" w:leader="dot" w:pos="9101"/>
            </w:tabs>
          </w:pPr>
          <w:r>
            <w:t>Responding to Initial</w:t>
          </w:r>
          <w:r>
            <w:rPr>
              <w:spacing w:val="-5"/>
            </w:rPr>
            <w:t xml:space="preserve"> </w:t>
          </w:r>
          <w:r>
            <w:t>PHA’s</w:t>
          </w:r>
          <w:r>
            <w:rPr>
              <w:spacing w:val="-2"/>
            </w:rPr>
            <w:t xml:space="preserve"> </w:t>
          </w:r>
          <w:r>
            <w:t>Request</w:t>
          </w:r>
          <w:r>
            <w:tab/>
            <w:t>224</w:t>
          </w:r>
        </w:p>
        <w:p w:rsidR="004E13A5" w:rsidRDefault="00BA59C9">
          <w:pPr>
            <w:pStyle w:val="TOC8"/>
            <w:tabs>
              <w:tab w:val="left" w:leader="dot" w:pos="9101"/>
            </w:tabs>
          </w:pPr>
          <w:hyperlink w:anchor="_TOC_250303" w:history="1">
            <w:r w:rsidR="00681463">
              <w:t>Initial Contact</w:t>
            </w:r>
            <w:r w:rsidR="00681463">
              <w:rPr>
                <w:spacing w:val="-2"/>
              </w:rPr>
              <w:t xml:space="preserve"> </w:t>
            </w:r>
            <w:r w:rsidR="00681463">
              <w:t>with</w:t>
            </w:r>
            <w:r w:rsidR="00681463">
              <w:rPr>
                <w:spacing w:val="-1"/>
              </w:rPr>
              <w:t xml:space="preserve"> </w:t>
            </w:r>
            <w:r w:rsidR="00681463">
              <w:t>Family</w:t>
            </w:r>
            <w:r w:rsidR="00681463">
              <w:tab/>
              <w:t>224</w:t>
            </w:r>
          </w:hyperlink>
        </w:p>
        <w:p w:rsidR="004E13A5" w:rsidRDefault="00BA59C9">
          <w:pPr>
            <w:pStyle w:val="TOC8"/>
            <w:tabs>
              <w:tab w:val="left" w:leader="dot" w:pos="9101"/>
            </w:tabs>
          </w:pPr>
          <w:hyperlink w:anchor="_TOC_250302" w:history="1">
            <w:r w:rsidR="00681463">
              <w:t>Briefing</w:t>
            </w:r>
            <w:r w:rsidR="00681463">
              <w:tab/>
              <w:t>224</w:t>
            </w:r>
          </w:hyperlink>
        </w:p>
        <w:p w:rsidR="004E13A5" w:rsidRDefault="00BA59C9">
          <w:pPr>
            <w:pStyle w:val="TOC8"/>
            <w:tabs>
              <w:tab w:val="left" w:leader="dot" w:pos="9101"/>
            </w:tabs>
          </w:pPr>
          <w:hyperlink w:anchor="_TOC_250301" w:history="1">
            <w:r w:rsidR="00681463">
              <w:t>Income Eligibility</w:t>
            </w:r>
            <w:r w:rsidR="00681463">
              <w:rPr>
                <w:spacing w:val="-8"/>
              </w:rPr>
              <w:t xml:space="preserve"> </w:t>
            </w:r>
            <w:r w:rsidR="00681463">
              <w:t>and</w:t>
            </w:r>
            <w:r w:rsidR="00681463">
              <w:rPr>
                <w:spacing w:val="-1"/>
              </w:rPr>
              <w:t xml:space="preserve"> </w:t>
            </w:r>
            <w:r w:rsidR="00681463">
              <w:t>Reexamination</w:t>
            </w:r>
            <w:r w:rsidR="00681463">
              <w:tab/>
              <w:t>224</w:t>
            </w:r>
          </w:hyperlink>
        </w:p>
        <w:p w:rsidR="004E13A5" w:rsidRDefault="00BA59C9">
          <w:pPr>
            <w:pStyle w:val="TOC8"/>
            <w:tabs>
              <w:tab w:val="left" w:leader="dot" w:pos="9101"/>
            </w:tabs>
          </w:pPr>
          <w:hyperlink w:anchor="_TOC_250300" w:history="1">
            <w:r w:rsidR="00681463">
              <w:t>Voucher Issuance</w:t>
            </w:r>
            <w:r w:rsidR="00681463">
              <w:tab/>
              <w:t>225</w:t>
            </w:r>
          </w:hyperlink>
        </w:p>
        <w:p w:rsidR="004E13A5" w:rsidRDefault="00BA59C9">
          <w:pPr>
            <w:pStyle w:val="TOC8"/>
            <w:tabs>
              <w:tab w:val="left" w:leader="dot" w:pos="9101"/>
            </w:tabs>
          </w:pPr>
          <w:hyperlink w:anchor="_TOC_250299" w:history="1">
            <w:r w:rsidR="00681463">
              <w:t>Notifying the</w:t>
            </w:r>
            <w:r w:rsidR="00681463">
              <w:rPr>
                <w:spacing w:val="-4"/>
              </w:rPr>
              <w:t xml:space="preserve"> </w:t>
            </w:r>
            <w:r w:rsidR="00681463">
              <w:t>Initial</w:t>
            </w:r>
            <w:r w:rsidR="00681463">
              <w:rPr>
                <w:spacing w:val="-1"/>
              </w:rPr>
              <w:t xml:space="preserve"> </w:t>
            </w:r>
            <w:r w:rsidR="00681463">
              <w:t>PHA</w:t>
            </w:r>
            <w:r w:rsidR="00681463">
              <w:tab/>
              <w:t>226</w:t>
            </w:r>
          </w:hyperlink>
        </w:p>
        <w:p w:rsidR="004E13A5" w:rsidRDefault="00BA59C9">
          <w:pPr>
            <w:pStyle w:val="TOC8"/>
            <w:tabs>
              <w:tab w:val="left" w:leader="dot" w:pos="9101"/>
            </w:tabs>
          </w:pPr>
          <w:hyperlink w:anchor="_TOC_250298" w:history="1">
            <w:r w:rsidR="00681463">
              <w:t>Administering a Portable</w:t>
            </w:r>
            <w:r w:rsidR="00681463">
              <w:rPr>
                <w:spacing w:val="-7"/>
              </w:rPr>
              <w:t xml:space="preserve"> </w:t>
            </w:r>
            <w:r w:rsidR="00681463">
              <w:t>Family’s</w:t>
            </w:r>
            <w:r w:rsidR="00681463">
              <w:rPr>
                <w:spacing w:val="-2"/>
              </w:rPr>
              <w:t xml:space="preserve"> </w:t>
            </w:r>
            <w:r w:rsidR="00681463">
              <w:t>Voucher</w:t>
            </w:r>
            <w:r w:rsidR="00681463">
              <w:tab/>
              <w:t>226</w:t>
            </w:r>
          </w:hyperlink>
        </w:p>
        <w:p w:rsidR="004E13A5" w:rsidRDefault="00BA59C9">
          <w:pPr>
            <w:pStyle w:val="TOC8"/>
            <w:tabs>
              <w:tab w:val="left" w:leader="dot" w:pos="9101"/>
            </w:tabs>
          </w:pPr>
          <w:hyperlink w:anchor="_TOC_250297" w:history="1">
            <w:r w:rsidR="00681463">
              <w:t>Absorbing a</w:t>
            </w:r>
            <w:r w:rsidR="00681463">
              <w:rPr>
                <w:spacing w:val="-2"/>
              </w:rPr>
              <w:t xml:space="preserve"> </w:t>
            </w:r>
            <w:r w:rsidR="00681463">
              <w:t>Portable Family</w:t>
            </w:r>
            <w:r w:rsidR="00681463">
              <w:tab/>
              <w:t>229</w:t>
            </w:r>
          </w:hyperlink>
        </w:p>
        <w:p w:rsidR="004E13A5" w:rsidRDefault="00BA59C9">
          <w:pPr>
            <w:spacing w:before="516"/>
            <w:ind w:left="3652" w:right="3673" w:hanging="1"/>
            <w:jc w:val="center"/>
            <w:rPr>
              <w:b/>
              <w:sz w:val="24"/>
            </w:rPr>
          </w:pPr>
          <w:hyperlink w:anchor="_TOC_250296" w:history="1">
            <w:r w:rsidR="00681463">
              <w:rPr>
                <w:b/>
                <w:sz w:val="24"/>
              </w:rPr>
              <w:t>Chapter 11 REEXAMINATIONS</w:t>
            </w:r>
          </w:hyperlink>
        </w:p>
        <w:p w:rsidR="004E13A5" w:rsidRDefault="00BA59C9">
          <w:pPr>
            <w:pStyle w:val="TOC2"/>
            <w:tabs>
              <w:tab w:val="left" w:pos="1259"/>
              <w:tab w:val="left" w:leader="dot" w:pos="9001"/>
            </w:tabs>
          </w:pPr>
          <w:hyperlink w:anchor="_TOC_250295" w:history="1">
            <w:r w:rsidR="00681463">
              <w:t>PART</w:t>
            </w:r>
            <w:r w:rsidR="00681463">
              <w:rPr>
                <w:spacing w:val="1"/>
              </w:rPr>
              <w:t xml:space="preserve"> </w:t>
            </w:r>
            <w:r w:rsidR="00681463">
              <w:rPr>
                <w:spacing w:val="-3"/>
              </w:rPr>
              <w:t>I:</w:t>
            </w:r>
            <w:r w:rsidR="00681463">
              <w:rPr>
                <w:spacing w:val="-3"/>
              </w:rPr>
              <w:tab/>
            </w:r>
            <w:r w:rsidR="00681463">
              <w:t>ANNUAL REEXAMINATIONS [24</w:t>
            </w:r>
            <w:r w:rsidR="00681463">
              <w:rPr>
                <w:spacing w:val="-6"/>
              </w:rPr>
              <w:t xml:space="preserve"> </w:t>
            </w:r>
            <w:r w:rsidR="00681463">
              <w:t>CFR</w:t>
            </w:r>
            <w:r w:rsidR="00681463">
              <w:rPr>
                <w:spacing w:val="-1"/>
              </w:rPr>
              <w:t xml:space="preserve"> </w:t>
            </w:r>
            <w:r w:rsidR="00681463">
              <w:t>982.516]</w:t>
            </w:r>
            <w:r w:rsidR="00681463">
              <w:tab/>
              <w:t>230</w:t>
            </w:r>
          </w:hyperlink>
        </w:p>
        <w:p w:rsidR="004E13A5" w:rsidRDefault="00BA59C9">
          <w:pPr>
            <w:pStyle w:val="TOC4"/>
            <w:tabs>
              <w:tab w:val="left" w:pos="2332"/>
              <w:tab w:val="left" w:leader="dot" w:pos="9101"/>
            </w:tabs>
          </w:pPr>
          <w:hyperlink w:anchor="_TOC_250294" w:history="1">
            <w:r w:rsidR="00681463">
              <w:t>11-I.A.</w:t>
            </w:r>
            <w:r w:rsidR="00681463">
              <w:tab/>
              <w:t>Overview</w:t>
            </w:r>
            <w:r w:rsidR="00681463">
              <w:tab/>
              <w:t>230</w:t>
            </w:r>
          </w:hyperlink>
        </w:p>
        <w:p w:rsidR="004E13A5" w:rsidRDefault="00681463">
          <w:pPr>
            <w:pStyle w:val="TOC4"/>
            <w:tabs>
              <w:tab w:val="left" w:pos="2332"/>
              <w:tab w:val="right" w:leader="dot" w:pos="9461"/>
            </w:tabs>
            <w:spacing w:before="79"/>
          </w:pPr>
          <w:r>
            <w:t>11-I.B</w:t>
          </w:r>
          <w:r>
            <w:tab/>
            <w:t>Streamlined Annual Reexaminations [24</w:t>
          </w:r>
          <w:r>
            <w:rPr>
              <w:spacing w:val="-6"/>
            </w:rPr>
            <w:t xml:space="preserve"> </w:t>
          </w:r>
          <w:r>
            <w:t>CFR</w:t>
          </w:r>
          <w:r>
            <w:rPr>
              <w:spacing w:val="-1"/>
            </w:rPr>
            <w:t xml:space="preserve"> </w:t>
          </w:r>
          <w:r>
            <w:t>982.516(b)]</w:t>
          </w:r>
          <w:r>
            <w:tab/>
            <w:t>230</w:t>
          </w:r>
        </w:p>
        <w:p w:rsidR="004E13A5" w:rsidRDefault="00681463">
          <w:pPr>
            <w:pStyle w:val="TOC4"/>
            <w:tabs>
              <w:tab w:val="left" w:pos="2332"/>
              <w:tab w:val="right" w:leader="dot" w:pos="9461"/>
            </w:tabs>
          </w:pPr>
          <w:r>
            <w:t>11-I.B.</w:t>
          </w:r>
          <w:r>
            <w:tab/>
            <w:t>Scheduling</w:t>
          </w:r>
          <w:r>
            <w:rPr>
              <w:spacing w:val="-4"/>
            </w:rPr>
            <w:t xml:space="preserve"> </w:t>
          </w:r>
          <w:r>
            <w:t>Annual</w:t>
          </w:r>
          <w:r>
            <w:rPr>
              <w:spacing w:val="-1"/>
            </w:rPr>
            <w:t xml:space="preserve"> </w:t>
          </w:r>
          <w:r>
            <w:t>Reexaminations</w:t>
          </w:r>
          <w:r>
            <w:tab/>
            <w:t>231</w:t>
          </w:r>
        </w:p>
        <w:p w:rsidR="004E13A5" w:rsidRDefault="00681463">
          <w:pPr>
            <w:pStyle w:val="TOC8"/>
          </w:pPr>
          <w:r>
            <w:lastRenderedPageBreak/>
            <w:t>Notification of and Participation in the Annual</w:t>
          </w:r>
        </w:p>
        <w:p w:rsidR="004E13A5" w:rsidRDefault="00681463">
          <w:pPr>
            <w:pStyle w:val="TOC8"/>
            <w:tabs>
              <w:tab w:val="right" w:leader="dot" w:pos="9461"/>
            </w:tabs>
          </w:pPr>
          <w:r>
            <w:t>Reexamination</w:t>
          </w:r>
          <w:r>
            <w:rPr>
              <w:spacing w:val="-1"/>
            </w:rPr>
            <w:t xml:space="preserve"> </w:t>
          </w:r>
          <w:r>
            <w:t>Process</w:t>
          </w:r>
          <w:r>
            <w:tab/>
            <w:t>231</w:t>
          </w:r>
        </w:p>
        <w:p w:rsidR="004E13A5" w:rsidRDefault="00681463">
          <w:pPr>
            <w:pStyle w:val="TOC4"/>
            <w:tabs>
              <w:tab w:val="left" w:pos="2332"/>
              <w:tab w:val="right" w:leader="dot" w:pos="9461"/>
            </w:tabs>
          </w:pPr>
          <w:r>
            <w:t>11-I.C.</w:t>
          </w:r>
          <w:r>
            <w:tab/>
            <w:t>Conducting</w:t>
          </w:r>
          <w:r>
            <w:rPr>
              <w:spacing w:val="-3"/>
            </w:rPr>
            <w:t xml:space="preserve"> </w:t>
          </w:r>
          <w:r>
            <w:t>Annual Reexaminations</w:t>
          </w:r>
          <w:r>
            <w:tab/>
            <w:t>232</w:t>
          </w:r>
        </w:p>
        <w:p w:rsidR="004E13A5" w:rsidRDefault="00681463">
          <w:pPr>
            <w:pStyle w:val="TOC4"/>
            <w:tabs>
              <w:tab w:val="left" w:pos="2332"/>
            </w:tabs>
          </w:pPr>
          <w:r>
            <w:t>11-I.D.</w:t>
          </w:r>
          <w:r>
            <w:tab/>
            <w:t>Determining Ongoing Eligibility of Certain</w:t>
          </w:r>
          <w:r>
            <w:rPr>
              <w:spacing w:val="-11"/>
            </w:rPr>
            <w:t xml:space="preserve"> </w:t>
          </w:r>
          <w:r>
            <w:t>Students</w:t>
          </w:r>
        </w:p>
        <w:p w:rsidR="004E13A5" w:rsidRDefault="00681463">
          <w:pPr>
            <w:pStyle w:val="TOC7"/>
            <w:tabs>
              <w:tab w:val="right" w:leader="dot" w:pos="9461"/>
            </w:tabs>
          </w:pPr>
          <w:r>
            <w:t>[24</w:t>
          </w:r>
          <w:r>
            <w:rPr>
              <w:spacing w:val="-1"/>
            </w:rPr>
            <w:t xml:space="preserve"> </w:t>
          </w:r>
          <w:r>
            <w:t>CFR</w:t>
          </w:r>
          <w:r>
            <w:rPr>
              <w:spacing w:val="-1"/>
            </w:rPr>
            <w:t xml:space="preserve"> </w:t>
          </w:r>
          <w:r>
            <w:t>982.552(b)(5)]</w:t>
          </w:r>
          <w:r>
            <w:tab/>
            <w:t>233</w:t>
          </w:r>
        </w:p>
        <w:p w:rsidR="004E13A5" w:rsidRDefault="00681463">
          <w:pPr>
            <w:pStyle w:val="TOC4"/>
            <w:tabs>
              <w:tab w:val="left" w:pos="2332"/>
              <w:tab w:val="right" w:leader="dot" w:pos="9461"/>
            </w:tabs>
          </w:pPr>
          <w:r>
            <w:t>11-I.E.</w:t>
          </w:r>
          <w:r>
            <w:tab/>
            <w:t>Effective Dates</w:t>
          </w:r>
          <w:r>
            <w:tab/>
            <w:t>234</w:t>
          </w:r>
        </w:p>
        <w:p w:rsidR="004E13A5" w:rsidRDefault="00BA59C9">
          <w:pPr>
            <w:pStyle w:val="TOC3"/>
            <w:tabs>
              <w:tab w:val="left" w:pos="1360"/>
              <w:tab w:val="right" w:leader="dot" w:pos="9461"/>
            </w:tabs>
          </w:pPr>
          <w:hyperlink w:anchor="_TOC_250293" w:history="1">
            <w:r w:rsidR="00681463">
              <w:t>PART</w:t>
            </w:r>
            <w:r w:rsidR="00681463">
              <w:rPr>
                <w:spacing w:val="2"/>
              </w:rPr>
              <w:t xml:space="preserve"> </w:t>
            </w:r>
            <w:r w:rsidR="00681463">
              <w:rPr>
                <w:spacing w:val="-3"/>
              </w:rPr>
              <w:t>II:</w:t>
            </w:r>
            <w:r w:rsidR="00681463">
              <w:rPr>
                <w:spacing w:val="-3"/>
              </w:rPr>
              <w:tab/>
            </w:r>
            <w:r w:rsidR="00681463">
              <w:t>INTERIM REEXAMINATIONS [24</w:t>
            </w:r>
            <w:r w:rsidR="00681463">
              <w:rPr>
                <w:spacing w:val="-1"/>
              </w:rPr>
              <w:t xml:space="preserve"> </w:t>
            </w:r>
            <w:r w:rsidR="00681463">
              <w:t>CFR</w:t>
            </w:r>
            <w:r w:rsidR="00681463">
              <w:rPr>
                <w:spacing w:val="-1"/>
              </w:rPr>
              <w:t xml:space="preserve"> </w:t>
            </w:r>
            <w:r w:rsidR="00681463">
              <w:t>982.516]</w:t>
            </w:r>
            <w:r w:rsidR="00681463">
              <w:tab/>
              <w:t>235</w:t>
            </w:r>
          </w:hyperlink>
        </w:p>
        <w:p w:rsidR="004E13A5" w:rsidRDefault="00BA59C9">
          <w:pPr>
            <w:pStyle w:val="TOC4"/>
            <w:tabs>
              <w:tab w:val="right" w:leader="dot" w:pos="9461"/>
            </w:tabs>
          </w:pPr>
          <w:hyperlink w:anchor="_TOC_250292" w:history="1">
            <w:r w:rsidR="00681463">
              <w:t xml:space="preserve">11-II.A.  </w:t>
            </w:r>
            <w:r w:rsidR="00681463">
              <w:rPr>
                <w:spacing w:val="12"/>
              </w:rPr>
              <w:t xml:space="preserve"> </w:t>
            </w:r>
            <w:r w:rsidR="00681463">
              <w:t>Overview</w:t>
            </w:r>
            <w:r w:rsidR="00681463">
              <w:tab/>
              <w:t>235</w:t>
            </w:r>
          </w:hyperlink>
        </w:p>
        <w:p w:rsidR="004E13A5" w:rsidRDefault="00BA59C9">
          <w:pPr>
            <w:pStyle w:val="TOC4"/>
            <w:tabs>
              <w:tab w:val="left" w:pos="2332"/>
              <w:tab w:val="right" w:leader="dot" w:pos="9461"/>
            </w:tabs>
          </w:pPr>
          <w:hyperlink w:anchor="_TOC_250291" w:history="1">
            <w:r w:rsidR="00681463">
              <w:t>11-II.B.</w:t>
            </w:r>
            <w:r w:rsidR="00681463">
              <w:tab/>
              <w:t>Changes In Family and Household</w:t>
            </w:r>
            <w:r w:rsidR="00681463">
              <w:rPr>
                <w:spacing w:val="-1"/>
              </w:rPr>
              <w:t xml:space="preserve"> </w:t>
            </w:r>
            <w:r w:rsidR="00681463">
              <w:t>Composition</w:t>
            </w:r>
            <w:r w:rsidR="00681463">
              <w:tab/>
              <w:t>235</w:t>
            </w:r>
          </w:hyperlink>
        </w:p>
        <w:p w:rsidR="004E13A5" w:rsidRDefault="00BA59C9">
          <w:pPr>
            <w:pStyle w:val="TOC8"/>
            <w:tabs>
              <w:tab w:val="right" w:leader="dot" w:pos="9461"/>
            </w:tabs>
          </w:pPr>
          <w:hyperlink w:anchor="_TOC_250290" w:history="1">
            <w:r w:rsidR="00681463">
              <w:t xml:space="preserve">New Family Members </w:t>
            </w:r>
            <w:r w:rsidR="00681463">
              <w:rPr>
                <w:u w:val="single"/>
              </w:rPr>
              <w:t xml:space="preserve">Not </w:t>
            </w:r>
            <w:r w:rsidR="00681463">
              <w:t>Requiring</w:t>
            </w:r>
            <w:r w:rsidR="00681463">
              <w:rPr>
                <w:spacing w:val="-8"/>
              </w:rPr>
              <w:t xml:space="preserve"> </w:t>
            </w:r>
            <w:r w:rsidR="00681463">
              <w:t>PHA</w:t>
            </w:r>
            <w:r w:rsidR="00681463">
              <w:rPr>
                <w:spacing w:val="-2"/>
              </w:rPr>
              <w:t xml:space="preserve"> </w:t>
            </w:r>
            <w:r w:rsidR="00681463">
              <w:t>Approval</w:t>
            </w:r>
            <w:r w:rsidR="00681463">
              <w:tab/>
              <w:t>235</w:t>
            </w:r>
          </w:hyperlink>
        </w:p>
        <w:p w:rsidR="004E13A5" w:rsidRDefault="00BA59C9">
          <w:pPr>
            <w:pStyle w:val="TOC8"/>
            <w:tabs>
              <w:tab w:val="right" w:leader="dot" w:pos="9461"/>
            </w:tabs>
            <w:spacing w:before="1"/>
          </w:pPr>
          <w:hyperlink w:anchor="_TOC_250289" w:history="1">
            <w:r w:rsidR="00681463">
              <w:t>New Family and Household Members</w:t>
            </w:r>
            <w:r w:rsidR="00681463">
              <w:rPr>
                <w:spacing w:val="-4"/>
              </w:rPr>
              <w:t xml:space="preserve"> </w:t>
            </w:r>
            <w:r w:rsidR="00681463">
              <w:t>Requiring</w:t>
            </w:r>
            <w:r w:rsidR="00681463">
              <w:rPr>
                <w:spacing w:val="-1"/>
              </w:rPr>
              <w:t xml:space="preserve"> </w:t>
            </w:r>
            <w:r w:rsidR="00681463">
              <w:t>Approval</w:t>
            </w:r>
            <w:r w:rsidR="00681463">
              <w:tab/>
              <w:t>235</w:t>
            </w:r>
          </w:hyperlink>
        </w:p>
        <w:p w:rsidR="004E13A5" w:rsidRDefault="00BA59C9">
          <w:pPr>
            <w:pStyle w:val="TOC8"/>
            <w:tabs>
              <w:tab w:val="right" w:leader="dot" w:pos="9461"/>
            </w:tabs>
          </w:pPr>
          <w:hyperlink w:anchor="_TOC_250288" w:history="1">
            <w:r w:rsidR="00681463">
              <w:t>Departure of a Family or</w:t>
            </w:r>
            <w:r w:rsidR="00681463">
              <w:rPr>
                <w:spacing w:val="-6"/>
              </w:rPr>
              <w:t xml:space="preserve"> </w:t>
            </w:r>
            <w:r w:rsidR="00681463">
              <w:t>Household</w:t>
            </w:r>
            <w:r w:rsidR="00681463">
              <w:rPr>
                <w:spacing w:val="-1"/>
              </w:rPr>
              <w:t xml:space="preserve"> </w:t>
            </w:r>
            <w:r w:rsidR="00681463">
              <w:t>Member</w:t>
            </w:r>
            <w:r w:rsidR="00681463">
              <w:tab/>
              <w:t>236</w:t>
            </w:r>
          </w:hyperlink>
        </w:p>
        <w:p w:rsidR="004E13A5" w:rsidRDefault="00BA59C9">
          <w:pPr>
            <w:pStyle w:val="TOC4"/>
            <w:tabs>
              <w:tab w:val="left" w:pos="2332"/>
              <w:tab w:val="right" w:leader="dot" w:pos="9461"/>
            </w:tabs>
          </w:pPr>
          <w:hyperlink w:anchor="_TOC_250287" w:history="1">
            <w:r w:rsidR="00681463">
              <w:t>11-II.C.</w:t>
            </w:r>
            <w:r w:rsidR="00681463">
              <w:tab/>
              <w:t>Changes Affecting Income</w:t>
            </w:r>
            <w:r w:rsidR="00681463">
              <w:rPr>
                <w:spacing w:val="1"/>
              </w:rPr>
              <w:t xml:space="preserve"> </w:t>
            </w:r>
            <w:r w:rsidR="00681463">
              <w:t>or</w:t>
            </w:r>
            <w:r w:rsidR="00681463">
              <w:rPr>
                <w:spacing w:val="-3"/>
              </w:rPr>
              <w:t xml:space="preserve"> </w:t>
            </w:r>
            <w:r w:rsidR="00681463">
              <w:t>Expenses</w:t>
            </w:r>
            <w:r w:rsidR="00681463">
              <w:tab/>
              <w:t>236</w:t>
            </w:r>
          </w:hyperlink>
        </w:p>
        <w:p w:rsidR="004E13A5" w:rsidRDefault="00BA59C9">
          <w:pPr>
            <w:pStyle w:val="TOC8"/>
            <w:tabs>
              <w:tab w:val="right" w:leader="dot" w:pos="9461"/>
            </w:tabs>
          </w:pPr>
          <w:hyperlink w:anchor="_TOC_250286" w:history="1">
            <w:r w:rsidR="00681463">
              <w:t>PHA-Initiated</w:t>
            </w:r>
            <w:r w:rsidR="00681463">
              <w:rPr>
                <w:spacing w:val="1"/>
              </w:rPr>
              <w:t xml:space="preserve"> </w:t>
            </w:r>
            <w:r w:rsidR="00681463">
              <w:t>Interim</w:t>
            </w:r>
            <w:r w:rsidR="00681463">
              <w:rPr>
                <w:spacing w:val="-1"/>
              </w:rPr>
              <w:t xml:space="preserve"> </w:t>
            </w:r>
            <w:r w:rsidR="00681463">
              <w:t>Reexaminations</w:t>
            </w:r>
            <w:r w:rsidR="00681463">
              <w:tab/>
              <w:t>236</w:t>
            </w:r>
          </w:hyperlink>
        </w:p>
        <w:p w:rsidR="004E13A5" w:rsidRDefault="00BA59C9">
          <w:pPr>
            <w:pStyle w:val="TOC8"/>
            <w:tabs>
              <w:tab w:val="right" w:leader="dot" w:pos="9461"/>
            </w:tabs>
          </w:pPr>
          <w:hyperlink w:anchor="_TOC_250285" w:history="1">
            <w:r w:rsidR="00681463">
              <w:t>Family-Initiated Interim</w:t>
            </w:r>
            <w:r w:rsidR="00681463">
              <w:rPr>
                <w:spacing w:val="-1"/>
              </w:rPr>
              <w:t xml:space="preserve"> </w:t>
            </w:r>
            <w:r w:rsidR="00681463">
              <w:t>Reexaminations</w:t>
            </w:r>
            <w:r w:rsidR="00681463">
              <w:tab/>
              <w:t>237</w:t>
            </w:r>
          </w:hyperlink>
        </w:p>
        <w:p w:rsidR="004E13A5" w:rsidRDefault="00BA59C9">
          <w:pPr>
            <w:pStyle w:val="TOC4"/>
            <w:tabs>
              <w:tab w:val="right" w:leader="dot" w:pos="9461"/>
            </w:tabs>
          </w:pPr>
          <w:hyperlink w:anchor="_TOC_250284" w:history="1">
            <w:r w:rsidR="00681463">
              <w:t>11-II.D.   Processing the</w:t>
            </w:r>
            <w:r w:rsidR="00681463">
              <w:rPr>
                <w:spacing w:val="10"/>
              </w:rPr>
              <w:t xml:space="preserve"> </w:t>
            </w:r>
            <w:r w:rsidR="00681463">
              <w:t>Interim</w:t>
            </w:r>
            <w:r w:rsidR="00681463">
              <w:rPr>
                <w:spacing w:val="-1"/>
              </w:rPr>
              <w:t xml:space="preserve"> </w:t>
            </w:r>
            <w:r w:rsidR="00681463">
              <w:t>Reexamination</w:t>
            </w:r>
            <w:r w:rsidR="00681463">
              <w:tab/>
              <w:t>238</w:t>
            </w:r>
          </w:hyperlink>
        </w:p>
        <w:p w:rsidR="004E13A5" w:rsidRDefault="00BA59C9">
          <w:pPr>
            <w:pStyle w:val="TOC8"/>
            <w:tabs>
              <w:tab w:val="right" w:leader="dot" w:pos="9461"/>
            </w:tabs>
          </w:pPr>
          <w:hyperlink w:anchor="_TOC_250283" w:history="1">
            <w:r w:rsidR="00681463">
              <w:t>Method</w:t>
            </w:r>
            <w:r w:rsidR="00681463">
              <w:rPr>
                <w:spacing w:val="-2"/>
              </w:rPr>
              <w:t xml:space="preserve"> </w:t>
            </w:r>
            <w:r w:rsidR="00681463">
              <w:t>of</w:t>
            </w:r>
            <w:r w:rsidR="00681463">
              <w:rPr>
                <w:spacing w:val="-1"/>
              </w:rPr>
              <w:t xml:space="preserve"> </w:t>
            </w:r>
            <w:r w:rsidR="00681463">
              <w:t>Reporting</w:t>
            </w:r>
            <w:r w:rsidR="00681463">
              <w:tab/>
              <w:t>238</w:t>
            </w:r>
          </w:hyperlink>
        </w:p>
        <w:p w:rsidR="004E13A5" w:rsidRDefault="00BA59C9">
          <w:pPr>
            <w:pStyle w:val="TOC8"/>
            <w:tabs>
              <w:tab w:val="right" w:leader="dot" w:pos="9461"/>
            </w:tabs>
          </w:pPr>
          <w:hyperlink w:anchor="_TOC_250282" w:history="1">
            <w:r w:rsidR="00681463">
              <w:t>Effective Dates</w:t>
            </w:r>
            <w:r w:rsidR="00681463">
              <w:tab/>
              <w:t>238</w:t>
            </w:r>
          </w:hyperlink>
        </w:p>
        <w:p w:rsidR="004E13A5" w:rsidRDefault="00BA59C9">
          <w:pPr>
            <w:pStyle w:val="TOC3"/>
            <w:tabs>
              <w:tab w:val="left" w:pos="1360"/>
              <w:tab w:val="right" w:leader="dot" w:pos="9461"/>
            </w:tabs>
          </w:pPr>
          <w:hyperlink w:anchor="_TOC_250281" w:history="1">
            <w:r w:rsidR="00681463">
              <w:t>PART</w:t>
            </w:r>
            <w:r w:rsidR="00681463">
              <w:rPr>
                <w:spacing w:val="-1"/>
              </w:rPr>
              <w:t xml:space="preserve"> </w:t>
            </w:r>
            <w:r w:rsidR="00681463">
              <w:t>III:</w:t>
            </w:r>
            <w:r w:rsidR="00681463">
              <w:tab/>
              <w:t>RECALCULATING FAMILY SHARE AND</w:t>
            </w:r>
            <w:r w:rsidR="00681463">
              <w:rPr>
                <w:spacing w:val="-2"/>
              </w:rPr>
              <w:t xml:space="preserve"> </w:t>
            </w:r>
            <w:r w:rsidR="00681463">
              <w:t>SUBSIDY</w:t>
            </w:r>
            <w:r w:rsidR="00681463">
              <w:rPr>
                <w:spacing w:val="-2"/>
              </w:rPr>
              <w:t xml:space="preserve"> </w:t>
            </w:r>
            <w:r w:rsidR="00681463">
              <w:t>AMOUNT</w:t>
            </w:r>
            <w:r w:rsidR="00681463">
              <w:tab/>
              <w:t>239</w:t>
            </w:r>
          </w:hyperlink>
        </w:p>
        <w:p w:rsidR="004E13A5" w:rsidRDefault="00BA59C9">
          <w:pPr>
            <w:pStyle w:val="TOC4"/>
            <w:tabs>
              <w:tab w:val="right" w:leader="dot" w:pos="9461"/>
            </w:tabs>
          </w:pPr>
          <w:hyperlink w:anchor="_TOC_250280" w:history="1">
            <w:r w:rsidR="00681463">
              <w:t>11-III.A.</w:t>
            </w:r>
            <w:r w:rsidR="00681463">
              <w:rPr>
                <w:spacing w:val="53"/>
              </w:rPr>
              <w:t xml:space="preserve"> </w:t>
            </w:r>
            <w:r w:rsidR="00681463">
              <w:t>Overview</w:t>
            </w:r>
            <w:r w:rsidR="00681463">
              <w:tab/>
              <w:t>239</w:t>
            </w:r>
          </w:hyperlink>
        </w:p>
        <w:p w:rsidR="004E13A5" w:rsidRDefault="00BA59C9">
          <w:pPr>
            <w:pStyle w:val="TOC4"/>
            <w:tabs>
              <w:tab w:val="right" w:leader="dot" w:pos="9461"/>
            </w:tabs>
          </w:pPr>
          <w:hyperlink w:anchor="_TOC_250279" w:history="1">
            <w:r w:rsidR="00681463">
              <w:t>11-III.B.  Changes In Payment Standards and</w:t>
            </w:r>
            <w:r w:rsidR="00681463">
              <w:rPr>
                <w:spacing w:val="8"/>
              </w:rPr>
              <w:t xml:space="preserve"> </w:t>
            </w:r>
            <w:r w:rsidR="00681463">
              <w:t>Utility</w:t>
            </w:r>
            <w:r w:rsidR="00681463">
              <w:rPr>
                <w:spacing w:val="-6"/>
              </w:rPr>
              <w:t xml:space="preserve"> </w:t>
            </w:r>
            <w:r w:rsidR="00681463">
              <w:t>Allowances</w:t>
            </w:r>
            <w:r w:rsidR="00681463">
              <w:tab/>
              <w:t>239</w:t>
            </w:r>
          </w:hyperlink>
        </w:p>
        <w:p w:rsidR="004E13A5" w:rsidRDefault="00BA59C9">
          <w:pPr>
            <w:pStyle w:val="TOC8"/>
            <w:tabs>
              <w:tab w:val="right" w:leader="dot" w:pos="9461"/>
            </w:tabs>
          </w:pPr>
          <w:hyperlink w:anchor="_TOC_250278" w:history="1">
            <w:r w:rsidR="00681463">
              <w:t>Payment Standards [24</w:t>
            </w:r>
            <w:r w:rsidR="00681463">
              <w:rPr>
                <w:spacing w:val="-1"/>
              </w:rPr>
              <w:t xml:space="preserve"> </w:t>
            </w:r>
            <w:r w:rsidR="00681463">
              <w:t>CFR</w:t>
            </w:r>
            <w:r w:rsidR="00681463">
              <w:rPr>
                <w:spacing w:val="-1"/>
              </w:rPr>
              <w:t xml:space="preserve"> </w:t>
            </w:r>
            <w:r w:rsidR="00681463">
              <w:t>982.505]</w:t>
            </w:r>
            <w:r w:rsidR="00681463">
              <w:tab/>
              <w:t>239</w:t>
            </w:r>
          </w:hyperlink>
        </w:p>
        <w:p w:rsidR="004E13A5" w:rsidRDefault="00BA59C9">
          <w:pPr>
            <w:pStyle w:val="TOC8"/>
            <w:tabs>
              <w:tab w:val="right" w:leader="dot" w:pos="9461"/>
            </w:tabs>
          </w:pPr>
          <w:hyperlink w:anchor="_TOC_250277" w:history="1">
            <w:r w:rsidR="00681463">
              <w:t>Subsidy Standards [24</w:t>
            </w:r>
            <w:r w:rsidR="00681463">
              <w:rPr>
                <w:spacing w:val="-9"/>
              </w:rPr>
              <w:t xml:space="preserve"> </w:t>
            </w:r>
            <w:r w:rsidR="00681463">
              <w:t>CFR</w:t>
            </w:r>
            <w:r w:rsidR="00681463">
              <w:rPr>
                <w:spacing w:val="-1"/>
              </w:rPr>
              <w:t xml:space="preserve"> </w:t>
            </w:r>
            <w:r w:rsidR="00681463">
              <w:t>982.505(c)(4)]</w:t>
            </w:r>
            <w:r w:rsidR="00681463">
              <w:tab/>
              <w:t>239</w:t>
            </w:r>
          </w:hyperlink>
        </w:p>
        <w:p w:rsidR="004E13A5" w:rsidRDefault="00BA59C9">
          <w:pPr>
            <w:pStyle w:val="TOC8"/>
            <w:tabs>
              <w:tab w:val="right" w:leader="dot" w:pos="9461"/>
            </w:tabs>
          </w:pPr>
          <w:hyperlink w:anchor="_TOC_250276" w:history="1">
            <w:r w:rsidR="00681463">
              <w:t>Utility Allowances [24</w:t>
            </w:r>
            <w:r w:rsidR="00681463">
              <w:rPr>
                <w:spacing w:val="-8"/>
              </w:rPr>
              <w:t xml:space="preserve"> </w:t>
            </w:r>
            <w:r w:rsidR="00681463">
              <w:t>CFR 982.517(d)]</w:t>
            </w:r>
            <w:r w:rsidR="00681463">
              <w:tab/>
              <w:t>240</w:t>
            </w:r>
          </w:hyperlink>
        </w:p>
        <w:p w:rsidR="004E13A5" w:rsidRDefault="00BA59C9">
          <w:pPr>
            <w:pStyle w:val="TOC4"/>
            <w:tabs>
              <w:tab w:val="right" w:leader="dot" w:pos="9461"/>
            </w:tabs>
          </w:pPr>
          <w:hyperlink w:anchor="_TOC_250275" w:history="1">
            <w:r w:rsidR="00681463">
              <w:t>11-III.C.  Notification of New Family Share and</w:t>
            </w:r>
            <w:r w:rsidR="00681463">
              <w:rPr>
                <w:spacing w:val="1"/>
              </w:rPr>
              <w:t xml:space="preserve"> </w:t>
            </w:r>
            <w:r w:rsidR="00681463">
              <w:t>HAP</w:t>
            </w:r>
            <w:r w:rsidR="00681463">
              <w:rPr>
                <w:spacing w:val="-1"/>
              </w:rPr>
              <w:t xml:space="preserve"> </w:t>
            </w:r>
            <w:r w:rsidR="00681463">
              <w:t>Amount</w:t>
            </w:r>
            <w:r w:rsidR="00681463">
              <w:tab/>
              <w:t>240</w:t>
            </w:r>
          </w:hyperlink>
        </w:p>
        <w:p w:rsidR="004E13A5" w:rsidRDefault="00BA59C9">
          <w:pPr>
            <w:pStyle w:val="TOC4"/>
            <w:tabs>
              <w:tab w:val="right" w:leader="dot" w:pos="9461"/>
            </w:tabs>
          </w:pPr>
          <w:hyperlink w:anchor="_TOC_250274" w:history="1">
            <w:r w:rsidR="00681463">
              <w:t>11-III.D.</w:t>
            </w:r>
            <w:r w:rsidR="00681463">
              <w:rPr>
                <w:spacing w:val="53"/>
              </w:rPr>
              <w:t xml:space="preserve"> </w:t>
            </w:r>
            <w:r w:rsidR="00681463">
              <w:t>Discrepancies</w:t>
            </w:r>
            <w:r w:rsidR="00681463">
              <w:tab/>
              <w:t>240</w:t>
            </w:r>
          </w:hyperlink>
        </w:p>
        <w:p w:rsidR="004E13A5" w:rsidRDefault="00BA59C9">
          <w:pPr>
            <w:pStyle w:val="TOC1"/>
            <w:spacing w:before="515"/>
          </w:pPr>
          <w:hyperlink w:anchor="_TOC_250273" w:history="1">
            <w:r w:rsidR="00681463">
              <w:t>Chapter 12</w:t>
            </w:r>
          </w:hyperlink>
        </w:p>
        <w:p w:rsidR="004E13A5" w:rsidRDefault="00BA59C9">
          <w:pPr>
            <w:pStyle w:val="TOC1"/>
            <w:ind w:right="20"/>
          </w:pPr>
          <w:hyperlink w:anchor="_TOC_250272" w:history="1">
            <w:r w:rsidR="00681463">
              <w:t>TERMINATION OF ASSISTANCE AND TENANCY</w:t>
            </w:r>
          </w:hyperlink>
        </w:p>
        <w:p w:rsidR="004E13A5" w:rsidRDefault="00681463">
          <w:pPr>
            <w:pStyle w:val="TOC3"/>
            <w:tabs>
              <w:tab w:val="left" w:pos="1360"/>
              <w:tab w:val="right" w:leader="dot" w:pos="9461"/>
            </w:tabs>
          </w:pPr>
          <w:r>
            <w:t>PART</w:t>
          </w:r>
          <w:r>
            <w:rPr>
              <w:spacing w:val="1"/>
            </w:rPr>
            <w:t xml:space="preserve"> </w:t>
          </w:r>
          <w:r>
            <w:rPr>
              <w:spacing w:val="-3"/>
            </w:rPr>
            <w:t>I:</w:t>
          </w:r>
          <w:r>
            <w:rPr>
              <w:spacing w:val="-3"/>
            </w:rPr>
            <w:tab/>
          </w:r>
          <w:r>
            <w:t>GROUNDS FOR TERMINATION</w:t>
          </w:r>
          <w:r>
            <w:rPr>
              <w:spacing w:val="-1"/>
            </w:rPr>
            <w:t xml:space="preserve"> </w:t>
          </w:r>
          <w:r>
            <w:t>OF</w:t>
          </w:r>
          <w:r>
            <w:rPr>
              <w:spacing w:val="-1"/>
            </w:rPr>
            <w:t xml:space="preserve"> </w:t>
          </w:r>
          <w:r>
            <w:t>ASSISTANCE</w:t>
          </w:r>
          <w:r>
            <w:tab/>
            <w:t>241</w:t>
          </w:r>
        </w:p>
        <w:p w:rsidR="004E13A5" w:rsidRDefault="00681463">
          <w:pPr>
            <w:pStyle w:val="TOC4"/>
            <w:tabs>
              <w:tab w:val="left" w:pos="2332"/>
              <w:tab w:val="right" w:leader="dot" w:pos="9461"/>
            </w:tabs>
          </w:pPr>
          <w:r>
            <w:t>12-I.A.</w:t>
          </w:r>
          <w:r>
            <w:tab/>
            <w:t>Overview</w:t>
          </w:r>
          <w:r>
            <w:tab/>
            <w:t>241</w:t>
          </w:r>
        </w:p>
        <w:p w:rsidR="004E13A5" w:rsidRDefault="00BA59C9">
          <w:pPr>
            <w:pStyle w:val="TOC4"/>
            <w:tabs>
              <w:tab w:val="left" w:pos="2332"/>
              <w:tab w:val="right" w:leader="dot" w:pos="9461"/>
            </w:tabs>
          </w:pPr>
          <w:hyperlink w:anchor="_TOC_250271" w:history="1">
            <w:r w:rsidR="00681463">
              <w:t>12-I.B.</w:t>
            </w:r>
            <w:r w:rsidR="00681463">
              <w:tab/>
              <w:t>Family No Longer Requires Assistance [24</w:t>
            </w:r>
            <w:r w:rsidR="00681463">
              <w:rPr>
                <w:spacing w:val="-3"/>
              </w:rPr>
              <w:t xml:space="preserve"> </w:t>
            </w:r>
            <w:r w:rsidR="00681463">
              <w:t>CFR</w:t>
            </w:r>
            <w:r w:rsidR="00681463">
              <w:rPr>
                <w:spacing w:val="-1"/>
              </w:rPr>
              <w:t xml:space="preserve"> </w:t>
            </w:r>
            <w:r w:rsidR="00681463">
              <w:t>982.455]</w:t>
            </w:r>
            <w:r w:rsidR="00681463">
              <w:tab/>
              <w:t>241</w:t>
            </w:r>
          </w:hyperlink>
        </w:p>
        <w:p w:rsidR="004E13A5" w:rsidRDefault="00BA59C9">
          <w:pPr>
            <w:pStyle w:val="TOC4"/>
            <w:tabs>
              <w:tab w:val="left" w:pos="2332"/>
              <w:tab w:val="right" w:leader="dot" w:pos="9461"/>
            </w:tabs>
          </w:pPr>
          <w:hyperlink w:anchor="_TOC_250270" w:history="1">
            <w:r w:rsidR="00681463">
              <w:t>12-I.C.</w:t>
            </w:r>
            <w:r w:rsidR="00681463">
              <w:tab/>
              <w:t>Family Chooses to</w:t>
            </w:r>
            <w:r w:rsidR="00681463">
              <w:rPr>
                <w:spacing w:val="-6"/>
              </w:rPr>
              <w:t xml:space="preserve"> </w:t>
            </w:r>
            <w:r w:rsidR="00681463">
              <w:t>Terminate</w:t>
            </w:r>
            <w:r w:rsidR="00681463">
              <w:rPr>
                <w:spacing w:val="-1"/>
              </w:rPr>
              <w:t xml:space="preserve"> </w:t>
            </w:r>
            <w:r w:rsidR="00681463">
              <w:t>Assistance</w:t>
            </w:r>
            <w:r w:rsidR="00681463">
              <w:tab/>
              <w:t>241</w:t>
            </w:r>
          </w:hyperlink>
        </w:p>
        <w:p w:rsidR="004E13A5" w:rsidRDefault="00BA59C9">
          <w:pPr>
            <w:pStyle w:val="TOC4"/>
            <w:tabs>
              <w:tab w:val="left" w:pos="2332"/>
              <w:tab w:val="right" w:leader="dot" w:pos="9461"/>
            </w:tabs>
          </w:pPr>
          <w:hyperlink w:anchor="_TOC_250269" w:history="1">
            <w:r w:rsidR="00681463">
              <w:t>12-I.D.</w:t>
            </w:r>
            <w:r w:rsidR="00681463">
              <w:tab/>
              <w:t>Mandatory Termination</w:t>
            </w:r>
            <w:r w:rsidR="00681463">
              <w:rPr>
                <w:spacing w:val="-5"/>
              </w:rPr>
              <w:t xml:space="preserve"> </w:t>
            </w:r>
            <w:r w:rsidR="00681463">
              <w:t>of</w:t>
            </w:r>
            <w:r w:rsidR="00681463">
              <w:rPr>
                <w:spacing w:val="-1"/>
              </w:rPr>
              <w:t xml:space="preserve"> </w:t>
            </w:r>
            <w:r w:rsidR="00681463">
              <w:t>Assistance</w:t>
            </w:r>
            <w:r w:rsidR="00681463">
              <w:tab/>
              <w:t>242</w:t>
            </w:r>
          </w:hyperlink>
        </w:p>
        <w:p w:rsidR="004E13A5" w:rsidRDefault="00BA59C9">
          <w:pPr>
            <w:pStyle w:val="TOC8"/>
            <w:tabs>
              <w:tab w:val="right" w:leader="dot" w:pos="9461"/>
            </w:tabs>
          </w:pPr>
          <w:hyperlink w:anchor="_TOC_250268" w:history="1">
            <w:r w:rsidR="00681463">
              <w:t>Eviction [24 CFR 982.552(b)(2), 24</w:t>
            </w:r>
            <w:r w:rsidR="00681463">
              <w:rPr>
                <w:spacing w:val="-3"/>
              </w:rPr>
              <w:t xml:space="preserve"> </w:t>
            </w:r>
            <w:r w:rsidR="00681463">
              <w:t>CFR</w:t>
            </w:r>
            <w:r w:rsidR="00681463">
              <w:rPr>
                <w:spacing w:val="-1"/>
              </w:rPr>
              <w:t xml:space="preserve"> </w:t>
            </w:r>
            <w:r w:rsidR="00681463">
              <w:t>5.2005(c)(1)]</w:t>
            </w:r>
            <w:r w:rsidR="00681463">
              <w:tab/>
              <w:t>242</w:t>
            </w:r>
          </w:hyperlink>
        </w:p>
        <w:p w:rsidR="004E13A5" w:rsidRDefault="00BA59C9">
          <w:pPr>
            <w:pStyle w:val="TOC8"/>
            <w:tabs>
              <w:tab w:val="right" w:leader="dot" w:pos="9461"/>
            </w:tabs>
          </w:pPr>
          <w:hyperlink w:anchor="_TOC_250267" w:history="1">
            <w:r w:rsidR="00681463">
              <w:t>Failure to Provide Consent [24</w:t>
            </w:r>
            <w:r w:rsidR="00681463">
              <w:rPr>
                <w:spacing w:val="-4"/>
              </w:rPr>
              <w:t xml:space="preserve"> </w:t>
            </w:r>
            <w:r w:rsidR="00681463">
              <w:t>CFR</w:t>
            </w:r>
            <w:r w:rsidR="00681463">
              <w:rPr>
                <w:spacing w:val="-1"/>
              </w:rPr>
              <w:t xml:space="preserve"> </w:t>
            </w:r>
            <w:r w:rsidR="00681463">
              <w:t>982.552(b)(3)]</w:t>
            </w:r>
            <w:r w:rsidR="00681463">
              <w:tab/>
              <w:t>242</w:t>
            </w:r>
          </w:hyperlink>
        </w:p>
        <w:p w:rsidR="004E13A5" w:rsidRDefault="00681463">
          <w:pPr>
            <w:pStyle w:val="TOC8"/>
          </w:pPr>
          <w:r>
            <w:t>Failure to Document Citizenship [24 CFR 982.552(b)(4)</w:t>
          </w:r>
        </w:p>
        <w:p w:rsidR="004E13A5" w:rsidRDefault="00681463">
          <w:pPr>
            <w:pStyle w:val="TOC8"/>
            <w:tabs>
              <w:tab w:val="right" w:leader="dot" w:pos="9461"/>
            </w:tabs>
          </w:pPr>
          <w:r>
            <w:t>and 24</w:t>
          </w:r>
          <w:r>
            <w:rPr>
              <w:spacing w:val="-1"/>
            </w:rPr>
            <w:t xml:space="preserve"> </w:t>
          </w:r>
          <w:r>
            <w:t>CFR</w:t>
          </w:r>
          <w:r>
            <w:rPr>
              <w:spacing w:val="-1"/>
            </w:rPr>
            <w:t xml:space="preserve"> </w:t>
          </w:r>
          <w:r>
            <w:t>5.514(c)]</w:t>
          </w:r>
          <w:r>
            <w:tab/>
            <w:t>242</w:t>
          </w:r>
        </w:p>
        <w:p w:rsidR="004E13A5" w:rsidRDefault="00681463">
          <w:pPr>
            <w:pStyle w:val="TOC8"/>
          </w:pPr>
          <w:r>
            <w:t>Failure to Disclose and Document Social Security Numbers</w:t>
          </w:r>
        </w:p>
        <w:p w:rsidR="004E13A5" w:rsidRDefault="00681463">
          <w:pPr>
            <w:pStyle w:val="TOC8"/>
            <w:tabs>
              <w:tab w:val="right" w:leader="dot" w:pos="9461"/>
            </w:tabs>
          </w:pPr>
          <w:r>
            <w:t>[24 CFR 5.218(c), Notice</w:t>
          </w:r>
          <w:r>
            <w:rPr>
              <w:spacing w:val="-2"/>
            </w:rPr>
            <w:t xml:space="preserve"> </w:t>
          </w:r>
          <w:r>
            <w:t>PIH</w:t>
          </w:r>
          <w:r>
            <w:rPr>
              <w:spacing w:val="-1"/>
            </w:rPr>
            <w:t xml:space="preserve"> </w:t>
          </w:r>
          <w:r>
            <w:t>2012-10]</w:t>
          </w:r>
          <w:r>
            <w:tab/>
            <w:t>243</w:t>
          </w:r>
        </w:p>
        <w:p w:rsidR="004E13A5" w:rsidRDefault="00681463">
          <w:pPr>
            <w:pStyle w:val="TOC8"/>
          </w:pPr>
          <w:r>
            <w:t>Methamphetamine Manufacture or Production</w:t>
          </w:r>
        </w:p>
        <w:p w:rsidR="004E13A5" w:rsidRDefault="00681463">
          <w:pPr>
            <w:pStyle w:val="TOC8"/>
            <w:tabs>
              <w:tab w:val="right" w:leader="dot" w:pos="9461"/>
            </w:tabs>
          </w:pPr>
          <w:r>
            <w:t>[24</w:t>
          </w:r>
          <w:r>
            <w:rPr>
              <w:spacing w:val="-1"/>
            </w:rPr>
            <w:t xml:space="preserve"> </w:t>
          </w:r>
          <w:r>
            <w:t>CFR</w:t>
          </w:r>
          <w:r>
            <w:rPr>
              <w:spacing w:val="-1"/>
            </w:rPr>
            <w:t xml:space="preserve"> </w:t>
          </w:r>
          <w:r>
            <w:t>983.553(b)(1)(ii)]</w:t>
          </w:r>
          <w:r>
            <w:tab/>
            <w:t>243</w:t>
          </w:r>
        </w:p>
        <w:p w:rsidR="004E13A5" w:rsidRDefault="00681463">
          <w:pPr>
            <w:pStyle w:val="TOC8"/>
          </w:pPr>
          <w:r>
            <w:t>Failure of Students to Meet Ongoing Eligibility</w:t>
          </w:r>
        </w:p>
        <w:p w:rsidR="004E13A5" w:rsidRDefault="00681463">
          <w:pPr>
            <w:pStyle w:val="TOC8"/>
            <w:tabs>
              <w:tab w:val="right" w:leader="dot" w:pos="9461"/>
            </w:tabs>
          </w:pPr>
          <w:r>
            <w:t>Requirements [24 CFR 982.552(b)(5) and</w:t>
          </w:r>
          <w:r>
            <w:rPr>
              <w:spacing w:val="-2"/>
            </w:rPr>
            <w:t xml:space="preserve"> </w:t>
          </w:r>
          <w:r>
            <w:t>FR</w:t>
          </w:r>
          <w:r>
            <w:rPr>
              <w:spacing w:val="-1"/>
            </w:rPr>
            <w:t xml:space="preserve"> </w:t>
          </w:r>
          <w:r>
            <w:t>4/10/06]</w:t>
          </w:r>
          <w:r>
            <w:tab/>
            <w:t>243</w:t>
          </w:r>
        </w:p>
        <w:p w:rsidR="004E13A5" w:rsidRDefault="00681463">
          <w:pPr>
            <w:pStyle w:val="TOC8"/>
            <w:spacing w:before="79"/>
          </w:pPr>
          <w:r>
            <w:t>Death of the Sole Family Member [24 CFR 982.311(d) and</w:t>
          </w:r>
        </w:p>
        <w:p w:rsidR="004E13A5" w:rsidRDefault="00681463">
          <w:pPr>
            <w:pStyle w:val="TOC8"/>
            <w:tabs>
              <w:tab w:val="left" w:leader="dot" w:pos="9101"/>
            </w:tabs>
          </w:pPr>
          <w:r>
            <w:t>Notice</w:t>
          </w:r>
          <w:r>
            <w:rPr>
              <w:spacing w:val="-3"/>
            </w:rPr>
            <w:t xml:space="preserve"> </w:t>
          </w:r>
          <w:r>
            <w:t>PIH</w:t>
          </w:r>
          <w:r>
            <w:rPr>
              <w:spacing w:val="-1"/>
            </w:rPr>
            <w:t xml:space="preserve"> </w:t>
          </w:r>
          <w:r>
            <w:t>2010-3]</w:t>
          </w:r>
          <w:r>
            <w:tab/>
            <w:t>243</w:t>
          </w:r>
        </w:p>
        <w:p w:rsidR="004E13A5" w:rsidRDefault="00BA59C9">
          <w:pPr>
            <w:pStyle w:val="TOC4"/>
            <w:tabs>
              <w:tab w:val="left" w:pos="2332"/>
              <w:tab w:val="left" w:leader="dot" w:pos="9101"/>
            </w:tabs>
          </w:pPr>
          <w:hyperlink w:anchor="_TOC_250266" w:history="1">
            <w:r w:rsidR="00681463">
              <w:t>12-I.E.</w:t>
            </w:r>
            <w:r w:rsidR="00681463">
              <w:tab/>
              <w:t>Mandatory Policies and Other</w:t>
            </w:r>
            <w:r w:rsidR="00681463">
              <w:rPr>
                <w:spacing w:val="-7"/>
              </w:rPr>
              <w:t xml:space="preserve"> </w:t>
            </w:r>
            <w:r w:rsidR="00681463">
              <w:t>Authorized</w:t>
            </w:r>
            <w:r w:rsidR="00681463">
              <w:rPr>
                <w:spacing w:val="-1"/>
              </w:rPr>
              <w:t xml:space="preserve"> </w:t>
            </w:r>
            <w:r w:rsidR="00681463">
              <w:t>Terminations</w:t>
            </w:r>
            <w:r w:rsidR="00681463">
              <w:tab/>
              <w:t>244</w:t>
            </w:r>
          </w:hyperlink>
        </w:p>
        <w:p w:rsidR="004E13A5" w:rsidRDefault="00BA59C9">
          <w:pPr>
            <w:pStyle w:val="TOC8"/>
            <w:tabs>
              <w:tab w:val="left" w:leader="dot" w:pos="9101"/>
            </w:tabs>
          </w:pPr>
          <w:hyperlink w:anchor="_TOC_250265" w:history="1">
            <w:r w:rsidR="00681463">
              <w:t>Mandatory Policies [24 CFR 982.553(b)</w:t>
            </w:r>
            <w:r w:rsidR="00681463">
              <w:rPr>
                <w:spacing w:val="-6"/>
              </w:rPr>
              <w:t xml:space="preserve"> </w:t>
            </w:r>
            <w:r w:rsidR="00681463">
              <w:t>and 982.551(l)]</w:t>
            </w:r>
            <w:r w:rsidR="00681463">
              <w:tab/>
              <w:t>244</w:t>
            </w:r>
          </w:hyperlink>
        </w:p>
        <w:p w:rsidR="004E13A5" w:rsidRDefault="00681463">
          <w:pPr>
            <w:pStyle w:val="TOC8"/>
          </w:pPr>
          <w:r>
            <w:t>Other Authorized Reasons for Termination of Assistance</w:t>
          </w:r>
        </w:p>
        <w:p w:rsidR="004E13A5" w:rsidRDefault="00681463">
          <w:pPr>
            <w:pStyle w:val="TOC8"/>
            <w:tabs>
              <w:tab w:val="left" w:leader="dot" w:pos="9101"/>
            </w:tabs>
          </w:pPr>
          <w:r>
            <w:t>[24 CFR 982.552(c), 24</w:t>
          </w:r>
          <w:r>
            <w:rPr>
              <w:spacing w:val="-4"/>
            </w:rPr>
            <w:t xml:space="preserve"> </w:t>
          </w:r>
          <w:r>
            <w:t>CFR</w:t>
          </w:r>
          <w:r>
            <w:rPr>
              <w:spacing w:val="-1"/>
            </w:rPr>
            <w:t xml:space="preserve"> </w:t>
          </w:r>
          <w:r>
            <w:t>5.2005(c)]</w:t>
          </w:r>
          <w:r>
            <w:tab/>
            <w:t>245</w:t>
          </w:r>
        </w:p>
        <w:p w:rsidR="004E13A5" w:rsidRDefault="00681463">
          <w:pPr>
            <w:pStyle w:val="TOC3"/>
            <w:tabs>
              <w:tab w:val="left" w:pos="1360"/>
              <w:tab w:val="left" w:leader="dot" w:pos="9101"/>
            </w:tabs>
          </w:pPr>
          <w:r>
            <w:t>PART</w:t>
          </w:r>
          <w:r>
            <w:rPr>
              <w:spacing w:val="2"/>
            </w:rPr>
            <w:t xml:space="preserve"> </w:t>
          </w:r>
          <w:r>
            <w:rPr>
              <w:spacing w:val="-3"/>
            </w:rPr>
            <w:t>II:</w:t>
          </w:r>
          <w:r>
            <w:rPr>
              <w:spacing w:val="-3"/>
            </w:rPr>
            <w:tab/>
          </w:r>
          <w:r>
            <w:t>APPROACH TO TERMINATION</w:t>
          </w:r>
          <w:r>
            <w:rPr>
              <w:spacing w:val="-5"/>
            </w:rPr>
            <w:t xml:space="preserve"> </w:t>
          </w:r>
          <w:r>
            <w:t>OF</w:t>
          </w:r>
          <w:r>
            <w:rPr>
              <w:spacing w:val="-2"/>
            </w:rPr>
            <w:t xml:space="preserve"> </w:t>
          </w:r>
          <w:r>
            <w:t>ASSISTANCE</w:t>
          </w:r>
          <w:r>
            <w:tab/>
            <w:t>247</w:t>
          </w:r>
        </w:p>
        <w:p w:rsidR="004E13A5" w:rsidRDefault="00681463">
          <w:pPr>
            <w:pStyle w:val="TOC4"/>
            <w:tabs>
              <w:tab w:val="left" w:leader="dot" w:pos="9101"/>
            </w:tabs>
          </w:pPr>
          <w:r>
            <w:t xml:space="preserve">12-II.A.  </w:t>
          </w:r>
          <w:r>
            <w:rPr>
              <w:spacing w:val="8"/>
            </w:rPr>
            <w:t xml:space="preserve"> </w:t>
          </w:r>
          <w:r>
            <w:t>Overview</w:t>
          </w:r>
          <w:r>
            <w:tab/>
            <w:t>247</w:t>
          </w:r>
        </w:p>
        <w:p w:rsidR="004E13A5" w:rsidRDefault="00BA59C9">
          <w:pPr>
            <w:pStyle w:val="TOC4"/>
            <w:tabs>
              <w:tab w:val="left" w:pos="2332"/>
              <w:tab w:val="left" w:leader="dot" w:pos="9101"/>
            </w:tabs>
          </w:pPr>
          <w:hyperlink w:anchor="_TOC_250264" w:history="1">
            <w:r w:rsidR="00681463">
              <w:t>12-II.B.</w:t>
            </w:r>
            <w:r w:rsidR="00681463">
              <w:tab/>
              <w:t>Method of Termination [24</w:t>
            </w:r>
            <w:r w:rsidR="00681463">
              <w:rPr>
                <w:spacing w:val="-3"/>
              </w:rPr>
              <w:t xml:space="preserve"> </w:t>
            </w:r>
            <w:r w:rsidR="00681463">
              <w:t>CFR</w:t>
            </w:r>
            <w:r w:rsidR="00681463">
              <w:rPr>
                <w:spacing w:val="-1"/>
              </w:rPr>
              <w:t xml:space="preserve"> </w:t>
            </w:r>
            <w:r w:rsidR="00681463">
              <w:t>982.552(a)(3)]</w:t>
            </w:r>
            <w:r w:rsidR="00681463">
              <w:tab/>
              <w:t>247</w:t>
            </w:r>
          </w:hyperlink>
        </w:p>
        <w:p w:rsidR="004E13A5" w:rsidRDefault="00BA59C9">
          <w:pPr>
            <w:pStyle w:val="TOC4"/>
            <w:tabs>
              <w:tab w:val="left" w:pos="2332"/>
              <w:tab w:val="left" w:leader="dot" w:pos="9101"/>
            </w:tabs>
          </w:pPr>
          <w:hyperlink w:anchor="_TOC_250263" w:history="1">
            <w:r w:rsidR="00681463">
              <w:t>12-II.C.</w:t>
            </w:r>
            <w:r w:rsidR="00681463">
              <w:tab/>
              <w:t>Alternatives to Termination</w:t>
            </w:r>
            <w:r w:rsidR="00681463">
              <w:rPr>
                <w:spacing w:val="-2"/>
              </w:rPr>
              <w:t xml:space="preserve"> </w:t>
            </w:r>
            <w:r w:rsidR="00681463">
              <w:t>of</w:t>
            </w:r>
            <w:r w:rsidR="00681463">
              <w:rPr>
                <w:spacing w:val="-2"/>
              </w:rPr>
              <w:t xml:space="preserve"> </w:t>
            </w:r>
            <w:r w:rsidR="00681463">
              <w:t>Assistance</w:t>
            </w:r>
            <w:r w:rsidR="00681463">
              <w:tab/>
              <w:t>247</w:t>
            </w:r>
          </w:hyperlink>
        </w:p>
        <w:p w:rsidR="004E13A5" w:rsidRDefault="00BA59C9">
          <w:pPr>
            <w:pStyle w:val="TOC8"/>
            <w:tabs>
              <w:tab w:val="left" w:leader="dot" w:pos="9101"/>
            </w:tabs>
          </w:pPr>
          <w:hyperlink w:anchor="_TOC_250262" w:history="1">
            <w:r w:rsidR="00681463">
              <w:t>Change in</w:t>
            </w:r>
            <w:r w:rsidR="00681463">
              <w:rPr>
                <w:spacing w:val="-2"/>
              </w:rPr>
              <w:t xml:space="preserve"> </w:t>
            </w:r>
            <w:r w:rsidR="00681463">
              <w:t>Household</w:t>
            </w:r>
            <w:r w:rsidR="00681463">
              <w:rPr>
                <w:spacing w:val="-2"/>
              </w:rPr>
              <w:t xml:space="preserve"> </w:t>
            </w:r>
            <w:r w:rsidR="00681463">
              <w:t>Composition</w:t>
            </w:r>
            <w:r w:rsidR="00681463">
              <w:tab/>
              <w:t>247</w:t>
            </w:r>
          </w:hyperlink>
        </w:p>
        <w:p w:rsidR="004E13A5" w:rsidRDefault="00BA59C9">
          <w:pPr>
            <w:pStyle w:val="TOC8"/>
            <w:tabs>
              <w:tab w:val="left" w:leader="dot" w:pos="9101"/>
            </w:tabs>
          </w:pPr>
          <w:hyperlink w:anchor="_TOC_250261" w:history="1">
            <w:r w:rsidR="00681463">
              <w:t>Repayment of</w:t>
            </w:r>
            <w:r w:rsidR="00681463">
              <w:rPr>
                <w:spacing w:val="-1"/>
              </w:rPr>
              <w:t xml:space="preserve"> </w:t>
            </w:r>
            <w:r w:rsidR="00681463">
              <w:t>Family</w:t>
            </w:r>
            <w:r w:rsidR="00681463">
              <w:rPr>
                <w:spacing w:val="-6"/>
              </w:rPr>
              <w:t xml:space="preserve"> </w:t>
            </w:r>
            <w:r w:rsidR="00681463">
              <w:t>Debts</w:t>
            </w:r>
            <w:r w:rsidR="00681463">
              <w:tab/>
              <w:t>247</w:t>
            </w:r>
          </w:hyperlink>
        </w:p>
        <w:p w:rsidR="004E13A5" w:rsidRDefault="00BA59C9">
          <w:pPr>
            <w:pStyle w:val="TOC4"/>
            <w:tabs>
              <w:tab w:val="left" w:leader="dot" w:pos="9101"/>
            </w:tabs>
            <w:spacing w:before="1"/>
          </w:pPr>
          <w:hyperlink w:anchor="_TOC_250260" w:history="1">
            <w:r w:rsidR="00681463">
              <w:t>12-II.D.   Criteria for Deciding to</w:t>
            </w:r>
            <w:r w:rsidR="00681463">
              <w:rPr>
                <w:spacing w:val="3"/>
              </w:rPr>
              <w:t xml:space="preserve"> </w:t>
            </w:r>
            <w:r w:rsidR="00681463">
              <w:t>Terminate</w:t>
            </w:r>
            <w:r w:rsidR="00681463">
              <w:rPr>
                <w:spacing w:val="-1"/>
              </w:rPr>
              <w:t xml:space="preserve"> </w:t>
            </w:r>
            <w:r w:rsidR="00681463">
              <w:t>Assistance</w:t>
            </w:r>
            <w:r w:rsidR="00681463">
              <w:tab/>
              <w:t>248</w:t>
            </w:r>
          </w:hyperlink>
        </w:p>
        <w:p w:rsidR="004E13A5" w:rsidRDefault="00BA59C9">
          <w:pPr>
            <w:pStyle w:val="TOC8"/>
            <w:tabs>
              <w:tab w:val="left" w:leader="dot" w:pos="9101"/>
            </w:tabs>
          </w:pPr>
          <w:hyperlink w:anchor="_TOC_250259" w:history="1">
            <w:r w:rsidR="00681463">
              <w:t>Evidence</w:t>
            </w:r>
            <w:r w:rsidR="00681463">
              <w:tab/>
              <w:t>248</w:t>
            </w:r>
          </w:hyperlink>
        </w:p>
        <w:p w:rsidR="004E13A5" w:rsidRDefault="00681463">
          <w:pPr>
            <w:pStyle w:val="TOC8"/>
          </w:pPr>
          <w:r>
            <w:t>Use of Criminal Conviction Records</w:t>
          </w:r>
        </w:p>
        <w:p w:rsidR="004E13A5" w:rsidRDefault="00681463">
          <w:pPr>
            <w:pStyle w:val="TOC8"/>
            <w:tabs>
              <w:tab w:val="left" w:leader="dot" w:pos="9101"/>
            </w:tabs>
          </w:pPr>
          <w:r>
            <w:t>after Admission [24</w:t>
          </w:r>
          <w:r>
            <w:rPr>
              <w:spacing w:val="-3"/>
            </w:rPr>
            <w:t xml:space="preserve"> </w:t>
          </w:r>
          <w:r>
            <w:t>CFR</w:t>
          </w:r>
          <w:r>
            <w:rPr>
              <w:spacing w:val="-1"/>
            </w:rPr>
            <w:t xml:space="preserve"> </w:t>
          </w:r>
          <w:r>
            <w:t>5.903]</w:t>
          </w:r>
          <w:r>
            <w:tab/>
            <w:t>248</w:t>
          </w:r>
        </w:p>
        <w:p w:rsidR="004E13A5" w:rsidRDefault="00BA59C9">
          <w:pPr>
            <w:pStyle w:val="TOC8"/>
            <w:tabs>
              <w:tab w:val="left" w:leader="dot" w:pos="9101"/>
            </w:tabs>
          </w:pPr>
          <w:hyperlink w:anchor="_TOC_250258" w:history="1">
            <w:r w:rsidR="00681463">
              <w:t>Consideration of Circumstances [24</w:t>
            </w:r>
            <w:r w:rsidR="00681463">
              <w:rPr>
                <w:spacing w:val="-7"/>
              </w:rPr>
              <w:t xml:space="preserve"> </w:t>
            </w:r>
            <w:r w:rsidR="00681463">
              <w:t>CFR</w:t>
            </w:r>
            <w:r w:rsidR="00681463">
              <w:rPr>
                <w:spacing w:val="-2"/>
              </w:rPr>
              <w:t xml:space="preserve"> </w:t>
            </w:r>
            <w:r w:rsidR="00681463">
              <w:t>982.552(c)(2)(i)]</w:t>
            </w:r>
            <w:r w:rsidR="00681463">
              <w:tab/>
              <w:t>248</w:t>
            </w:r>
          </w:hyperlink>
        </w:p>
        <w:p w:rsidR="004E13A5" w:rsidRDefault="00BA59C9">
          <w:pPr>
            <w:pStyle w:val="TOC8"/>
            <w:tabs>
              <w:tab w:val="left" w:leader="dot" w:pos="9101"/>
            </w:tabs>
          </w:pPr>
          <w:hyperlink w:anchor="_TOC_250257" w:history="1">
            <w:r w:rsidR="00681463">
              <w:t>Reasonable Accommodation [24</w:t>
            </w:r>
            <w:r w:rsidR="00681463">
              <w:rPr>
                <w:spacing w:val="-4"/>
              </w:rPr>
              <w:t xml:space="preserve"> </w:t>
            </w:r>
            <w:r w:rsidR="00681463">
              <w:t>CFR</w:t>
            </w:r>
            <w:r w:rsidR="00681463">
              <w:rPr>
                <w:spacing w:val="-2"/>
              </w:rPr>
              <w:t xml:space="preserve"> </w:t>
            </w:r>
            <w:r w:rsidR="00681463">
              <w:t>982.552(c)(2)(iv)]</w:t>
            </w:r>
            <w:r w:rsidR="00681463">
              <w:tab/>
              <w:t>249</w:t>
            </w:r>
          </w:hyperlink>
        </w:p>
        <w:p w:rsidR="004E13A5" w:rsidRDefault="00681463">
          <w:pPr>
            <w:pStyle w:val="TOC4"/>
            <w:tabs>
              <w:tab w:val="left" w:pos="2332"/>
            </w:tabs>
          </w:pPr>
          <w:r>
            <w:t>12-II.E.</w:t>
          </w:r>
          <w:r>
            <w:tab/>
            <w:t>Terminations Related to Domestic Violence, Dating</w:t>
          </w:r>
          <w:r>
            <w:rPr>
              <w:spacing w:val="-14"/>
            </w:rPr>
            <w:t xml:space="preserve"> </w:t>
          </w:r>
          <w:r>
            <w:t>Violence,</w:t>
          </w:r>
        </w:p>
        <w:p w:rsidR="004E13A5" w:rsidRDefault="00681463">
          <w:pPr>
            <w:pStyle w:val="TOC7"/>
            <w:tabs>
              <w:tab w:val="left" w:leader="dot" w:pos="9101"/>
            </w:tabs>
          </w:pPr>
          <w:r>
            <w:t>Sexual Assault</w:t>
          </w:r>
          <w:r>
            <w:rPr>
              <w:spacing w:val="-1"/>
            </w:rPr>
            <w:t xml:space="preserve"> </w:t>
          </w:r>
          <w:r>
            <w:t>or</w:t>
          </w:r>
          <w:r>
            <w:rPr>
              <w:spacing w:val="-1"/>
            </w:rPr>
            <w:t xml:space="preserve"> </w:t>
          </w:r>
          <w:r>
            <w:t>Stalking</w:t>
          </w:r>
          <w:r>
            <w:tab/>
            <w:t>250</w:t>
          </w:r>
        </w:p>
        <w:p w:rsidR="004E13A5" w:rsidRDefault="00681463">
          <w:pPr>
            <w:pStyle w:val="TOC8"/>
            <w:tabs>
              <w:tab w:val="left" w:leader="dot" w:pos="9101"/>
            </w:tabs>
          </w:pPr>
          <w:r>
            <w:t>VAWA Protections</w:t>
          </w:r>
          <w:r>
            <w:rPr>
              <w:spacing w:val="-2"/>
            </w:rPr>
            <w:t xml:space="preserve"> </w:t>
          </w:r>
          <w:r>
            <w:t>against</w:t>
          </w:r>
          <w:r>
            <w:rPr>
              <w:spacing w:val="-1"/>
            </w:rPr>
            <w:t xml:space="preserve"> </w:t>
          </w:r>
          <w:r>
            <w:t>Terminations</w:t>
          </w:r>
          <w:r>
            <w:tab/>
            <w:t>250</w:t>
          </w:r>
        </w:p>
        <w:p w:rsidR="004E13A5" w:rsidRDefault="00681463">
          <w:pPr>
            <w:pStyle w:val="TOC8"/>
          </w:pPr>
          <w:r>
            <w:t>Limitations on VAWA Protections</w:t>
          </w:r>
        </w:p>
        <w:p w:rsidR="004E13A5" w:rsidRDefault="00681463">
          <w:pPr>
            <w:pStyle w:val="TOC8"/>
            <w:tabs>
              <w:tab w:val="left" w:leader="dot" w:pos="9101"/>
            </w:tabs>
          </w:pPr>
          <w:r>
            <w:t>[24 CFR 5.2005(d)</w:t>
          </w:r>
          <w:r>
            <w:rPr>
              <w:spacing w:val="-2"/>
            </w:rPr>
            <w:t xml:space="preserve"> </w:t>
          </w:r>
          <w:r>
            <w:t>and</w:t>
          </w:r>
          <w:r>
            <w:rPr>
              <w:spacing w:val="-1"/>
            </w:rPr>
            <w:t xml:space="preserve"> </w:t>
          </w:r>
          <w:r>
            <w:t>(e)]</w:t>
          </w:r>
          <w:r>
            <w:tab/>
            <w:t>250</w:t>
          </w:r>
        </w:p>
        <w:p w:rsidR="004E13A5" w:rsidRDefault="00BA59C9">
          <w:pPr>
            <w:pStyle w:val="TOC8"/>
            <w:tabs>
              <w:tab w:val="left" w:leader="dot" w:pos="9101"/>
            </w:tabs>
          </w:pPr>
          <w:hyperlink w:anchor="_TOC_250256" w:history="1">
            <w:r w:rsidR="00681463">
              <w:t>Documentation of Abuse [24</w:t>
            </w:r>
            <w:r w:rsidR="00681463">
              <w:rPr>
                <w:spacing w:val="-3"/>
              </w:rPr>
              <w:t xml:space="preserve"> </w:t>
            </w:r>
            <w:r w:rsidR="00681463">
              <w:t>CFR</w:t>
            </w:r>
            <w:r w:rsidR="00681463">
              <w:rPr>
                <w:spacing w:val="-1"/>
              </w:rPr>
              <w:t xml:space="preserve"> </w:t>
            </w:r>
            <w:r w:rsidR="00681463">
              <w:t>5.2007]</w:t>
            </w:r>
            <w:r w:rsidR="00681463">
              <w:tab/>
              <w:t>251</w:t>
            </w:r>
          </w:hyperlink>
        </w:p>
        <w:p w:rsidR="004E13A5" w:rsidRDefault="00681463">
          <w:pPr>
            <w:pStyle w:val="TOC8"/>
          </w:pPr>
          <w:r>
            <w:t>Terminating the Assistance of a Domestic</w:t>
          </w:r>
        </w:p>
        <w:p w:rsidR="004E13A5" w:rsidRDefault="00681463">
          <w:pPr>
            <w:pStyle w:val="TOC8"/>
            <w:tabs>
              <w:tab w:val="left" w:leader="dot" w:pos="9101"/>
            </w:tabs>
          </w:pPr>
          <w:r>
            <w:t>Violence</w:t>
          </w:r>
          <w:r>
            <w:rPr>
              <w:spacing w:val="-3"/>
            </w:rPr>
            <w:t xml:space="preserve"> </w:t>
          </w:r>
          <w:r>
            <w:t>Perpetrator</w:t>
          </w:r>
          <w:r>
            <w:tab/>
            <w:t>251</w:t>
          </w:r>
        </w:p>
        <w:p w:rsidR="004E13A5" w:rsidRDefault="00BA59C9">
          <w:pPr>
            <w:pStyle w:val="TOC4"/>
            <w:tabs>
              <w:tab w:val="left" w:pos="2332"/>
              <w:tab w:val="left" w:leader="dot" w:pos="9101"/>
            </w:tabs>
          </w:pPr>
          <w:hyperlink w:anchor="_TOC_250255" w:history="1">
            <w:r w:rsidR="00681463">
              <w:t>12-II.F.</w:t>
            </w:r>
            <w:r w:rsidR="00681463">
              <w:tab/>
              <w:t>Termination</w:t>
            </w:r>
            <w:r w:rsidR="00681463">
              <w:rPr>
                <w:spacing w:val="-1"/>
              </w:rPr>
              <w:t xml:space="preserve"> </w:t>
            </w:r>
            <w:r w:rsidR="00681463">
              <w:t>Notice</w:t>
            </w:r>
            <w:r w:rsidR="00681463">
              <w:tab/>
              <w:t>252</w:t>
            </w:r>
          </w:hyperlink>
        </w:p>
        <w:p w:rsidR="004E13A5" w:rsidRDefault="00BA59C9">
          <w:pPr>
            <w:pStyle w:val="TOC3"/>
            <w:tabs>
              <w:tab w:val="left" w:pos="1360"/>
              <w:tab w:val="left" w:leader="dot" w:pos="9101"/>
            </w:tabs>
          </w:pPr>
          <w:hyperlink w:anchor="_TOC_250254" w:history="1">
            <w:r w:rsidR="00681463">
              <w:t>PART</w:t>
            </w:r>
            <w:r w:rsidR="00681463">
              <w:rPr>
                <w:spacing w:val="-1"/>
              </w:rPr>
              <w:t xml:space="preserve"> </w:t>
            </w:r>
            <w:r w:rsidR="00681463">
              <w:t>III:</w:t>
            </w:r>
            <w:r w:rsidR="00681463">
              <w:tab/>
              <w:t>TERMINATION OF TENANCY BY</w:t>
            </w:r>
            <w:r w:rsidR="00681463">
              <w:rPr>
                <w:spacing w:val="-5"/>
              </w:rPr>
              <w:t xml:space="preserve"> </w:t>
            </w:r>
            <w:r w:rsidR="00681463">
              <w:t>THE</w:t>
            </w:r>
            <w:r w:rsidR="00681463">
              <w:rPr>
                <w:spacing w:val="-1"/>
              </w:rPr>
              <w:t xml:space="preserve"> </w:t>
            </w:r>
            <w:r w:rsidR="00681463">
              <w:t>OWNER</w:t>
            </w:r>
            <w:r w:rsidR="00681463">
              <w:tab/>
              <w:t>253</w:t>
            </w:r>
          </w:hyperlink>
        </w:p>
        <w:p w:rsidR="004E13A5" w:rsidRDefault="00BA59C9">
          <w:pPr>
            <w:pStyle w:val="TOC4"/>
            <w:tabs>
              <w:tab w:val="left" w:leader="dot" w:pos="9101"/>
            </w:tabs>
          </w:pPr>
          <w:hyperlink w:anchor="_TOC_250253" w:history="1">
            <w:r w:rsidR="00681463">
              <w:t>12-III.A.</w:t>
            </w:r>
            <w:r w:rsidR="00681463">
              <w:rPr>
                <w:spacing w:val="50"/>
              </w:rPr>
              <w:t xml:space="preserve"> </w:t>
            </w:r>
            <w:r w:rsidR="00681463">
              <w:t>Overview</w:t>
            </w:r>
            <w:r w:rsidR="00681463">
              <w:tab/>
              <w:t>253</w:t>
            </w:r>
          </w:hyperlink>
        </w:p>
        <w:p w:rsidR="004E13A5" w:rsidRDefault="00681463">
          <w:pPr>
            <w:pStyle w:val="TOC4"/>
            <w:ind w:left="2332" w:right="2741" w:hanging="965"/>
          </w:pPr>
          <w:r>
            <w:t>12-III.B. Grounds for Owner Termination of Tenancy [24 CFR 982.310, 24 CFR 5.2005(c), and</w:t>
          </w:r>
        </w:p>
        <w:p w:rsidR="004E13A5" w:rsidRDefault="00681463">
          <w:pPr>
            <w:pStyle w:val="TOC7"/>
            <w:tabs>
              <w:tab w:val="left" w:leader="dot" w:pos="9101"/>
            </w:tabs>
          </w:pPr>
          <w:r>
            <w:t>Form HUD-52641-A,</w:t>
          </w:r>
          <w:r>
            <w:rPr>
              <w:spacing w:val="-1"/>
            </w:rPr>
            <w:t xml:space="preserve"> </w:t>
          </w:r>
          <w:r>
            <w:t>Tenancy</w:t>
          </w:r>
          <w:r>
            <w:rPr>
              <w:spacing w:val="-6"/>
            </w:rPr>
            <w:t xml:space="preserve"> </w:t>
          </w:r>
          <w:r>
            <w:t>Addendum]</w:t>
          </w:r>
          <w:r>
            <w:tab/>
            <w:t>253</w:t>
          </w:r>
        </w:p>
        <w:p w:rsidR="004E13A5" w:rsidRDefault="00BA59C9">
          <w:pPr>
            <w:pStyle w:val="TOC8"/>
            <w:tabs>
              <w:tab w:val="left" w:leader="dot" w:pos="9101"/>
            </w:tabs>
          </w:pPr>
          <w:hyperlink w:anchor="_TOC_250252" w:history="1">
            <w:r w:rsidR="00681463">
              <w:t>Serious or Repeated</w:t>
            </w:r>
            <w:r w:rsidR="00681463">
              <w:rPr>
                <w:spacing w:val="-2"/>
              </w:rPr>
              <w:t xml:space="preserve"> </w:t>
            </w:r>
            <w:r w:rsidR="00681463">
              <w:t>Lease</w:t>
            </w:r>
            <w:r w:rsidR="00681463">
              <w:rPr>
                <w:spacing w:val="-2"/>
              </w:rPr>
              <w:t xml:space="preserve"> </w:t>
            </w:r>
            <w:r w:rsidR="00681463">
              <w:t>Violations</w:t>
            </w:r>
            <w:r w:rsidR="00681463">
              <w:tab/>
              <w:t>253</w:t>
            </w:r>
          </w:hyperlink>
        </w:p>
        <w:p w:rsidR="004E13A5" w:rsidRDefault="00BA59C9">
          <w:pPr>
            <w:pStyle w:val="TOC8"/>
            <w:tabs>
              <w:tab w:val="left" w:leader="dot" w:pos="9101"/>
            </w:tabs>
          </w:pPr>
          <w:hyperlink w:anchor="_TOC_250251" w:history="1">
            <w:r w:rsidR="00681463">
              <w:t>Violation of Federal, State, or</w:t>
            </w:r>
            <w:r w:rsidR="00681463">
              <w:rPr>
                <w:spacing w:val="-6"/>
              </w:rPr>
              <w:t xml:space="preserve"> </w:t>
            </w:r>
            <w:r w:rsidR="00681463">
              <w:t>Local</w:t>
            </w:r>
            <w:r w:rsidR="00681463">
              <w:rPr>
                <w:spacing w:val="2"/>
              </w:rPr>
              <w:t xml:space="preserve"> </w:t>
            </w:r>
            <w:r w:rsidR="00681463">
              <w:t>Law</w:t>
            </w:r>
            <w:r w:rsidR="00681463">
              <w:tab/>
              <w:t>253</w:t>
            </w:r>
          </w:hyperlink>
        </w:p>
        <w:p w:rsidR="004E13A5" w:rsidRDefault="00BA59C9">
          <w:pPr>
            <w:pStyle w:val="TOC8"/>
            <w:tabs>
              <w:tab w:val="left" w:leader="dot" w:pos="9101"/>
            </w:tabs>
          </w:pPr>
          <w:hyperlink w:anchor="_TOC_250250" w:history="1">
            <w:r w:rsidR="00681463">
              <w:t>Criminal Activity or</w:t>
            </w:r>
            <w:r w:rsidR="00681463">
              <w:rPr>
                <w:spacing w:val="-8"/>
              </w:rPr>
              <w:t xml:space="preserve"> </w:t>
            </w:r>
            <w:r w:rsidR="00681463">
              <w:t>Alcohol Abuse</w:t>
            </w:r>
            <w:r w:rsidR="00681463">
              <w:tab/>
              <w:t>254</w:t>
            </w:r>
          </w:hyperlink>
        </w:p>
        <w:p w:rsidR="004E13A5" w:rsidRDefault="00BA59C9">
          <w:pPr>
            <w:pStyle w:val="TOC8"/>
            <w:tabs>
              <w:tab w:val="left" w:leader="dot" w:pos="9101"/>
            </w:tabs>
          </w:pPr>
          <w:hyperlink w:anchor="_TOC_250249" w:history="1">
            <w:r w:rsidR="00681463">
              <w:t>Other</w:t>
            </w:r>
            <w:r w:rsidR="00681463">
              <w:rPr>
                <w:spacing w:val="-1"/>
              </w:rPr>
              <w:t xml:space="preserve"> </w:t>
            </w:r>
            <w:r w:rsidR="00681463">
              <w:t>Good</w:t>
            </w:r>
            <w:r w:rsidR="00681463">
              <w:rPr>
                <w:spacing w:val="-1"/>
              </w:rPr>
              <w:t xml:space="preserve"> </w:t>
            </w:r>
            <w:r w:rsidR="00681463">
              <w:t>Cause</w:t>
            </w:r>
            <w:r w:rsidR="00681463">
              <w:tab/>
              <w:t>254</w:t>
            </w:r>
          </w:hyperlink>
        </w:p>
        <w:p w:rsidR="004E13A5" w:rsidRDefault="00681463">
          <w:pPr>
            <w:pStyle w:val="TOC4"/>
          </w:pPr>
          <w:r>
            <w:t>12-III.C.  Eviction [24 CFR 982.310(e) and (f) and Form HUD-52641-A,</w:t>
          </w:r>
        </w:p>
        <w:p w:rsidR="004E13A5" w:rsidRDefault="00681463">
          <w:pPr>
            <w:pStyle w:val="TOC7"/>
            <w:tabs>
              <w:tab w:val="left" w:leader="dot" w:pos="9101"/>
            </w:tabs>
          </w:pPr>
          <w:r>
            <w:t>Tenancy</w:t>
          </w:r>
          <w:r>
            <w:rPr>
              <w:spacing w:val="-5"/>
            </w:rPr>
            <w:t xml:space="preserve"> </w:t>
          </w:r>
          <w:r>
            <w:t>Addendum]</w:t>
          </w:r>
          <w:r>
            <w:tab/>
            <w:t>255</w:t>
          </w:r>
        </w:p>
        <w:p w:rsidR="004E13A5" w:rsidRDefault="00681463">
          <w:pPr>
            <w:pStyle w:val="TOC4"/>
          </w:pPr>
          <w:r>
            <w:t>12-III.D.  Deciding Whether to Terminate Tenancy</w:t>
          </w:r>
        </w:p>
        <w:p w:rsidR="004E13A5" w:rsidRDefault="00681463">
          <w:pPr>
            <w:pStyle w:val="TOC7"/>
            <w:tabs>
              <w:tab w:val="left" w:leader="dot" w:pos="9101"/>
            </w:tabs>
          </w:pPr>
          <w:r>
            <w:t>[24 CFR 982.310(h), 24</w:t>
          </w:r>
          <w:r>
            <w:rPr>
              <w:spacing w:val="-5"/>
            </w:rPr>
            <w:t xml:space="preserve"> </w:t>
          </w:r>
          <w:r>
            <w:t>CFR</w:t>
          </w:r>
          <w:r>
            <w:rPr>
              <w:spacing w:val="-1"/>
            </w:rPr>
            <w:t xml:space="preserve"> </w:t>
          </w:r>
          <w:r>
            <w:t>982.310(h)(4)]</w:t>
          </w:r>
          <w:r>
            <w:tab/>
            <w:t>255</w:t>
          </w:r>
        </w:p>
        <w:p w:rsidR="004E13A5" w:rsidRDefault="00BA59C9">
          <w:pPr>
            <w:pStyle w:val="TOC4"/>
            <w:tabs>
              <w:tab w:val="left" w:leader="dot" w:pos="9101"/>
            </w:tabs>
          </w:pPr>
          <w:hyperlink w:anchor="_TOC_250248" w:history="1">
            <w:r w:rsidR="00681463">
              <w:t>12-III.E.  Effect of Tenancy Termination on the</w:t>
            </w:r>
            <w:r w:rsidR="00681463">
              <w:rPr>
                <w:spacing w:val="9"/>
              </w:rPr>
              <w:t xml:space="preserve"> </w:t>
            </w:r>
            <w:r w:rsidR="00681463">
              <w:t>Family’s</w:t>
            </w:r>
            <w:r w:rsidR="00681463">
              <w:rPr>
                <w:spacing w:val="-1"/>
              </w:rPr>
              <w:t xml:space="preserve"> </w:t>
            </w:r>
            <w:r w:rsidR="00681463">
              <w:t>Assistance</w:t>
            </w:r>
            <w:r w:rsidR="00681463">
              <w:tab/>
              <w:t>256</w:t>
            </w:r>
          </w:hyperlink>
        </w:p>
        <w:p w:rsidR="004E13A5" w:rsidRDefault="00BA59C9">
          <w:pPr>
            <w:pStyle w:val="TOC3"/>
            <w:tabs>
              <w:tab w:val="left" w:leader="dot" w:pos="9101"/>
            </w:tabs>
          </w:pPr>
          <w:hyperlink w:anchor="_TOC_250247" w:history="1">
            <w:r w:rsidR="00681463">
              <w:t>Exhibit 12-1:</w:t>
            </w:r>
            <w:r w:rsidR="00681463">
              <w:rPr>
                <w:spacing w:val="-41"/>
              </w:rPr>
              <w:t xml:space="preserve"> </w:t>
            </w:r>
            <w:r w:rsidR="00681463">
              <w:t>Statement of Family</w:t>
            </w:r>
            <w:r w:rsidR="00681463">
              <w:rPr>
                <w:spacing w:val="-6"/>
              </w:rPr>
              <w:t xml:space="preserve"> </w:t>
            </w:r>
            <w:r w:rsidR="00681463">
              <w:t>Obligations</w:t>
            </w:r>
            <w:r w:rsidR="00681463">
              <w:tab/>
              <w:t>256</w:t>
            </w:r>
          </w:hyperlink>
        </w:p>
        <w:p w:rsidR="004E13A5" w:rsidRDefault="00BA59C9">
          <w:pPr>
            <w:spacing w:before="79"/>
            <w:ind w:left="4202" w:right="4223"/>
            <w:jc w:val="center"/>
            <w:rPr>
              <w:b/>
              <w:sz w:val="24"/>
            </w:rPr>
          </w:pPr>
          <w:hyperlink w:anchor="_TOC_250246" w:history="1">
            <w:r w:rsidR="00681463">
              <w:rPr>
                <w:b/>
                <w:sz w:val="24"/>
              </w:rPr>
              <w:t>Chapter 13</w:t>
            </w:r>
            <w:r w:rsidR="00681463">
              <w:rPr>
                <w:b/>
                <w:w w:val="99"/>
                <w:sz w:val="24"/>
              </w:rPr>
              <w:t xml:space="preserve"> </w:t>
            </w:r>
            <w:r w:rsidR="00681463">
              <w:rPr>
                <w:b/>
                <w:sz w:val="24"/>
              </w:rPr>
              <w:t>OWNERS</w:t>
            </w:r>
          </w:hyperlink>
        </w:p>
        <w:p w:rsidR="004E13A5" w:rsidRDefault="00BA59C9">
          <w:pPr>
            <w:pStyle w:val="TOC3"/>
            <w:tabs>
              <w:tab w:val="left" w:pos="1360"/>
              <w:tab w:val="left" w:leader="dot" w:pos="9101"/>
            </w:tabs>
            <w:spacing w:before="119"/>
          </w:pPr>
          <w:hyperlink w:anchor="_TOC_250245" w:history="1">
            <w:r w:rsidR="00681463">
              <w:t>PART</w:t>
            </w:r>
            <w:r w:rsidR="00681463">
              <w:rPr>
                <w:spacing w:val="1"/>
              </w:rPr>
              <w:t xml:space="preserve"> </w:t>
            </w:r>
            <w:r w:rsidR="00681463">
              <w:rPr>
                <w:spacing w:val="-3"/>
              </w:rPr>
              <w:t>I:</w:t>
            </w:r>
            <w:r w:rsidR="00681463">
              <w:rPr>
                <w:spacing w:val="-3"/>
              </w:rPr>
              <w:tab/>
            </w:r>
            <w:r w:rsidR="00681463">
              <w:t xml:space="preserve">OWNERS </w:t>
            </w:r>
            <w:r w:rsidR="00681463">
              <w:rPr>
                <w:spacing w:val="-3"/>
              </w:rPr>
              <w:t xml:space="preserve">IN </w:t>
            </w:r>
            <w:r w:rsidR="00681463">
              <w:t>THE</w:t>
            </w:r>
            <w:r w:rsidR="00681463">
              <w:rPr>
                <w:spacing w:val="2"/>
              </w:rPr>
              <w:t xml:space="preserve"> </w:t>
            </w:r>
            <w:r w:rsidR="00681463">
              <w:t>HCV PROGRAM</w:t>
            </w:r>
            <w:r w:rsidR="00681463">
              <w:tab/>
              <w:t>259</w:t>
            </w:r>
          </w:hyperlink>
        </w:p>
        <w:p w:rsidR="004E13A5" w:rsidRDefault="00681463">
          <w:pPr>
            <w:pStyle w:val="TOC4"/>
            <w:tabs>
              <w:tab w:val="left" w:pos="2332"/>
              <w:tab w:val="left" w:leader="dot" w:pos="9101"/>
            </w:tabs>
          </w:pPr>
          <w:r>
            <w:t>13-I.A.</w:t>
          </w:r>
          <w:r>
            <w:tab/>
            <w:t>Owner Recruitment and Retention [HCV GB, pp. 2-4</w:t>
          </w:r>
          <w:r>
            <w:rPr>
              <w:spacing w:val="-3"/>
            </w:rPr>
            <w:t xml:space="preserve"> </w:t>
          </w:r>
          <w:r>
            <w:t>to</w:t>
          </w:r>
          <w:r>
            <w:rPr>
              <w:spacing w:val="-1"/>
            </w:rPr>
            <w:t xml:space="preserve"> </w:t>
          </w:r>
          <w:r>
            <w:t>2-6]</w:t>
          </w:r>
          <w:r>
            <w:tab/>
            <w:t>259</w:t>
          </w:r>
        </w:p>
        <w:p w:rsidR="004E13A5" w:rsidRDefault="00681463">
          <w:pPr>
            <w:pStyle w:val="TOC8"/>
            <w:tabs>
              <w:tab w:val="left" w:leader="dot" w:pos="9101"/>
            </w:tabs>
          </w:pPr>
          <w:r>
            <w:t>Recruitment</w:t>
          </w:r>
          <w:r>
            <w:tab/>
            <w:t>259</w:t>
          </w:r>
        </w:p>
        <w:p w:rsidR="004E13A5" w:rsidRDefault="00BA59C9">
          <w:pPr>
            <w:pStyle w:val="TOC8"/>
            <w:tabs>
              <w:tab w:val="left" w:leader="dot" w:pos="9101"/>
            </w:tabs>
          </w:pPr>
          <w:hyperlink w:anchor="_TOC_250244" w:history="1">
            <w:r w:rsidR="00681463">
              <w:t>Retention</w:t>
            </w:r>
            <w:r w:rsidR="00681463">
              <w:tab/>
              <w:t>260</w:t>
            </w:r>
          </w:hyperlink>
        </w:p>
        <w:p w:rsidR="004E13A5" w:rsidRDefault="00BA59C9">
          <w:pPr>
            <w:pStyle w:val="TOC4"/>
            <w:tabs>
              <w:tab w:val="left" w:pos="2332"/>
              <w:tab w:val="left" w:leader="dot" w:pos="9101"/>
            </w:tabs>
          </w:pPr>
          <w:hyperlink w:anchor="_TOC_250243" w:history="1">
            <w:r w:rsidR="00681463">
              <w:t>13-I.B.</w:t>
            </w:r>
            <w:r w:rsidR="00681463">
              <w:tab/>
              <w:t>Basic HCV</w:t>
            </w:r>
            <w:r w:rsidR="00681463">
              <w:rPr>
                <w:spacing w:val="-3"/>
              </w:rPr>
              <w:t xml:space="preserve"> </w:t>
            </w:r>
            <w:r w:rsidR="00681463">
              <w:t>Program</w:t>
            </w:r>
            <w:r w:rsidR="00681463">
              <w:rPr>
                <w:spacing w:val="-2"/>
              </w:rPr>
              <w:t xml:space="preserve"> </w:t>
            </w:r>
            <w:r w:rsidR="00681463">
              <w:t>Requirements</w:t>
            </w:r>
            <w:r w:rsidR="00681463">
              <w:tab/>
              <w:t>260</w:t>
            </w:r>
          </w:hyperlink>
        </w:p>
        <w:p w:rsidR="004E13A5" w:rsidRDefault="00BA59C9">
          <w:pPr>
            <w:pStyle w:val="TOC4"/>
            <w:tabs>
              <w:tab w:val="left" w:pos="2332"/>
              <w:tab w:val="left" w:leader="dot" w:pos="9101"/>
            </w:tabs>
          </w:pPr>
          <w:hyperlink w:anchor="_TOC_250242" w:history="1">
            <w:r w:rsidR="00681463">
              <w:t>13-I.C.</w:t>
            </w:r>
            <w:r w:rsidR="00681463">
              <w:tab/>
              <w:t>Owner Responsibilities [24</w:t>
            </w:r>
            <w:r w:rsidR="00681463">
              <w:rPr>
                <w:spacing w:val="-2"/>
              </w:rPr>
              <w:t xml:space="preserve"> </w:t>
            </w:r>
            <w:r w:rsidR="00681463">
              <w:t>CFR</w:t>
            </w:r>
            <w:r w:rsidR="00681463">
              <w:rPr>
                <w:spacing w:val="-1"/>
              </w:rPr>
              <w:t xml:space="preserve"> </w:t>
            </w:r>
            <w:r w:rsidR="00681463">
              <w:t>982.452]</w:t>
            </w:r>
            <w:r w:rsidR="00681463">
              <w:tab/>
              <w:t>262</w:t>
            </w:r>
          </w:hyperlink>
        </w:p>
        <w:p w:rsidR="004E13A5" w:rsidRDefault="00BA59C9">
          <w:pPr>
            <w:pStyle w:val="TOC4"/>
            <w:tabs>
              <w:tab w:val="left" w:pos="2332"/>
              <w:tab w:val="left" w:leader="dot" w:pos="9101"/>
            </w:tabs>
          </w:pPr>
          <w:hyperlink w:anchor="_TOC_250241" w:history="1">
            <w:r w:rsidR="00681463">
              <w:t>13-I.D.</w:t>
            </w:r>
            <w:r w:rsidR="00681463">
              <w:tab/>
              <w:t>Owner</w:t>
            </w:r>
            <w:r w:rsidR="00681463">
              <w:rPr>
                <w:spacing w:val="-2"/>
              </w:rPr>
              <w:t xml:space="preserve"> </w:t>
            </w:r>
            <w:r w:rsidR="00681463">
              <w:t>Qualifications</w:t>
            </w:r>
            <w:r w:rsidR="00681463">
              <w:tab/>
              <w:t>262</w:t>
            </w:r>
          </w:hyperlink>
        </w:p>
        <w:p w:rsidR="004E13A5" w:rsidRDefault="00BA59C9">
          <w:pPr>
            <w:pStyle w:val="TOC8"/>
            <w:tabs>
              <w:tab w:val="left" w:leader="dot" w:pos="9101"/>
            </w:tabs>
          </w:pPr>
          <w:hyperlink w:anchor="_TOC_250240" w:history="1">
            <w:r w:rsidR="00681463">
              <w:t>Owners Barred from Participation [24 CFR 982.306(a)</w:t>
            </w:r>
            <w:r w:rsidR="00681463">
              <w:rPr>
                <w:spacing w:val="-9"/>
              </w:rPr>
              <w:t xml:space="preserve"> </w:t>
            </w:r>
            <w:r w:rsidR="00681463">
              <w:t>and (b)]</w:t>
            </w:r>
            <w:r w:rsidR="00681463">
              <w:tab/>
              <w:t>262</w:t>
            </w:r>
          </w:hyperlink>
        </w:p>
        <w:p w:rsidR="004E13A5" w:rsidRDefault="00BA59C9">
          <w:pPr>
            <w:pStyle w:val="TOC8"/>
            <w:tabs>
              <w:tab w:val="left" w:leader="dot" w:pos="9101"/>
            </w:tabs>
          </w:pPr>
          <w:hyperlink w:anchor="_TOC_250239" w:history="1">
            <w:r w:rsidR="00681463">
              <w:t>Leasing to Relatives [24 CFR 982.306(d), HCV GB</w:t>
            </w:r>
            <w:r w:rsidR="00681463">
              <w:rPr>
                <w:spacing w:val="-8"/>
              </w:rPr>
              <w:t xml:space="preserve"> </w:t>
            </w:r>
            <w:r w:rsidR="00681463">
              <w:t>p.</w:t>
            </w:r>
            <w:r w:rsidR="00681463">
              <w:rPr>
                <w:spacing w:val="-1"/>
              </w:rPr>
              <w:t xml:space="preserve"> </w:t>
            </w:r>
            <w:r w:rsidR="00681463">
              <w:t>11-2]</w:t>
            </w:r>
            <w:r w:rsidR="00681463">
              <w:tab/>
              <w:t>262</w:t>
            </w:r>
          </w:hyperlink>
        </w:p>
        <w:p w:rsidR="004E13A5" w:rsidRDefault="00681463">
          <w:pPr>
            <w:pStyle w:val="TOC8"/>
            <w:tabs>
              <w:tab w:val="left" w:leader="dot" w:pos="9101"/>
            </w:tabs>
          </w:pPr>
          <w:r>
            <w:t>Conflict of Interest [24 CFR 982.161; HCV GB</w:t>
          </w:r>
          <w:r>
            <w:rPr>
              <w:spacing w:val="-8"/>
            </w:rPr>
            <w:t xml:space="preserve"> </w:t>
          </w:r>
          <w:r>
            <w:t>p.</w:t>
          </w:r>
          <w:r>
            <w:rPr>
              <w:spacing w:val="3"/>
            </w:rPr>
            <w:t xml:space="preserve"> </w:t>
          </w:r>
          <w:r>
            <w:t>8-19]</w:t>
          </w:r>
          <w:r>
            <w:tab/>
            <w:t>263</w:t>
          </w:r>
        </w:p>
        <w:p w:rsidR="004E13A5" w:rsidRDefault="00681463">
          <w:pPr>
            <w:pStyle w:val="TOC8"/>
            <w:spacing w:before="1"/>
          </w:pPr>
          <w:r>
            <w:t>Owner Actions That May Result in Disapproval of a</w:t>
          </w:r>
        </w:p>
        <w:p w:rsidR="004E13A5" w:rsidRDefault="00681463">
          <w:pPr>
            <w:pStyle w:val="TOC8"/>
            <w:tabs>
              <w:tab w:val="left" w:leader="dot" w:pos="9101"/>
            </w:tabs>
          </w:pPr>
          <w:r>
            <w:t>Tenancy Request [24</w:t>
          </w:r>
          <w:r>
            <w:rPr>
              <w:spacing w:val="-6"/>
            </w:rPr>
            <w:t xml:space="preserve"> </w:t>
          </w:r>
          <w:r>
            <w:t>CFR</w:t>
          </w:r>
          <w:r>
            <w:rPr>
              <w:spacing w:val="-1"/>
            </w:rPr>
            <w:t xml:space="preserve"> </w:t>
          </w:r>
          <w:r>
            <w:t>982.306(c)]</w:t>
          </w:r>
          <w:r>
            <w:tab/>
            <w:t>264</w:t>
          </w:r>
        </w:p>
        <w:p w:rsidR="004E13A5" w:rsidRDefault="00BA59C9">
          <w:pPr>
            <w:pStyle w:val="TOC8"/>
            <w:tabs>
              <w:tab w:val="left" w:leader="dot" w:pos="9101"/>
            </w:tabs>
          </w:pPr>
          <w:hyperlink w:anchor="_TOC_250238" w:history="1">
            <w:r w:rsidR="00681463">
              <w:t>Legal Ownership</w:t>
            </w:r>
            <w:r w:rsidR="00681463">
              <w:rPr>
                <w:spacing w:val="-2"/>
              </w:rPr>
              <w:t xml:space="preserve"> </w:t>
            </w:r>
            <w:r w:rsidR="00681463">
              <w:t>of</w:t>
            </w:r>
            <w:r w:rsidR="00681463">
              <w:rPr>
                <w:spacing w:val="-2"/>
              </w:rPr>
              <w:t xml:space="preserve"> </w:t>
            </w:r>
            <w:r w:rsidR="00681463">
              <w:t>Unit</w:t>
            </w:r>
            <w:r w:rsidR="00681463">
              <w:tab/>
              <w:t>265</w:t>
            </w:r>
          </w:hyperlink>
        </w:p>
        <w:p w:rsidR="004E13A5" w:rsidRDefault="00BA59C9">
          <w:pPr>
            <w:pStyle w:val="TOC4"/>
            <w:tabs>
              <w:tab w:val="left" w:pos="2332"/>
              <w:tab w:val="left" w:leader="dot" w:pos="9101"/>
            </w:tabs>
          </w:pPr>
          <w:hyperlink w:anchor="_TOC_250237" w:history="1">
            <w:r w:rsidR="00681463">
              <w:t>13-I.E.</w:t>
            </w:r>
            <w:r w:rsidR="00681463">
              <w:tab/>
              <w:t>Non-Discrimination [HAP Contract –</w:t>
            </w:r>
            <w:r w:rsidR="00681463">
              <w:rPr>
                <w:spacing w:val="-4"/>
              </w:rPr>
              <w:t xml:space="preserve"> </w:t>
            </w:r>
            <w:r w:rsidR="00681463">
              <w:t>Form</w:t>
            </w:r>
            <w:r w:rsidR="00681463">
              <w:rPr>
                <w:spacing w:val="-1"/>
              </w:rPr>
              <w:t xml:space="preserve"> </w:t>
            </w:r>
            <w:r w:rsidR="00681463">
              <w:t>HUD-52641]</w:t>
            </w:r>
            <w:r w:rsidR="00681463">
              <w:tab/>
              <w:t>265</w:t>
            </w:r>
          </w:hyperlink>
        </w:p>
        <w:p w:rsidR="004E13A5" w:rsidRDefault="00BA59C9">
          <w:pPr>
            <w:pStyle w:val="TOC3"/>
            <w:tabs>
              <w:tab w:val="left" w:pos="1360"/>
              <w:tab w:val="left" w:leader="dot" w:pos="9101"/>
            </w:tabs>
          </w:pPr>
          <w:hyperlink w:anchor="_TOC_250236" w:history="1">
            <w:r w:rsidR="00681463">
              <w:t>PART</w:t>
            </w:r>
            <w:r w:rsidR="00681463">
              <w:rPr>
                <w:spacing w:val="2"/>
              </w:rPr>
              <w:t xml:space="preserve"> </w:t>
            </w:r>
            <w:r w:rsidR="00681463">
              <w:rPr>
                <w:spacing w:val="-3"/>
              </w:rPr>
              <w:t>II:</w:t>
            </w:r>
            <w:r w:rsidR="00681463">
              <w:rPr>
                <w:spacing w:val="-3"/>
              </w:rPr>
              <w:tab/>
            </w:r>
            <w:r w:rsidR="00681463">
              <w:t>HAP</w:t>
            </w:r>
            <w:r w:rsidR="00681463">
              <w:rPr>
                <w:spacing w:val="-1"/>
              </w:rPr>
              <w:t xml:space="preserve"> </w:t>
            </w:r>
            <w:r w:rsidR="00681463">
              <w:t>CONTRACTS</w:t>
            </w:r>
            <w:r w:rsidR="00681463">
              <w:tab/>
              <w:t>265</w:t>
            </w:r>
          </w:hyperlink>
        </w:p>
        <w:p w:rsidR="004E13A5" w:rsidRDefault="00BA59C9">
          <w:pPr>
            <w:pStyle w:val="TOC4"/>
            <w:tabs>
              <w:tab w:val="left" w:leader="dot" w:pos="9101"/>
            </w:tabs>
          </w:pPr>
          <w:hyperlink w:anchor="_TOC_250235" w:history="1">
            <w:r w:rsidR="00681463">
              <w:t xml:space="preserve">13-II.A.  </w:t>
            </w:r>
            <w:r w:rsidR="00681463">
              <w:rPr>
                <w:spacing w:val="9"/>
              </w:rPr>
              <w:t xml:space="preserve"> </w:t>
            </w:r>
            <w:r w:rsidR="00681463">
              <w:t>Overview</w:t>
            </w:r>
            <w:r w:rsidR="00681463">
              <w:tab/>
              <w:t>265</w:t>
            </w:r>
          </w:hyperlink>
        </w:p>
        <w:p w:rsidR="004E13A5" w:rsidRDefault="00BA59C9">
          <w:pPr>
            <w:pStyle w:val="TOC4"/>
            <w:tabs>
              <w:tab w:val="left" w:pos="2332"/>
              <w:tab w:val="left" w:leader="dot" w:pos="9101"/>
            </w:tabs>
          </w:pPr>
          <w:hyperlink w:anchor="_TOC_250234" w:history="1">
            <w:r w:rsidR="00681463">
              <w:t>13-II.B.</w:t>
            </w:r>
            <w:r w:rsidR="00681463">
              <w:tab/>
              <w:t>HAP</w:t>
            </w:r>
            <w:r w:rsidR="00681463">
              <w:rPr>
                <w:spacing w:val="-1"/>
              </w:rPr>
              <w:t xml:space="preserve"> </w:t>
            </w:r>
            <w:r w:rsidR="00681463">
              <w:t>Contract</w:t>
            </w:r>
            <w:r w:rsidR="00681463">
              <w:rPr>
                <w:spacing w:val="-1"/>
              </w:rPr>
              <w:t xml:space="preserve"> </w:t>
            </w:r>
            <w:r w:rsidR="00681463">
              <w:t>Contents</w:t>
            </w:r>
            <w:r w:rsidR="00681463">
              <w:tab/>
              <w:t>266</w:t>
            </w:r>
          </w:hyperlink>
        </w:p>
        <w:p w:rsidR="004E13A5" w:rsidRDefault="00BA59C9">
          <w:pPr>
            <w:pStyle w:val="TOC4"/>
            <w:tabs>
              <w:tab w:val="left" w:pos="2332"/>
              <w:tab w:val="left" w:leader="dot" w:pos="9101"/>
            </w:tabs>
          </w:pPr>
          <w:hyperlink w:anchor="_TOC_250233" w:history="1">
            <w:r w:rsidR="00681463">
              <w:t>13-II.C.</w:t>
            </w:r>
            <w:r w:rsidR="00681463">
              <w:tab/>
              <w:t>HAP</w:t>
            </w:r>
            <w:r w:rsidR="00681463">
              <w:rPr>
                <w:spacing w:val="-2"/>
              </w:rPr>
              <w:t xml:space="preserve"> </w:t>
            </w:r>
            <w:r w:rsidR="00681463">
              <w:t>Contract</w:t>
            </w:r>
            <w:r w:rsidR="00681463">
              <w:rPr>
                <w:spacing w:val="-2"/>
              </w:rPr>
              <w:t xml:space="preserve"> </w:t>
            </w:r>
            <w:r w:rsidR="00681463">
              <w:t>Payments</w:t>
            </w:r>
            <w:r w:rsidR="00681463">
              <w:tab/>
              <w:t>267</w:t>
            </w:r>
          </w:hyperlink>
        </w:p>
        <w:p w:rsidR="004E13A5" w:rsidRDefault="00BA59C9">
          <w:pPr>
            <w:pStyle w:val="TOC8"/>
            <w:tabs>
              <w:tab w:val="left" w:leader="dot" w:pos="9101"/>
            </w:tabs>
          </w:pPr>
          <w:hyperlink w:anchor="_TOC_250232" w:history="1">
            <w:r w:rsidR="00681463">
              <w:t>General</w:t>
            </w:r>
            <w:r w:rsidR="00681463">
              <w:tab/>
              <w:t>267</w:t>
            </w:r>
          </w:hyperlink>
        </w:p>
        <w:p w:rsidR="004E13A5" w:rsidRDefault="00BA59C9">
          <w:pPr>
            <w:pStyle w:val="TOC8"/>
            <w:tabs>
              <w:tab w:val="left" w:leader="dot" w:pos="9101"/>
            </w:tabs>
          </w:pPr>
          <w:hyperlink w:anchor="_TOC_250231" w:history="1">
            <w:r w:rsidR="00681463">
              <w:t>Owner Certification</w:t>
            </w:r>
            <w:r w:rsidR="00681463">
              <w:rPr>
                <w:spacing w:val="-2"/>
              </w:rPr>
              <w:t xml:space="preserve"> </w:t>
            </w:r>
            <w:r w:rsidR="00681463">
              <w:t>of</w:t>
            </w:r>
            <w:r w:rsidR="00681463">
              <w:rPr>
                <w:spacing w:val="-2"/>
              </w:rPr>
              <w:t xml:space="preserve"> </w:t>
            </w:r>
            <w:r w:rsidR="00681463">
              <w:t>Compliance</w:t>
            </w:r>
            <w:r w:rsidR="00681463">
              <w:tab/>
              <w:t>267</w:t>
            </w:r>
          </w:hyperlink>
        </w:p>
        <w:p w:rsidR="004E13A5" w:rsidRDefault="00BA59C9">
          <w:pPr>
            <w:pStyle w:val="TOC8"/>
            <w:tabs>
              <w:tab w:val="left" w:leader="dot" w:pos="9101"/>
            </w:tabs>
          </w:pPr>
          <w:hyperlink w:anchor="_TOC_250230" w:history="1">
            <w:r w:rsidR="00681463">
              <w:t>Late HAP Payments [24</w:t>
            </w:r>
            <w:r w:rsidR="00681463">
              <w:rPr>
                <w:spacing w:val="-7"/>
              </w:rPr>
              <w:t xml:space="preserve"> </w:t>
            </w:r>
            <w:r w:rsidR="00681463">
              <w:t>CFR</w:t>
            </w:r>
            <w:r w:rsidR="00681463">
              <w:rPr>
                <w:spacing w:val="-2"/>
              </w:rPr>
              <w:t xml:space="preserve"> </w:t>
            </w:r>
            <w:r w:rsidR="00681463">
              <w:t>982.451(a)(5)]</w:t>
            </w:r>
            <w:r w:rsidR="00681463">
              <w:tab/>
              <w:t>268</w:t>
            </w:r>
          </w:hyperlink>
        </w:p>
        <w:p w:rsidR="004E13A5" w:rsidRDefault="00BA59C9">
          <w:pPr>
            <w:pStyle w:val="TOC8"/>
            <w:tabs>
              <w:tab w:val="left" w:leader="dot" w:pos="9101"/>
            </w:tabs>
          </w:pPr>
          <w:hyperlink w:anchor="_TOC_250229" w:history="1">
            <w:r w:rsidR="00681463">
              <w:t>Termination of HAP Payments [24</w:t>
            </w:r>
            <w:r w:rsidR="00681463">
              <w:rPr>
                <w:spacing w:val="-4"/>
              </w:rPr>
              <w:t xml:space="preserve"> </w:t>
            </w:r>
            <w:r w:rsidR="00681463">
              <w:t>CFR</w:t>
            </w:r>
            <w:r w:rsidR="00681463">
              <w:rPr>
                <w:spacing w:val="-1"/>
              </w:rPr>
              <w:t xml:space="preserve"> </w:t>
            </w:r>
            <w:r w:rsidR="00681463">
              <w:t>982.311(b)]</w:t>
            </w:r>
            <w:r w:rsidR="00681463">
              <w:tab/>
              <w:t>268</w:t>
            </w:r>
          </w:hyperlink>
        </w:p>
        <w:p w:rsidR="004E13A5" w:rsidRDefault="00BA59C9">
          <w:pPr>
            <w:pStyle w:val="TOC4"/>
            <w:tabs>
              <w:tab w:val="left" w:leader="dot" w:pos="9101"/>
            </w:tabs>
          </w:pPr>
          <w:hyperlink w:anchor="_TOC_250228" w:history="1">
            <w:r w:rsidR="00681463">
              <w:t>13-II.D.   Breach of HAP Contract [24</w:t>
            </w:r>
            <w:r w:rsidR="00681463">
              <w:rPr>
                <w:spacing w:val="8"/>
              </w:rPr>
              <w:t xml:space="preserve"> </w:t>
            </w:r>
            <w:r w:rsidR="00681463">
              <w:t>CFR</w:t>
            </w:r>
            <w:r w:rsidR="00681463">
              <w:rPr>
                <w:spacing w:val="-2"/>
              </w:rPr>
              <w:t xml:space="preserve"> </w:t>
            </w:r>
            <w:r w:rsidR="00681463">
              <w:t>982.453]</w:t>
            </w:r>
            <w:r w:rsidR="00681463">
              <w:tab/>
              <w:t>269</w:t>
            </w:r>
          </w:hyperlink>
        </w:p>
        <w:p w:rsidR="004E13A5" w:rsidRDefault="00BA59C9">
          <w:pPr>
            <w:pStyle w:val="TOC4"/>
            <w:tabs>
              <w:tab w:val="left" w:pos="2332"/>
              <w:tab w:val="left" w:leader="dot" w:pos="9101"/>
            </w:tabs>
          </w:pPr>
          <w:hyperlink w:anchor="_TOC_250227" w:history="1">
            <w:r w:rsidR="00681463">
              <w:t>13-II.E.</w:t>
            </w:r>
            <w:r w:rsidR="00681463">
              <w:tab/>
              <w:t>HAP Contract Term</w:t>
            </w:r>
            <w:r w:rsidR="00681463">
              <w:rPr>
                <w:spacing w:val="-5"/>
              </w:rPr>
              <w:t xml:space="preserve"> </w:t>
            </w:r>
            <w:r w:rsidR="00681463">
              <w:t>and Terminations</w:t>
            </w:r>
            <w:r w:rsidR="00681463">
              <w:tab/>
              <w:t>269</w:t>
            </w:r>
          </w:hyperlink>
        </w:p>
        <w:p w:rsidR="004E13A5" w:rsidRDefault="00681463">
          <w:pPr>
            <w:pStyle w:val="TOC4"/>
            <w:tabs>
              <w:tab w:val="left" w:pos="2332"/>
            </w:tabs>
          </w:pPr>
          <w:r>
            <w:t>13-II.F.</w:t>
          </w:r>
          <w:r>
            <w:tab/>
            <w:t>Change In Ownership / Assignment of the HAP</w:t>
          </w:r>
          <w:r>
            <w:rPr>
              <w:spacing w:val="-12"/>
            </w:rPr>
            <w:t xml:space="preserve"> </w:t>
          </w:r>
          <w:r>
            <w:t>Contract</w:t>
          </w:r>
        </w:p>
        <w:p w:rsidR="004E13A5" w:rsidRDefault="00681463">
          <w:pPr>
            <w:pStyle w:val="TOC7"/>
            <w:tabs>
              <w:tab w:val="left" w:leader="dot" w:pos="9101"/>
            </w:tabs>
          </w:pPr>
          <w:r>
            <w:t>[HUD-52641]</w:t>
          </w:r>
          <w:r>
            <w:tab/>
            <w:t>270</w:t>
          </w:r>
        </w:p>
        <w:p w:rsidR="004E13A5" w:rsidRDefault="00BA59C9">
          <w:pPr>
            <w:pStyle w:val="TOC4"/>
            <w:tabs>
              <w:tab w:val="left" w:leader="dot" w:pos="9101"/>
            </w:tabs>
          </w:pPr>
          <w:hyperlink w:anchor="_TOC_250226" w:history="1">
            <w:r w:rsidR="00681463">
              <w:t>13-II.G.   Foreclosure [Notice</w:t>
            </w:r>
            <w:r w:rsidR="00681463">
              <w:rPr>
                <w:spacing w:val="6"/>
              </w:rPr>
              <w:t xml:space="preserve"> </w:t>
            </w:r>
            <w:r w:rsidR="00681463">
              <w:t>PIH 2010-49]</w:t>
            </w:r>
            <w:r w:rsidR="00681463">
              <w:tab/>
              <w:t>271</w:t>
            </w:r>
          </w:hyperlink>
        </w:p>
        <w:p w:rsidR="004E13A5" w:rsidRDefault="00BA59C9">
          <w:pPr>
            <w:spacing w:before="515"/>
            <w:ind w:left="3429" w:right="3430" w:firstLine="772"/>
            <w:rPr>
              <w:b/>
              <w:sz w:val="24"/>
            </w:rPr>
          </w:pPr>
          <w:hyperlink w:anchor="_TOC_250225" w:history="1">
            <w:r w:rsidR="00681463">
              <w:rPr>
                <w:b/>
                <w:sz w:val="24"/>
              </w:rPr>
              <w:t>Chapter 14 PROGRAM INTEGRITY</w:t>
            </w:r>
          </w:hyperlink>
        </w:p>
        <w:p w:rsidR="004E13A5" w:rsidRDefault="00BA59C9">
          <w:pPr>
            <w:pStyle w:val="TOC3"/>
            <w:tabs>
              <w:tab w:val="left" w:pos="1360"/>
              <w:tab w:val="left" w:leader="dot" w:pos="9101"/>
            </w:tabs>
            <w:spacing w:before="119"/>
            <w:ind w:left="1396" w:right="117" w:hanging="1296"/>
          </w:pPr>
          <w:hyperlink w:anchor="_TOC_250224" w:history="1">
            <w:r w:rsidR="00681463">
              <w:t>PART</w:t>
            </w:r>
            <w:r w:rsidR="00681463">
              <w:rPr>
                <w:spacing w:val="1"/>
              </w:rPr>
              <w:t xml:space="preserve"> </w:t>
            </w:r>
            <w:r w:rsidR="00681463">
              <w:rPr>
                <w:spacing w:val="-3"/>
              </w:rPr>
              <w:t>I:</w:t>
            </w:r>
            <w:r w:rsidR="00681463">
              <w:rPr>
                <w:spacing w:val="-3"/>
              </w:rPr>
              <w:tab/>
            </w:r>
            <w:r w:rsidR="00681463">
              <w:t>PREVENTING, DETECTING, AND INVESTIGATING</w:t>
            </w:r>
            <w:r w:rsidR="00681463">
              <w:rPr>
                <w:spacing w:val="-14"/>
              </w:rPr>
              <w:t xml:space="preserve"> </w:t>
            </w:r>
            <w:r w:rsidR="00681463">
              <w:t>ERRORS</w:t>
            </w:r>
            <w:r w:rsidR="00681463">
              <w:rPr>
                <w:spacing w:val="-4"/>
              </w:rPr>
              <w:t xml:space="preserve"> </w:t>
            </w:r>
            <w:r w:rsidR="00681463">
              <w:t>AND</w:t>
            </w:r>
            <w:r w:rsidR="00681463">
              <w:rPr>
                <w:w w:val="99"/>
              </w:rPr>
              <w:t xml:space="preserve"> </w:t>
            </w:r>
            <w:r w:rsidR="00681463">
              <w:t>PROGRAM</w:t>
            </w:r>
            <w:r w:rsidR="00681463">
              <w:rPr>
                <w:spacing w:val="-2"/>
              </w:rPr>
              <w:t xml:space="preserve"> </w:t>
            </w:r>
            <w:r w:rsidR="00681463">
              <w:t>ABUSE</w:t>
            </w:r>
            <w:r w:rsidR="00681463">
              <w:tab/>
              <w:t>273</w:t>
            </w:r>
          </w:hyperlink>
        </w:p>
        <w:p w:rsidR="004E13A5" w:rsidRDefault="00BA59C9">
          <w:pPr>
            <w:pStyle w:val="TOC4"/>
            <w:tabs>
              <w:tab w:val="left" w:pos="2332"/>
              <w:tab w:val="left" w:leader="dot" w:pos="9101"/>
            </w:tabs>
          </w:pPr>
          <w:hyperlink w:anchor="_TOC_250223" w:history="1">
            <w:r w:rsidR="00681463">
              <w:t>14-I.A.</w:t>
            </w:r>
            <w:r w:rsidR="00681463">
              <w:tab/>
              <w:t>Preventing Errors and</w:t>
            </w:r>
            <w:r w:rsidR="00681463">
              <w:rPr>
                <w:spacing w:val="-4"/>
              </w:rPr>
              <w:t xml:space="preserve"> </w:t>
            </w:r>
            <w:r w:rsidR="00681463">
              <w:t>Program</w:t>
            </w:r>
            <w:r w:rsidR="00681463">
              <w:rPr>
                <w:spacing w:val="-2"/>
              </w:rPr>
              <w:t xml:space="preserve"> </w:t>
            </w:r>
            <w:r w:rsidR="00681463">
              <w:t>Abuse</w:t>
            </w:r>
            <w:r w:rsidR="00681463">
              <w:tab/>
              <w:t>273</w:t>
            </w:r>
          </w:hyperlink>
        </w:p>
        <w:p w:rsidR="004E13A5" w:rsidRDefault="00BA59C9">
          <w:pPr>
            <w:pStyle w:val="TOC4"/>
            <w:tabs>
              <w:tab w:val="left" w:pos="2332"/>
              <w:tab w:val="left" w:leader="dot" w:pos="9101"/>
            </w:tabs>
            <w:spacing w:before="1"/>
          </w:pPr>
          <w:hyperlink w:anchor="_TOC_250222" w:history="1">
            <w:r w:rsidR="00681463">
              <w:t>14-I.B.</w:t>
            </w:r>
            <w:r w:rsidR="00681463">
              <w:tab/>
              <w:t>Detecting Errors and</w:t>
            </w:r>
            <w:r w:rsidR="00681463">
              <w:rPr>
                <w:spacing w:val="-5"/>
              </w:rPr>
              <w:t xml:space="preserve"> </w:t>
            </w:r>
            <w:r w:rsidR="00681463">
              <w:t>Program</w:t>
            </w:r>
            <w:r w:rsidR="00681463">
              <w:rPr>
                <w:spacing w:val="-1"/>
              </w:rPr>
              <w:t xml:space="preserve"> </w:t>
            </w:r>
            <w:r w:rsidR="00681463">
              <w:t>Abuse</w:t>
            </w:r>
            <w:r w:rsidR="00681463">
              <w:tab/>
              <w:t>274</w:t>
            </w:r>
          </w:hyperlink>
        </w:p>
        <w:p w:rsidR="004E13A5" w:rsidRDefault="00BA59C9">
          <w:pPr>
            <w:pStyle w:val="TOC8"/>
            <w:tabs>
              <w:tab w:val="left" w:leader="dot" w:pos="9101"/>
            </w:tabs>
          </w:pPr>
          <w:hyperlink w:anchor="_TOC_250221" w:history="1">
            <w:r w:rsidR="00681463">
              <w:t>Quality Control and Analysis</w:t>
            </w:r>
            <w:r w:rsidR="00681463">
              <w:rPr>
                <w:spacing w:val="-8"/>
              </w:rPr>
              <w:t xml:space="preserve"> </w:t>
            </w:r>
            <w:r w:rsidR="00681463">
              <w:t>of</w:t>
            </w:r>
            <w:r w:rsidR="00681463">
              <w:rPr>
                <w:spacing w:val="-1"/>
              </w:rPr>
              <w:t xml:space="preserve"> </w:t>
            </w:r>
            <w:r w:rsidR="00681463">
              <w:t>Data</w:t>
            </w:r>
            <w:r w:rsidR="00681463">
              <w:tab/>
              <w:t>274</w:t>
            </w:r>
          </w:hyperlink>
        </w:p>
        <w:p w:rsidR="004E13A5" w:rsidRDefault="00BA59C9">
          <w:pPr>
            <w:pStyle w:val="TOC8"/>
            <w:tabs>
              <w:tab w:val="left" w:leader="dot" w:pos="9101"/>
            </w:tabs>
          </w:pPr>
          <w:hyperlink w:anchor="_TOC_250220" w:history="1">
            <w:r w:rsidR="00681463">
              <w:t>Independent Audits and</w:t>
            </w:r>
            <w:r w:rsidR="00681463">
              <w:rPr>
                <w:spacing w:val="-2"/>
              </w:rPr>
              <w:t xml:space="preserve"> </w:t>
            </w:r>
            <w:r w:rsidR="00681463">
              <w:t>HUD</w:t>
            </w:r>
            <w:r w:rsidR="00681463">
              <w:rPr>
                <w:spacing w:val="-2"/>
              </w:rPr>
              <w:t xml:space="preserve"> </w:t>
            </w:r>
            <w:r w:rsidR="00681463">
              <w:t>Monitoring</w:t>
            </w:r>
            <w:r w:rsidR="00681463">
              <w:tab/>
              <w:t>274</w:t>
            </w:r>
          </w:hyperlink>
        </w:p>
        <w:p w:rsidR="004E13A5" w:rsidRDefault="00BA59C9">
          <w:pPr>
            <w:pStyle w:val="TOC8"/>
            <w:tabs>
              <w:tab w:val="left" w:leader="dot" w:pos="9101"/>
            </w:tabs>
          </w:pPr>
          <w:hyperlink w:anchor="_TOC_250219" w:history="1">
            <w:r w:rsidR="00681463">
              <w:t>Individual Reporting of Possible Errors and</w:t>
            </w:r>
            <w:r w:rsidR="00681463">
              <w:rPr>
                <w:spacing w:val="-8"/>
              </w:rPr>
              <w:t xml:space="preserve"> </w:t>
            </w:r>
            <w:r w:rsidR="00681463">
              <w:t>Program</w:t>
            </w:r>
            <w:r w:rsidR="00681463">
              <w:rPr>
                <w:spacing w:val="-1"/>
              </w:rPr>
              <w:t xml:space="preserve"> </w:t>
            </w:r>
            <w:r w:rsidR="00681463">
              <w:t>Abuse</w:t>
            </w:r>
            <w:r w:rsidR="00681463">
              <w:tab/>
              <w:t>275</w:t>
            </w:r>
          </w:hyperlink>
        </w:p>
        <w:p w:rsidR="004E13A5" w:rsidRDefault="00BA59C9">
          <w:pPr>
            <w:pStyle w:val="TOC4"/>
            <w:tabs>
              <w:tab w:val="left" w:pos="2332"/>
              <w:tab w:val="left" w:leader="dot" w:pos="9101"/>
            </w:tabs>
          </w:pPr>
          <w:hyperlink w:anchor="_TOC_250218" w:history="1">
            <w:r w:rsidR="00681463">
              <w:t>14-I.C.</w:t>
            </w:r>
            <w:r w:rsidR="00681463">
              <w:tab/>
              <w:t>Investigating Errors and</w:t>
            </w:r>
            <w:r w:rsidR="00681463">
              <w:rPr>
                <w:spacing w:val="-5"/>
              </w:rPr>
              <w:t xml:space="preserve"> </w:t>
            </w:r>
            <w:r w:rsidR="00681463">
              <w:t>Program</w:t>
            </w:r>
            <w:r w:rsidR="00681463">
              <w:rPr>
                <w:spacing w:val="-2"/>
              </w:rPr>
              <w:t xml:space="preserve"> </w:t>
            </w:r>
            <w:r w:rsidR="00681463">
              <w:t>Abuse</w:t>
            </w:r>
            <w:r w:rsidR="00681463">
              <w:tab/>
              <w:t>275</w:t>
            </w:r>
          </w:hyperlink>
        </w:p>
        <w:p w:rsidR="004E13A5" w:rsidRDefault="00BA59C9">
          <w:pPr>
            <w:pStyle w:val="TOC8"/>
            <w:tabs>
              <w:tab w:val="left" w:leader="dot" w:pos="9101"/>
            </w:tabs>
          </w:pPr>
          <w:hyperlink w:anchor="_TOC_250217" w:history="1">
            <w:r w:rsidR="00681463">
              <w:t>When the PHA</w:t>
            </w:r>
            <w:r w:rsidR="00681463">
              <w:rPr>
                <w:spacing w:val="-6"/>
              </w:rPr>
              <w:t xml:space="preserve"> </w:t>
            </w:r>
            <w:r w:rsidR="00681463">
              <w:t>Will</w:t>
            </w:r>
            <w:r w:rsidR="00681463">
              <w:rPr>
                <w:spacing w:val="-2"/>
              </w:rPr>
              <w:t xml:space="preserve"> </w:t>
            </w:r>
            <w:r w:rsidR="00681463">
              <w:t>Investigate</w:t>
            </w:r>
            <w:r w:rsidR="00681463">
              <w:tab/>
              <w:t>275</w:t>
            </w:r>
          </w:hyperlink>
        </w:p>
        <w:p w:rsidR="004E13A5" w:rsidRDefault="00BA59C9">
          <w:pPr>
            <w:pStyle w:val="TOC8"/>
            <w:tabs>
              <w:tab w:val="left" w:leader="dot" w:pos="9101"/>
            </w:tabs>
          </w:pPr>
          <w:hyperlink w:anchor="_TOC_250216" w:history="1">
            <w:r w:rsidR="00681463">
              <w:t>Consent to Release of Information [24</w:t>
            </w:r>
            <w:r w:rsidR="00681463">
              <w:rPr>
                <w:spacing w:val="-8"/>
              </w:rPr>
              <w:t xml:space="preserve"> </w:t>
            </w:r>
            <w:r w:rsidR="00681463">
              <w:t>CFR</w:t>
            </w:r>
            <w:r w:rsidR="00681463">
              <w:rPr>
                <w:spacing w:val="-2"/>
              </w:rPr>
              <w:t xml:space="preserve"> </w:t>
            </w:r>
            <w:r w:rsidR="00681463">
              <w:t>982.516]</w:t>
            </w:r>
            <w:r w:rsidR="00681463">
              <w:tab/>
              <w:t>275</w:t>
            </w:r>
          </w:hyperlink>
        </w:p>
        <w:p w:rsidR="004E13A5" w:rsidRDefault="00BA59C9">
          <w:pPr>
            <w:pStyle w:val="TOC8"/>
            <w:tabs>
              <w:tab w:val="left" w:leader="dot" w:pos="9101"/>
            </w:tabs>
          </w:pPr>
          <w:hyperlink w:anchor="_TOC_250215" w:history="1">
            <w:r w:rsidR="00681463">
              <w:t>Analysis</w:t>
            </w:r>
            <w:r w:rsidR="00681463">
              <w:rPr>
                <w:spacing w:val="-3"/>
              </w:rPr>
              <w:t xml:space="preserve"> </w:t>
            </w:r>
            <w:r w:rsidR="00681463">
              <w:t>and</w:t>
            </w:r>
            <w:r w:rsidR="00681463">
              <w:rPr>
                <w:spacing w:val="-1"/>
              </w:rPr>
              <w:t xml:space="preserve"> </w:t>
            </w:r>
            <w:r w:rsidR="00681463">
              <w:t>Findings</w:t>
            </w:r>
            <w:r w:rsidR="00681463">
              <w:tab/>
              <w:t>275</w:t>
            </w:r>
          </w:hyperlink>
        </w:p>
        <w:p w:rsidR="004E13A5" w:rsidRDefault="00BA59C9">
          <w:pPr>
            <w:pStyle w:val="TOC8"/>
            <w:tabs>
              <w:tab w:val="left" w:leader="dot" w:pos="9101"/>
            </w:tabs>
          </w:pPr>
          <w:hyperlink w:anchor="_TOC_250214" w:history="1">
            <w:r w:rsidR="00681463">
              <w:t>Consideration</w:t>
            </w:r>
            <w:r w:rsidR="00681463">
              <w:rPr>
                <w:spacing w:val="-2"/>
              </w:rPr>
              <w:t xml:space="preserve"> </w:t>
            </w:r>
            <w:r w:rsidR="00681463">
              <w:t>of</w:t>
            </w:r>
            <w:r w:rsidR="00681463">
              <w:rPr>
                <w:spacing w:val="-3"/>
              </w:rPr>
              <w:t xml:space="preserve"> </w:t>
            </w:r>
            <w:r w:rsidR="00681463">
              <w:t>Remedies</w:t>
            </w:r>
            <w:r w:rsidR="00681463">
              <w:tab/>
              <w:t>275</w:t>
            </w:r>
          </w:hyperlink>
        </w:p>
        <w:p w:rsidR="004E13A5" w:rsidRDefault="00BA59C9">
          <w:pPr>
            <w:pStyle w:val="TOC8"/>
            <w:tabs>
              <w:tab w:val="left" w:leader="dot" w:pos="9101"/>
            </w:tabs>
          </w:pPr>
          <w:hyperlink w:anchor="_TOC_250213" w:history="1">
            <w:r w:rsidR="00681463">
              <w:t>Notice</w:t>
            </w:r>
            <w:r w:rsidR="00681463">
              <w:rPr>
                <w:spacing w:val="-3"/>
              </w:rPr>
              <w:t xml:space="preserve"> </w:t>
            </w:r>
            <w:r w:rsidR="00681463">
              <w:t>and</w:t>
            </w:r>
            <w:r w:rsidR="00681463">
              <w:rPr>
                <w:spacing w:val="-1"/>
              </w:rPr>
              <w:t xml:space="preserve"> </w:t>
            </w:r>
            <w:r w:rsidR="00681463">
              <w:t>Appeals</w:t>
            </w:r>
            <w:r w:rsidR="00681463">
              <w:tab/>
              <w:t>276</w:t>
            </w:r>
          </w:hyperlink>
        </w:p>
        <w:p w:rsidR="004E13A5" w:rsidRDefault="00BA59C9">
          <w:pPr>
            <w:pStyle w:val="TOC3"/>
            <w:tabs>
              <w:tab w:val="left" w:pos="1360"/>
              <w:tab w:val="right" w:leader="dot" w:pos="9461"/>
            </w:tabs>
            <w:spacing w:before="79"/>
          </w:pPr>
          <w:hyperlink w:anchor="_TOC_250212" w:history="1">
            <w:r w:rsidR="00681463">
              <w:t>PART</w:t>
            </w:r>
            <w:r w:rsidR="00681463">
              <w:rPr>
                <w:spacing w:val="2"/>
              </w:rPr>
              <w:t xml:space="preserve"> </w:t>
            </w:r>
            <w:r w:rsidR="00681463">
              <w:rPr>
                <w:spacing w:val="-3"/>
              </w:rPr>
              <w:t>II:</w:t>
            </w:r>
            <w:r w:rsidR="00681463">
              <w:rPr>
                <w:spacing w:val="-3"/>
              </w:rPr>
              <w:tab/>
            </w:r>
            <w:r w:rsidR="00681463">
              <w:t>CORRECTIVE MEASURES</w:t>
            </w:r>
            <w:r w:rsidR="00681463">
              <w:rPr>
                <w:spacing w:val="-2"/>
              </w:rPr>
              <w:t xml:space="preserve"> </w:t>
            </w:r>
            <w:r w:rsidR="00681463">
              <w:t>AND</w:t>
            </w:r>
            <w:r w:rsidR="00681463">
              <w:rPr>
                <w:spacing w:val="-1"/>
              </w:rPr>
              <w:t xml:space="preserve"> </w:t>
            </w:r>
            <w:r w:rsidR="00681463">
              <w:t>PENALTIES</w:t>
            </w:r>
            <w:r w:rsidR="00681463">
              <w:tab/>
              <w:t>276</w:t>
            </w:r>
          </w:hyperlink>
        </w:p>
        <w:p w:rsidR="004E13A5" w:rsidRDefault="00BA59C9">
          <w:pPr>
            <w:pStyle w:val="TOC4"/>
            <w:tabs>
              <w:tab w:val="right" w:leader="dot" w:pos="9461"/>
            </w:tabs>
          </w:pPr>
          <w:hyperlink w:anchor="_TOC_250211" w:history="1">
            <w:r w:rsidR="00681463">
              <w:t>14-II.A.   Subsidy Under-</w:t>
            </w:r>
            <w:r w:rsidR="00681463">
              <w:rPr>
                <w:spacing w:val="6"/>
              </w:rPr>
              <w:t xml:space="preserve"> </w:t>
            </w:r>
            <w:r w:rsidR="00681463">
              <w:t>or</w:t>
            </w:r>
            <w:r w:rsidR="00681463">
              <w:rPr>
                <w:spacing w:val="-1"/>
              </w:rPr>
              <w:t xml:space="preserve"> </w:t>
            </w:r>
            <w:r w:rsidR="00681463">
              <w:t>Overpayments</w:t>
            </w:r>
            <w:r w:rsidR="00681463">
              <w:tab/>
              <w:t>276</w:t>
            </w:r>
          </w:hyperlink>
        </w:p>
        <w:p w:rsidR="004E13A5" w:rsidRDefault="00BA59C9">
          <w:pPr>
            <w:pStyle w:val="TOC8"/>
            <w:tabs>
              <w:tab w:val="right" w:leader="dot" w:pos="9461"/>
            </w:tabs>
          </w:pPr>
          <w:hyperlink w:anchor="_TOC_250210" w:history="1">
            <w:r w:rsidR="00681463">
              <w:t>Corrections</w:t>
            </w:r>
            <w:r w:rsidR="00681463">
              <w:tab/>
              <w:t>276</w:t>
            </w:r>
          </w:hyperlink>
        </w:p>
        <w:p w:rsidR="004E13A5" w:rsidRDefault="00BA59C9">
          <w:pPr>
            <w:pStyle w:val="TOC8"/>
            <w:tabs>
              <w:tab w:val="right" w:leader="dot" w:pos="9461"/>
            </w:tabs>
          </w:pPr>
          <w:hyperlink w:anchor="_TOC_250209" w:history="1">
            <w:r w:rsidR="00681463">
              <w:t>Reimbursement</w:t>
            </w:r>
            <w:r w:rsidR="00681463">
              <w:tab/>
              <w:t>276</w:t>
            </w:r>
          </w:hyperlink>
        </w:p>
        <w:p w:rsidR="004E13A5" w:rsidRDefault="00BA59C9">
          <w:pPr>
            <w:pStyle w:val="TOC4"/>
            <w:tabs>
              <w:tab w:val="left" w:pos="2332"/>
              <w:tab w:val="right" w:leader="dot" w:pos="9461"/>
            </w:tabs>
          </w:pPr>
          <w:hyperlink w:anchor="_TOC_250208" w:history="1">
            <w:r w:rsidR="00681463">
              <w:t>14-II.B.</w:t>
            </w:r>
            <w:r w:rsidR="00681463">
              <w:tab/>
              <w:t>Family-Caused Errors and</w:t>
            </w:r>
            <w:r w:rsidR="00681463">
              <w:rPr>
                <w:spacing w:val="-1"/>
              </w:rPr>
              <w:t xml:space="preserve"> </w:t>
            </w:r>
            <w:r w:rsidR="00681463">
              <w:t>Program</w:t>
            </w:r>
            <w:r w:rsidR="00681463">
              <w:rPr>
                <w:spacing w:val="-1"/>
              </w:rPr>
              <w:t xml:space="preserve"> </w:t>
            </w:r>
            <w:r w:rsidR="00681463">
              <w:t>Abuse</w:t>
            </w:r>
            <w:r w:rsidR="00681463">
              <w:tab/>
              <w:t>277</w:t>
            </w:r>
          </w:hyperlink>
        </w:p>
        <w:p w:rsidR="004E13A5" w:rsidRDefault="00BA59C9">
          <w:pPr>
            <w:pStyle w:val="TOC8"/>
            <w:tabs>
              <w:tab w:val="right" w:leader="dot" w:pos="9461"/>
            </w:tabs>
          </w:pPr>
          <w:hyperlink w:anchor="_TOC_250207" w:history="1">
            <w:r w:rsidR="00681463">
              <w:t>Family Reimbursement to PHA [HCV GB pp. 22-12</w:t>
            </w:r>
            <w:r w:rsidR="00681463">
              <w:rPr>
                <w:spacing w:val="-8"/>
              </w:rPr>
              <w:t xml:space="preserve"> </w:t>
            </w:r>
            <w:r w:rsidR="00681463">
              <w:t>to 22-13]</w:t>
            </w:r>
            <w:r w:rsidR="00681463">
              <w:tab/>
              <w:t>277</w:t>
            </w:r>
          </w:hyperlink>
        </w:p>
        <w:p w:rsidR="004E13A5" w:rsidRDefault="00BA59C9">
          <w:pPr>
            <w:pStyle w:val="TOC8"/>
            <w:tabs>
              <w:tab w:val="right" w:leader="dot" w:pos="9461"/>
            </w:tabs>
          </w:pPr>
          <w:hyperlink w:anchor="_TOC_250206" w:history="1">
            <w:r w:rsidR="00681463">
              <w:t>PHA Reimbursement to Family [HCV GB</w:t>
            </w:r>
            <w:r w:rsidR="00681463">
              <w:rPr>
                <w:spacing w:val="-8"/>
              </w:rPr>
              <w:t xml:space="preserve"> </w:t>
            </w:r>
            <w:r w:rsidR="00681463">
              <w:t>p. 22-12]</w:t>
            </w:r>
            <w:r w:rsidR="00681463">
              <w:tab/>
              <w:t>277</w:t>
            </w:r>
          </w:hyperlink>
        </w:p>
        <w:p w:rsidR="004E13A5" w:rsidRDefault="00BA59C9">
          <w:pPr>
            <w:pStyle w:val="TOC8"/>
            <w:tabs>
              <w:tab w:val="right" w:leader="dot" w:pos="9461"/>
            </w:tabs>
          </w:pPr>
          <w:hyperlink w:anchor="_TOC_250205" w:history="1">
            <w:r w:rsidR="00681463">
              <w:t>Prohibited</w:t>
            </w:r>
            <w:r w:rsidR="00681463">
              <w:rPr>
                <w:spacing w:val="-1"/>
              </w:rPr>
              <w:t xml:space="preserve"> </w:t>
            </w:r>
            <w:r w:rsidR="00681463">
              <w:t>Actions</w:t>
            </w:r>
            <w:r w:rsidR="00681463">
              <w:tab/>
              <w:t>277</w:t>
            </w:r>
          </w:hyperlink>
        </w:p>
        <w:p w:rsidR="004E13A5" w:rsidRDefault="00BA59C9">
          <w:pPr>
            <w:pStyle w:val="TOC8"/>
            <w:tabs>
              <w:tab w:val="right" w:leader="dot" w:pos="9461"/>
            </w:tabs>
          </w:pPr>
          <w:hyperlink w:anchor="_TOC_250204" w:history="1">
            <w:r w:rsidR="00681463">
              <w:t>Penalties for</w:t>
            </w:r>
            <w:r w:rsidR="00681463">
              <w:rPr>
                <w:spacing w:val="-1"/>
              </w:rPr>
              <w:t xml:space="preserve"> </w:t>
            </w:r>
            <w:r w:rsidR="00681463">
              <w:t>Program</w:t>
            </w:r>
            <w:r w:rsidR="00681463">
              <w:rPr>
                <w:spacing w:val="-1"/>
              </w:rPr>
              <w:t xml:space="preserve"> </w:t>
            </w:r>
            <w:r w:rsidR="00681463">
              <w:t>Abuse</w:t>
            </w:r>
            <w:r w:rsidR="00681463">
              <w:tab/>
              <w:t>278</w:t>
            </w:r>
          </w:hyperlink>
        </w:p>
        <w:p w:rsidR="004E13A5" w:rsidRDefault="00BA59C9">
          <w:pPr>
            <w:pStyle w:val="TOC4"/>
            <w:tabs>
              <w:tab w:val="left" w:pos="2332"/>
              <w:tab w:val="right" w:leader="dot" w:pos="9461"/>
            </w:tabs>
          </w:pPr>
          <w:hyperlink w:anchor="_TOC_250203" w:history="1">
            <w:r w:rsidR="00681463">
              <w:t>14-II.C.</w:t>
            </w:r>
            <w:r w:rsidR="00681463">
              <w:tab/>
              <w:t>Owner-Caused Error or</w:t>
            </w:r>
            <w:r w:rsidR="00681463">
              <w:rPr>
                <w:spacing w:val="-1"/>
              </w:rPr>
              <w:t xml:space="preserve"> </w:t>
            </w:r>
            <w:r w:rsidR="00681463">
              <w:t>Program</w:t>
            </w:r>
            <w:r w:rsidR="00681463">
              <w:rPr>
                <w:spacing w:val="-1"/>
              </w:rPr>
              <w:t xml:space="preserve"> </w:t>
            </w:r>
            <w:r w:rsidR="00681463">
              <w:t>Abuse</w:t>
            </w:r>
            <w:r w:rsidR="00681463">
              <w:tab/>
              <w:t>278</w:t>
            </w:r>
          </w:hyperlink>
        </w:p>
        <w:p w:rsidR="004E13A5" w:rsidRDefault="00BA59C9">
          <w:pPr>
            <w:pStyle w:val="TOC8"/>
            <w:tabs>
              <w:tab w:val="right" w:leader="dot" w:pos="9461"/>
            </w:tabs>
          </w:pPr>
          <w:hyperlink w:anchor="_TOC_250202" w:history="1">
            <w:r w:rsidR="00681463">
              <w:t>Owner Reimbursement to</w:t>
            </w:r>
            <w:r w:rsidR="00681463">
              <w:rPr>
                <w:spacing w:val="-1"/>
              </w:rPr>
              <w:t xml:space="preserve"> </w:t>
            </w:r>
            <w:r w:rsidR="00681463">
              <w:t>the</w:t>
            </w:r>
            <w:r w:rsidR="00681463">
              <w:rPr>
                <w:spacing w:val="-1"/>
              </w:rPr>
              <w:t xml:space="preserve"> </w:t>
            </w:r>
            <w:r w:rsidR="00681463">
              <w:t>PHA</w:t>
            </w:r>
            <w:r w:rsidR="00681463">
              <w:tab/>
              <w:t>278</w:t>
            </w:r>
          </w:hyperlink>
        </w:p>
        <w:p w:rsidR="004E13A5" w:rsidRDefault="00BA59C9">
          <w:pPr>
            <w:pStyle w:val="TOC8"/>
            <w:tabs>
              <w:tab w:val="right" w:leader="dot" w:pos="9461"/>
            </w:tabs>
          </w:pPr>
          <w:hyperlink w:anchor="_TOC_250201" w:history="1">
            <w:r w:rsidR="00681463">
              <w:t>Prohibited</w:t>
            </w:r>
            <w:r w:rsidR="00681463">
              <w:rPr>
                <w:spacing w:val="-1"/>
              </w:rPr>
              <w:t xml:space="preserve"> </w:t>
            </w:r>
            <w:r w:rsidR="00681463">
              <w:t>Owner</w:t>
            </w:r>
            <w:r w:rsidR="00681463">
              <w:rPr>
                <w:spacing w:val="-1"/>
              </w:rPr>
              <w:t xml:space="preserve"> </w:t>
            </w:r>
            <w:r w:rsidR="00681463">
              <w:t>Actions</w:t>
            </w:r>
            <w:r w:rsidR="00681463">
              <w:tab/>
              <w:t>278</w:t>
            </w:r>
          </w:hyperlink>
        </w:p>
        <w:p w:rsidR="004E13A5" w:rsidRDefault="00BA59C9">
          <w:pPr>
            <w:pStyle w:val="TOC8"/>
            <w:tabs>
              <w:tab w:val="right" w:leader="dot" w:pos="9461"/>
            </w:tabs>
          </w:pPr>
          <w:hyperlink w:anchor="_TOC_250200" w:history="1">
            <w:r w:rsidR="00681463">
              <w:t>Remedies</w:t>
            </w:r>
            <w:r w:rsidR="00681463">
              <w:rPr>
                <w:spacing w:val="-1"/>
              </w:rPr>
              <w:t xml:space="preserve"> </w:t>
            </w:r>
            <w:r w:rsidR="00681463">
              <w:t>and</w:t>
            </w:r>
            <w:r w:rsidR="00681463">
              <w:rPr>
                <w:spacing w:val="-1"/>
              </w:rPr>
              <w:t xml:space="preserve"> </w:t>
            </w:r>
            <w:r w:rsidR="00681463">
              <w:t>Penalties</w:t>
            </w:r>
            <w:r w:rsidR="00681463">
              <w:tab/>
              <w:t>279</w:t>
            </w:r>
          </w:hyperlink>
        </w:p>
        <w:p w:rsidR="004E13A5" w:rsidRDefault="00BA59C9">
          <w:pPr>
            <w:pStyle w:val="TOC4"/>
            <w:tabs>
              <w:tab w:val="right" w:leader="dot" w:pos="9461"/>
            </w:tabs>
          </w:pPr>
          <w:hyperlink w:anchor="_TOC_250199" w:history="1">
            <w:r w:rsidR="00681463">
              <w:t>14-II.D.   PHA-Caused Errors or</w:t>
            </w:r>
            <w:r w:rsidR="00681463">
              <w:rPr>
                <w:spacing w:val="12"/>
              </w:rPr>
              <w:t xml:space="preserve"> </w:t>
            </w:r>
            <w:r w:rsidR="00681463">
              <w:t>Program</w:t>
            </w:r>
            <w:r w:rsidR="00681463">
              <w:rPr>
                <w:spacing w:val="-1"/>
              </w:rPr>
              <w:t xml:space="preserve"> </w:t>
            </w:r>
            <w:r w:rsidR="00681463">
              <w:t>Abuse</w:t>
            </w:r>
            <w:r w:rsidR="00681463">
              <w:tab/>
              <w:t>279</w:t>
            </w:r>
          </w:hyperlink>
        </w:p>
        <w:p w:rsidR="004E13A5" w:rsidRDefault="00BA59C9">
          <w:pPr>
            <w:pStyle w:val="TOC8"/>
            <w:tabs>
              <w:tab w:val="right" w:leader="dot" w:pos="9461"/>
            </w:tabs>
          </w:pPr>
          <w:hyperlink w:anchor="_TOC_250198" w:history="1">
            <w:r w:rsidR="00681463">
              <w:t>Repayment to</w:t>
            </w:r>
            <w:r w:rsidR="00681463">
              <w:rPr>
                <w:spacing w:val="-1"/>
              </w:rPr>
              <w:t xml:space="preserve"> </w:t>
            </w:r>
            <w:r w:rsidR="00681463">
              <w:t>the</w:t>
            </w:r>
            <w:r w:rsidR="00681463">
              <w:rPr>
                <w:spacing w:val="-1"/>
              </w:rPr>
              <w:t xml:space="preserve"> </w:t>
            </w:r>
            <w:r w:rsidR="00681463">
              <w:t>PHA</w:t>
            </w:r>
            <w:r w:rsidR="00681463">
              <w:tab/>
              <w:t>279</w:t>
            </w:r>
          </w:hyperlink>
        </w:p>
        <w:p w:rsidR="004E13A5" w:rsidRDefault="00BA59C9">
          <w:pPr>
            <w:pStyle w:val="TOC8"/>
            <w:tabs>
              <w:tab w:val="right" w:leader="dot" w:pos="9461"/>
            </w:tabs>
          </w:pPr>
          <w:hyperlink w:anchor="_TOC_250197" w:history="1">
            <w:r w:rsidR="00681463">
              <w:t>PHA Reimbursement to Family</w:t>
            </w:r>
            <w:r w:rsidR="00681463">
              <w:rPr>
                <w:spacing w:val="-7"/>
              </w:rPr>
              <w:t xml:space="preserve"> </w:t>
            </w:r>
            <w:r w:rsidR="00681463">
              <w:t>or</w:t>
            </w:r>
            <w:r w:rsidR="00681463">
              <w:rPr>
                <w:spacing w:val="-1"/>
              </w:rPr>
              <w:t xml:space="preserve"> </w:t>
            </w:r>
            <w:r w:rsidR="00681463">
              <w:t>Owner</w:t>
            </w:r>
            <w:r w:rsidR="00681463">
              <w:tab/>
              <w:t>280</w:t>
            </w:r>
          </w:hyperlink>
        </w:p>
        <w:p w:rsidR="004E13A5" w:rsidRDefault="00BA59C9">
          <w:pPr>
            <w:pStyle w:val="TOC8"/>
            <w:tabs>
              <w:tab w:val="right" w:leader="dot" w:pos="9461"/>
            </w:tabs>
          </w:pPr>
          <w:hyperlink w:anchor="_TOC_250196" w:history="1">
            <w:r w:rsidR="00681463">
              <w:t>Prohibited Activities</w:t>
            </w:r>
            <w:r w:rsidR="00681463">
              <w:tab/>
              <w:t>280</w:t>
            </w:r>
          </w:hyperlink>
        </w:p>
        <w:p w:rsidR="004E13A5" w:rsidRDefault="00BA59C9">
          <w:pPr>
            <w:pStyle w:val="TOC4"/>
            <w:tabs>
              <w:tab w:val="left" w:pos="2332"/>
              <w:tab w:val="right" w:leader="dot" w:pos="9461"/>
            </w:tabs>
          </w:pPr>
          <w:hyperlink w:anchor="_TOC_250195" w:history="1">
            <w:r w:rsidR="00681463">
              <w:t>14-II.E.</w:t>
            </w:r>
            <w:r w:rsidR="00681463">
              <w:tab/>
              <w:t>Criminal</w:t>
            </w:r>
            <w:r w:rsidR="00681463">
              <w:rPr>
                <w:spacing w:val="-1"/>
              </w:rPr>
              <w:t xml:space="preserve"> </w:t>
            </w:r>
            <w:r w:rsidR="00681463">
              <w:t>Prosecution</w:t>
            </w:r>
            <w:r w:rsidR="00681463">
              <w:tab/>
              <w:t>280</w:t>
            </w:r>
          </w:hyperlink>
        </w:p>
        <w:p w:rsidR="004E13A5" w:rsidRDefault="00BA59C9">
          <w:pPr>
            <w:pStyle w:val="TOC4"/>
            <w:tabs>
              <w:tab w:val="left" w:pos="2332"/>
              <w:tab w:val="right" w:leader="dot" w:pos="9461"/>
            </w:tabs>
          </w:pPr>
          <w:hyperlink w:anchor="_TOC_250194" w:history="1">
            <w:r w:rsidR="00681463">
              <w:t>14-II.F.</w:t>
            </w:r>
            <w:r w:rsidR="00681463">
              <w:tab/>
              <w:t>Fraud and Program</w:t>
            </w:r>
            <w:r w:rsidR="00681463">
              <w:rPr>
                <w:spacing w:val="2"/>
              </w:rPr>
              <w:t xml:space="preserve"> </w:t>
            </w:r>
            <w:r w:rsidR="00681463">
              <w:t>Abuse</w:t>
            </w:r>
            <w:r w:rsidR="00681463">
              <w:rPr>
                <w:spacing w:val="-2"/>
              </w:rPr>
              <w:t xml:space="preserve"> </w:t>
            </w:r>
            <w:r w:rsidR="00681463">
              <w:t>Recoveries</w:t>
            </w:r>
            <w:r w:rsidR="00681463">
              <w:tab/>
              <w:t>281</w:t>
            </w:r>
          </w:hyperlink>
        </w:p>
        <w:p w:rsidR="004E13A5" w:rsidRDefault="00681463">
          <w:pPr>
            <w:spacing w:before="516"/>
            <w:ind w:left="3245" w:right="3204" w:firstLine="957"/>
            <w:rPr>
              <w:b/>
              <w:sz w:val="24"/>
            </w:rPr>
          </w:pPr>
          <w:r>
            <w:rPr>
              <w:b/>
              <w:sz w:val="24"/>
            </w:rPr>
            <w:t>Chapter 15 SPECIAL HOUSING TYPES</w:t>
          </w:r>
        </w:p>
        <w:p w:rsidR="004E13A5" w:rsidRDefault="00681463">
          <w:pPr>
            <w:pStyle w:val="TOC2"/>
            <w:spacing w:before="0"/>
            <w:ind w:right="16"/>
          </w:pPr>
          <w:r>
            <w:t>[24 CFR 982 Subpart M]</w:t>
          </w:r>
        </w:p>
        <w:p w:rsidR="004E13A5" w:rsidRDefault="00681463">
          <w:pPr>
            <w:pStyle w:val="TOC3"/>
            <w:tabs>
              <w:tab w:val="left" w:pos="1360"/>
              <w:tab w:val="right" w:leader="dot" w:pos="9461"/>
            </w:tabs>
          </w:pPr>
          <w:r>
            <w:t>PART</w:t>
          </w:r>
          <w:r>
            <w:rPr>
              <w:spacing w:val="1"/>
            </w:rPr>
            <w:t xml:space="preserve"> </w:t>
          </w:r>
          <w:r>
            <w:rPr>
              <w:spacing w:val="-3"/>
            </w:rPr>
            <w:t>I:</w:t>
          </w:r>
          <w:r>
            <w:rPr>
              <w:spacing w:val="-3"/>
            </w:rPr>
            <w:tab/>
          </w:r>
          <w:r>
            <w:t>SINGLE ROOM OCCUPANCY [24 CFR 982.602</w:t>
          </w:r>
          <w:r>
            <w:rPr>
              <w:spacing w:val="-1"/>
            </w:rPr>
            <w:t xml:space="preserve"> </w:t>
          </w:r>
          <w:r>
            <w:t>through</w:t>
          </w:r>
          <w:r>
            <w:rPr>
              <w:spacing w:val="-1"/>
            </w:rPr>
            <w:t xml:space="preserve"> </w:t>
          </w:r>
          <w:r>
            <w:t>982.605]</w:t>
          </w:r>
          <w:r>
            <w:tab/>
            <w:t>282</w:t>
          </w:r>
        </w:p>
        <w:p w:rsidR="004E13A5" w:rsidRDefault="00BA59C9">
          <w:pPr>
            <w:pStyle w:val="TOC4"/>
            <w:tabs>
              <w:tab w:val="left" w:pos="2332"/>
              <w:tab w:val="right" w:leader="dot" w:pos="9461"/>
            </w:tabs>
          </w:pPr>
          <w:hyperlink w:anchor="_TOC_250193" w:history="1">
            <w:r w:rsidR="00681463">
              <w:t>15-I.A.</w:t>
            </w:r>
            <w:r w:rsidR="00681463">
              <w:tab/>
              <w:t>Overview</w:t>
            </w:r>
            <w:r w:rsidR="00681463">
              <w:tab/>
              <w:t>283</w:t>
            </w:r>
          </w:hyperlink>
        </w:p>
        <w:p w:rsidR="004E13A5" w:rsidRDefault="00BA59C9">
          <w:pPr>
            <w:pStyle w:val="TOC4"/>
            <w:tabs>
              <w:tab w:val="left" w:pos="2332"/>
              <w:tab w:val="right" w:leader="dot" w:pos="9461"/>
            </w:tabs>
          </w:pPr>
          <w:hyperlink w:anchor="_TOC_250192" w:history="1">
            <w:r w:rsidR="00681463">
              <w:t>15-I.B.</w:t>
            </w:r>
            <w:r w:rsidR="00681463">
              <w:tab/>
              <w:t>Payment Standard, Utility Allowance, and</w:t>
            </w:r>
            <w:r w:rsidR="00681463">
              <w:rPr>
                <w:spacing w:val="-2"/>
              </w:rPr>
              <w:t xml:space="preserve"> </w:t>
            </w:r>
            <w:r w:rsidR="00681463">
              <w:t>HAP</w:t>
            </w:r>
            <w:r w:rsidR="00681463">
              <w:rPr>
                <w:spacing w:val="-1"/>
              </w:rPr>
              <w:t xml:space="preserve"> </w:t>
            </w:r>
            <w:r w:rsidR="00681463">
              <w:t>Calculation</w:t>
            </w:r>
            <w:r w:rsidR="00681463">
              <w:tab/>
              <w:t>283</w:t>
            </w:r>
          </w:hyperlink>
        </w:p>
        <w:p w:rsidR="004E13A5" w:rsidRDefault="00BA59C9">
          <w:pPr>
            <w:pStyle w:val="TOC4"/>
            <w:tabs>
              <w:tab w:val="left" w:pos="2332"/>
              <w:tab w:val="right" w:leader="dot" w:pos="9461"/>
            </w:tabs>
          </w:pPr>
          <w:hyperlink w:anchor="_TOC_250191" w:history="1">
            <w:r w:rsidR="00681463">
              <w:t>15-I.C.</w:t>
            </w:r>
            <w:r w:rsidR="00681463">
              <w:tab/>
              <w:t>Housing Quality</w:t>
            </w:r>
            <w:r w:rsidR="00681463">
              <w:rPr>
                <w:spacing w:val="-7"/>
              </w:rPr>
              <w:t xml:space="preserve"> </w:t>
            </w:r>
            <w:r w:rsidR="00681463">
              <w:t>Standards (</w:t>
            </w:r>
            <w:r w:rsidR="002C4221">
              <w:t>NSPIRE</w:t>
            </w:r>
            <w:r w:rsidR="00681463">
              <w:t>)</w:t>
            </w:r>
            <w:r w:rsidR="00681463">
              <w:tab/>
              <w:t>283</w:t>
            </w:r>
          </w:hyperlink>
        </w:p>
        <w:p w:rsidR="004E13A5" w:rsidRDefault="00681463">
          <w:pPr>
            <w:pStyle w:val="TOC3"/>
            <w:tabs>
              <w:tab w:val="left" w:pos="1360"/>
              <w:tab w:val="right" w:leader="dot" w:pos="9461"/>
            </w:tabs>
            <w:spacing w:before="119"/>
          </w:pPr>
          <w:r>
            <w:t>PART</w:t>
          </w:r>
          <w:r>
            <w:rPr>
              <w:spacing w:val="2"/>
            </w:rPr>
            <w:t xml:space="preserve"> </w:t>
          </w:r>
          <w:r>
            <w:rPr>
              <w:spacing w:val="-3"/>
            </w:rPr>
            <w:t>II:</w:t>
          </w:r>
          <w:r>
            <w:rPr>
              <w:spacing w:val="-3"/>
            </w:rPr>
            <w:tab/>
          </w:r>
          <w:r>
            <w:t>CONGREGATE HOUSING [24 CFR 982.606</w:t>
          </w:r>
          <w:r>
            <w:rPr>
              <w:spacing w:val="-1"/>
            </w:rPr>
            <w:t xml:space="preserve"> </w:t>
          </w:r>
          <w:r>
            <w:t>through</w:t>
          </w:r>
          <w:r>
            <w:rPr>
              <w:spacing w:val="-1"/>
            </w:rPr>
            <w:t xml:space="preserve"> </w:t>
          </w:r>
          <w:r>
            <w:t>982.609]</w:t>
          </w:r>
          <w:r>
            <w:tab/>
            <w:t>285</w:t>
          </w:r>
        </w:p>
        <w:p w:rsidR="004E13A5" w:rsidRDefault="00BA59C9">
          <w:pPr>
            <w:pStyle w:val="TOC4"/>
            <w:tabs>
              <w:tab w:val="right" w:leader="dot" w:pos="9461"/>
            </w:tabs>
          </w:pPr>
          <w:hyperlink w:anchor="_TOC_250190" w:history="1">
            <w:r w:rsidR="00681463">
              <w:t xml:space="preserve">15-II.A.  </w:t>
            </w:r>
            <w:r w:rsidR="00681463">
              <w:rPr>
                <w:spacing w:val="12"/>
              </w:rPr>
              <w:t xml:space="preserve"> </w:t>
            </w:r>
            <w:r w:rsidR="00681463">
              <w:t>Overview</w:t>
            </w:r>
            <w:r w:rsidR="00681463">
              <w:tab/>
              <w:t>285</w:t>
            </w:r>
          </w:hyperlink>
        </w:p>
        <w:p w:rsidR="004E13A5" w:rsidRDefault="00BA59C9">
          <w:pPr>
            <w:pStyle w:val="TOC4"/>
            <w:tabs>
              <w:tab w:val="left" w:pos="2332"/>
              <w:tab w:val="right" w:leader="dot" w:pos="9461"/>
            </w:tabs>
          </w:pPr>
          <w:hyperlink w:anchor="_TOC_250189" w:history="1">
            <w:r w:rsidR="00681463">
              <w:t>15-II.B.</w:t>
            </w:r>
            <w:r w:rsidR="00681463">
              <w:tab/>
              <w:t>Payment Standard, Utility Allowance, and</w:t>
            </w:r>
            <w:r w:rsidR="00681463">
              <w:rPr>
                <w:spacing w:val="-3"/>
              </w:rPr>
              <w:t xml:space="preserve"> </w:t>
            </w:r>
            <w:r w:rsidR="00681463">
              <w:t>HAP</w:t>
            </w:r>
            <w:r w:rsidR="00681463">
              <w:rPr>
                <w:spacing w:val="-1"/>
              </w:rPr>
              <w:t xml:space="preserve"> </w:t>
            </w:r>
            <w:r w:rsidR="00681463">
              <w:t>Calculation</w:t>
            </w:r>
            <w:r w:rsidR="00681463">
              <w:tab/>
              <w:t>285</w:t>
            </w:r>
          </w:hyperlink>
        </w:p>
        <w:p w:rsidR="004E13A5" w:rsidRDefault="00BA59C9">
          <w:pPr>
            <w:pStyle w:val="TOC4"/>
            <w:tabs>
              <w:tab w:val="left" w:pos="2332"/>
              <w:tab w:val="right" w:leader="dot" w:pos="9461"/>
            </w:tabs>
          </w:pPr>
          <w:hyperlink w:anchor="_TOC_250188" w:history="1">
            <w:r w:rsidR="00681463">
              <w:t>15-II.C.</w:t>
            </w:r>
            <w:r w:rsidR="00681463">
              <w:tab/>
              <w:t>Housing</w:t>
            </w:r>
            <w:r w:rsidR="00681463">
              <w:rPr>
                <w:spacing w:val="-3"/>
              </w:rPr>
              <w:t xml:space="preserve"> </w:t>
            </w:r>
            <w:r w:rsidR="00681463">
              <w:t>Quality</w:t>
            </w:r>
            <w:r w:rsidR="00681463">
              <w:rPr>
                <w:spacing w:val="-5"/>
              </w:rPr>
              <w:t xml:space="preserve"> </w:t>
            </w:r>
            <w:r w:rsidR="00681463">
              <w:t>Standards</w:t>
            </w:r>
            <w:r w:rsidR="00681463">
              <w:tab/>
              <w:t>285</w:t>
            </w:r>
          </w:hyperlink>
        </w:p>
        <w:p w:rsidR="004E13A5" w:rsidRDefault="00681463">
          <w:pPr>
            <w:pStyle w:val="TOC3"/>
            <w:tabs>
              <w:tab w:val="left" w:pos="1360"/>
              <w:tab w:val="right" w:leader="dot" w:pos="9461"/>
            </w:tabs>
          </w:pPr>
          <w:r>
            <w:t>PART</w:t>
          </w:r>
          <w:r>
            <w:rPr>
              <w:spacing w:val="-1"/>
            </w:rPr>
            <w:t xml:space="preserve"> </w:t>
          </w:r>
          <w:r>
            <w:t>III:</w:t>
          </w:r>
          <w:r>
            <w:tab/>
            <w:t>GROUP HOME [24 CFR 982.610 through 982.614 and HCV GB</w:t>
          </w:r>
          <w:r>
            <w:rPr>
              <w:spacing w:val="-4"/>
            </w:rPr>
            <w:t xml:space="preserve"> </w:t>
          </w:r>
          <w:r>
            <w:t>p.</w:t>
          </w:r>
          <w:r>
            <w:rPr>
              <w:spacing w:val="-1"/>
            </w:rPr>
            <w:t xml:space="preserve"> </w:t>
          </w:r>
          <w:r>
            <w:t>7-4]</w:t>
          </w:r>
          <w:r>
            <w:tab/>
            <w:t>286</w:t>
          </w:r>
        </w:p>
        <w:p w:rsidR="004E13A5" w:rsidRDefault="00BA59C9">
          <w:pPr>
            <w:pStyle w:val="TOC4"/>
            <w:tabs>
              <w:tab w:val="right" w:leader="dot" w:pos="9461"/>
            </w:tabs>
          </w:pPr>
          <w:hyperlink w:anchor="_TOC_250187" w:history="1">
            <w:r w:rsidR="00681463">
              <w:t>15-III.A.</w:t>
            </w:r>
            <w:r w:rsidR="00681463">
              <w:rPr>
                <w:spacing w:val="53"/>
              </w:rPr>
              <w:t xml:space="preserve"> </w:t>
            </w:r>
            <w:r w:rsidR="00681463">
              <w:t>Overview</w:t>
            </w:r>
            <w:r w:rsidR="00681463">
              <w:tab/>
              <w:t>286</w:t>
            </w:r>
          </w:hyperlink>
        </w:p>
        <w:p w:rsidR="004E13A5" w:rsidRDefault="00BA59C9">
          <w:pPr>
            <w:pStyle w:val="TOC4"/>
            <w:tabs>
              <w:tab w:val="right" w:leader="dot" w:pos="9461"/>
            </w:tabs>
          </w:pPr>
          <w:hyperlink w:anchor="_TOC_250186" w:history="1">
            <w:r w:rsidR="00681463">
              <w:t>15-III.B.  Payment Standard, Utility Allowance, and</w:t>
            </w:r>
            <w:r w:rsidR="00681463">
              <w:rPr>
                <w:spacing w:val="2"/>
              </w:rPr>
              <w:t xml:space="preserve"> </w:t>
            </w:r>
            <w:r w:rsidR="00681463">
              <w:t>HAP</w:t>
            </w:r>
            <w:r w:rsidR="00681463">
              <w:rPr>
                <w:spacing w:val="-1"/>
              </w:rPr>
              <w:t xml:space="preserve"> </w:t>
            </w:r>
            <w:r w:rsidR="00681463">
              <w:t>Calculation</w:t>
            </w:r>
            <w:r w:rsidR="00681463">
              <w:tab/>
              <w:t>286</w:t>
            </w:r>
          </w:hyperlink>
        </w:p>
        <w:p w:rsidR="004E13A5" w:rsidRDefault="00BA59C9">
          <w:pPr>
            <w:pStyle w:val="TOC4"/>
            <w:tabs>
              <w:tab w:val="right" w:leader="dot" w:pos="9461"/>
            </w:tabs>
          </w:pPr>
          <w:hyperlink w:anchor="_TOC_250185" w:history="1">
            <w:r w:rsidR="00681463">
              <w:t>15-III.C.  Housing</w:t>
            </w:r>
            <w:r w:rsidR="00681463">
              <w:rPr>
                <w:spacing w:val="3"/>
              </w:rPr>
              <w:t xml:space="preserve"> </w:t>
            </w:r>
            <w:r w:rsidR="00681463">
              <w:t>Quality</w:t>
            </w:r>
            <w:r w:rsidR="00681463">
              <w:rPr>
                <w:spacing w:val="-6"/>
              </w:rPr>
              <w:t xml:space="preserve"> </w:t>
            </w:r>
            <w:r w:rsidR="00681463">
              <w:t>Standards</w:t>
            </w:r>
            <w:r w:rsidR="00681463">
              <w:tab/>
              <w:t>288</w:t>
            </w:r>
          </w:hyperlink>
        </w:p>
        <w:p w:rsidR="004E13A5" w:rsidRDefault="00681463">
          <w:pPr>
            <w:pStyle w:val="TOC3"/>
            <w:tabs>
              <w:tab w:val="left" w:pos="1360"/>
              <w:tab w:val="right" w:leader="dot" w:pos="9461"/>
            </w:tabs>
            <w:spacing w:before="121"/>
          </w:pPr>
          <w:r>
            <w:t>PART IV:</w:t>
          </w:r>
          <w:r>
            <w:tab/>
            <w:t>SHARED HOUSING [24 CFR 982.615</w:t>
          </w:r>
          <w:r>
            <w:rPr>
              <w:spacing w:val="-2"/>
            </w:rPr>
            <w:t xml:space="preserve"> </w:t>
          </w:r>
          <w:r>
            <w:t>through</w:t>
          </w:r>
          <w:r>
            <w:rPr>
              <w:spacing w:val="1"/>
            </w:rPr>
            <w:t xml:space="preserve"> </w:t>
          </w:r>
          <w:r>
            <w:t>982.618]</w:t>
          </w:r>
          <w:r>
            <w:tab/>
            <w:t>289</w:t>
          </w:r>
        </w:p>
        <w:p w:rsidR="004E13A5" w:rsidRDefault="00681463">
          <w:pPr>
            <w:pStyle w:val="TOC4"/>
            <w:tabs>
              <w:tab w:val="right" w:leader="dot" w:pos="9461"/>
            </w:tabs>
          </w:pPr>
          <w:r>
            <w:t xml:space="preserve">15-IV.I.  </w:t>
          </w:r>
          <w:r>
            <w:rPr>
              <w:spacing w:val="13"/>
            </w:rPr>
            <w:t xml:space="preserve"> </w:t>
          </w:r>
          <w:r>
            <w:t>Overview</w:t>
          </w:r>
          <w:r>
            <w:tab/>
            <w:t>289</w:t>
          </w:r>
        </w:p>
        <w:p w:rsidR="004E13A5" w:rsidRDefault="00BA59C9">
          <w:pPr>
            <w:pStyle w:val="TOC4"/>
            <w:tabs>
              <w:tab w:val="right" w:leader="dot" w:pos="9461"/>
            </w:tabs>
          </w:pPr>
          <w:hyperlink w:anchor="_TOC_250184" w:history="1">
            <w:r w:rsidR="00681463">
              <w:t>15-IV.B.  Payment Standard, Utility Allowance and</w:t>
            </w:r>
            <w:r w:rsidR="00681463">
              <w:rPr>
                <w:spacing w:val="-12"/>
              </w:rPr>
              <w:t xml:space="preserve"> </w:t>
            </w:r>
            <w:r w:rsidR="00681463">
              <w:t>HAP</w:t>
            </w:r>
            <w:r w:rsidR="00681463">
              <w:rPr>
                <w:spacing w:val="-1"/>
              </w:rPr>
              <w:t xml:space="preserve"> </w:t>
            </w:r>
            <w:r w:rsidR="00681463">
              <w:t>Calculation</w:t>
            </w:r>
            <w:r w:rsidR="00681463">
              <w:tab/>
              <w:t>289</w:t>
            </w:r>
          </w:hyperlink>
        </w:p>
        <w:p w:rsidR="004E13A5" w:rsidRDefault="00BA59C9">
          <w:pPr>
            <w:pStyle w:val="TOC4"/>
            <w:tabs>
              <w:tab w:val="right" w:leader="dot" w:pos="9461"/>
            </w:tabs>
          </w:pPr>
          <w:hyperlink w:anchor="_TOC_250183" w:history="1">
            <w:r w:rsidR="00681463">
              <w:t>15-IV.C.  Housing</w:t>
            </w:r>
            <w:r w:rsidR="00681463">
              <w:rPr>
                <w:spacing w:val="-12"/>
              </w:rPr>
              <w:t xml:space="preserve"> </w:t>
            </w:r>
            <w:r w:rsidR="00681463">
              <w:t>Quality</w:t>
            </w:r>
            <w:r w:rsidR="00681463">
              <w:rPr>
                <w:spacing w:val="-6"/>
              </w:rPr>
              <w:t xml:space="preserve"> </w:t>
            </w:r>
            <w:r w:rsidR="00681463">
              <w:t>Standards</w:t>
            </w:r>
            <w:r w:rsidR="00681463">
              <w:tab/>
              <w:t>290</w:t>
            </w:r>
          </w:hyperlink>
        </w:p>
        <w:p w:rsidR="004E13A5" w:rsidRDefault="00681463">
          <w:pPr>
            <w:pStyle w:val="TOC3"/>
            <w:tabs>
              <w:tab w:val="left" w:pos="1360"/>
              <w:tab w:val="right" w:leader="dot" w:pos="9461"/>
            </w:tabs>
          </w:pPr>
          <w:r>
            <w:t>PART</w:t>
          </w:r>
          <w:r>
            <w:rPr>
              <w:spacing w:val="-1"/>
            </w:rPr>
            <w:t xml:space="preserve"> </w:t>
          </w:r>
          <w:r>
            <w:t>V:</w:t>
          </w:r>
          <w:r>
            <w:tab/>
            <w:t>COOPERATIVE HOUSING [24 CFR</w:t>
          </w:r>
          <w:r>
            <w:rPr>
              <w:spacing w:val="-1"/>
            </w:rPr>
            <w:t xml:space="preserve"> </w:t>
          </w:r>
          <w:r>
            <w:t>982.619]</w:t>
          </w:r>
          <w:r>
            <w:tab/>
            <w:t>291</w:t>
          </w:r>
        </w:p>
        <w:p w:rsidR="004E13A5" w:rsidRDefault="00BA59C9">
          <w:pPr>
            <w:pStyle w:val="TOC4"/>
            <w:tabs>
              <w:tab w:val="right" w:leader="dot" w:pos="9461"/>
            </w:tabs>
          </w:pPr>
          <w:hyperlink w:anchor="_TOC_250182" w:history="1">
            <w:r w:rsidR="00681463">
              <w:t xml:space="preserve">15-V.A. </w:t>
            </w:r>
            <w:r w:rsidR="00681463">
              <w:rPr>
                <w:spacing w:val="59"/>
              </w:rPr>
              <w:t xml:space="preserve"> </w:t>
            </w:r>
            <w:r w:rsidR="00681463">
              <w:t>Overview</w:t>
            </w:r>
            <w:r w:rsidR="00681463">
              <w:tab/>
              <w:t>291</w:t>
            </w:r>
          </w:hyperlink>
        </w:p>
        <w:p w:rsidR="004E13A5" w:rsidRDefault="00BA59C9">
          <w:pPr>
            <w:pStyle w:val="TOC4"/>
            <w:tabs>
              <w:tab w:val="right" w:leader="dot" w:pos="9461"/>
            </w:tabs>
          </w:pPr>
          <w:hyperlink w:anchor="_TOC_250181" w:history="1">
            <w:r w:rsidR="00681463">
              <w:t>15-V.B.   Payment Standard, Utility Allowance and</w:t>
            </w:r>
            <w:r w:rsidR="00681463">
              <w:rPr>
                <w:spacing w:val="8"/>
              </w:rPr>
              <w:t xml:space="preserve"> </w:t>
            </w:r>
            <w:r w:rsidR="00681463">
              <w:t>HAP</w:t>
            </w:r>
            <w:r w:rsidR="00681463">
              <w:rPr>
                <w:spacing w:val="-1"/>
              </w:rPr>
              <w:t xml:space="preserve"> </w:t>
            </w:r>
            <w:r w:rsidR="00681463">
              <w:t>Calculation</w:t>
            </w:r>
            <w:r w:rsidR="00681463">
              <w:tab/>
              <w:t>291</w:t>
            </w:r>
          </w:hyperlink>
        </w:p>
        <w:p w:rsidR="004E13A5" w:rsidRDefault="00BA59C9">
          <w:pPr>
            <w:pStyle w:val="TOC4"/>
            <w:tabs>
              <w:tab w:val="right" w:leader="dot" w:pos="9461"/>
            </w:tabs>
          </w:pPr>
          <w:hyperlink w:anchor="_TOC_250180" w:history="1">
            <w:r w:rsidR="00681463">
              <w:t>15-V.C.   Housing</w:t>
            </w:r>
            <w:r w:rsidR="00681463">
              <w:rPr>
                <w:spacing w:val="8"/>
              </w:rPr>
              <w:t xml:space="preserve"> </w:t>
            </w:r>
            <w:r w:rsidR="00681463">
              <w:t>Quality</w:t>
            </w:r>
            <w:r w:rsidR="00681463">
              <w:rPr>
                <w:spacing w:val="-5"/>
              </w:rPr>
              <w:t xml:space="preserve"> </w:t>
            </w:r>
            <w:r w:rsidR="00681463">
              <w:t>Standards</w:t>
            </w:r>
            <w:r w:rsidR="00681463">
              <w:tab/>
              <w:t>292</w:t>
            </w:r>
          </w:hyperlink>
        </w:p>
        <w:p w:rsidR="004E13A5" w:rsidRDefault="00681463">
          <w:pPr>
            <w:pStyle w:val="TOC3"/>
            <w:tabs>
              <w:tab w:val="left" w:pos="1360"/>
              <w:tab w:val="right" w:leader="dot" w:pos="9461"/>
            </w:tabs>
          </w:pPr>
          <w:r>
            <w:t>PART</w:t>
          </w:r>
          <w:r>
            <w:rPr>
              <w:spacing w:val="-2"/>
            </w:rPr>
            <w:t xml:space="preserve"> </w:t>
          </w:r>
          <w:r>
            <w:t>VI:</w:t>
          </w:r>
          <w:r>
            <w:tab/>
            <w:t>MANUFACTURED HOMES [24 CFR 982.620 through</w:t>
          </w:r>
          <w:r>
            <w:rPr>
              <w:spacing w:val="-1"/>
            </w:rPr>
            <w:t xml:space="preserve"> </w:t>
          </w:r>
          <w:r>
            <w:t>982.624]</w:t>
          </w:r>
          <w:r>
            <w:tab/>
            <w:t>292</w:t>
          </w:r>
        </w:p>
        <w:p w:rsidR="004E13A5" w:rsidRDefault="00BA59C9">
          <w:pPr>
            <w:pStyle w:val="TOC4"/>
            <w:tabs>
              <w:tab w:val="left" w:leader="dot" w:pos="9101"/>
            </w:tabs>
            <w:spacing w:before="79"/>
          </w:pPr>
          <w:hyperlink w:anchor="_TOC_250179" w:history="1">
            <w:r w:rsidR="00681463">
              <w:t>15-VI.A.</w:t>
            </w:r>
            <w:r w:rsidR="00681463">
              <w:rPr>
                <w:spacing w:val="36"/>
              </w:rPr>
              <w:t xml:space="preserve"> </w:t>
            </w:r>
            <w:r w:rsidR="00681463">
              <w:t>Overview</w:t>
            </w:r>
            <w:r w:rsidR="00681463">
              <w:tab/>
              <w:t>292</w:t>
            </w:r>
          </w:hyperlink>
        </w:p>
        <w:p w:rsidR="004E13A5" w:rsidRDefault="00681463">
          <w:pPr>
            <w:pStyle w:val="TOC4"/>
          </w:pPr>
          <w:r>
            <w:t>15-VI.B.  Special Policies for Manufactured Home Owners</w:t>
          </w:r>
        </w:p>
        <w:p w:rsidR="004E13A5" w:rsidRDefault="00681463">
          <w:pPr>
            <w:pStyle w:val="TOC7"/>
            <w:tabs>
              <w:tab w:val="left" w:leader="dot" w:pos="9101"/>
            </w:tabs>
          </w:pPr>
          <w:r>
            <w:t>Who Lease</w:t>
          </w:r>
          <w:r>
            <w:rPr>
              <w:spacing w:val="-1"/>
            </w:rPr>
            <w:t xml:space="preserve"> </w:t>
          </w:r>
          <w:r>
            <w:t>A</w:t>
          </w:r>
          <w:r>
            <w:rPr>
              <w:spacing w:val="-1"/>
            </w:rPr>
            <w:t xml:space="preserve"> </w:t>
          </w:r>
          <w:r>
            <w:t>Space</w:t>
          </w:r>
          <w:r>
            <w:tab/>
            <w:t>292</w:t>
          </w:r>
        </w:p>
        <w:p w:rsidR="004E13A5" w:rsidRDefault="00BA59C9">
          <w:pPr>
            <w:pStyle w:val="TOC8"/>
            <w:tabs>
              <w:tab w:val="left" w:leader="dot" w:pos="9101"/>
            </w:tabs>
          </w:pPr>
          <w:hyperlink w:anchor="_TOC_250178" w:history="1">
            <w:r w:rsidR="00681463">
              <w:t>Family</w:t>
            </w:r>
            <w:r w:rsidR="00681463">
              <w:rPr>
                <w:spacing w:val="-3"/>
              </w:rPr>
              <w:t xml:space="preserve"> </w:t>
            </w:r>
            <w:r w:rsidR="00681463">
              <w:t>Income</w:t>
            </w:r>
            <w:r w:rsidR="00681463">
              <w:tab/>
              <w:t>292</w:t>
            </w:r>
          </w:hyperlink>
        </w:p>
        <w:p w:rsidR="004E13A5" w:rsidRDefault="00BA59C9">
          <w:pPr>
            <w:pStyle w:val="TOC8"/>
            <w:tabs>
              <w:tab w:val="left" w:leader="dot" w:pos="9101"/>
            </w:tabs>
          </w:pPr>
          <w:hyperlink w:anchor="_TOC_250177" w:history="1">
            <w:r w:rsidR="00681463">
              <w:t>Lease and</w:t>
            </w:r>
            <w:r w:rsidR="00681463">
              <w:rPr>
                <w:spacing w:val="-3"/>
              </w:rPr>
              <w:t xml:space="preserve"> </w:t>
            </w:r>
            <w:r w:rsidR="00681463">
              <w:t>HAP</w:t>
            </w:r>
            <w:r w:rsidR="00681463">
              <w:rPr>
                <w:spacing w:val="-2"/>
              </w:rPr>
              <w:t xml:space="preserve"> </w:t>
            </w:r>
            <w:r w:rsidR="00681463">
              <w:t>Contract</w:t>
            </w:r>
            <w:r w:rsidR="00681463">
              <w:tab/>
              <w:t>293</w:t>
            </w:r>
          </w:hyperlink>
        </w:p>
        <w:p w:rsidR="004E13A5" w:rsidRDefault="00BA59C9">
          <w:pPr>
            <w:pStyle w:val="TOC4"/>
            <w:tabs>
              <w:tab w:val="left" w:leader="dot" w:pos="9101"/>
            </w:tabs>
          </w:pPr>
          <w:hyperlink w:anchor="_TOC_250176" w:history="1">
            <w:r w:rsidR="00681463">
              <w:t>15-VI.C.  Payment Standard, Utility Allowance and</w:t>
            </w:r>
            <w:r w:rsidR="00681463">
              <w:rPr>
                <w:spacing w:val="-18"/>
              </w:rPr>
              <w:t xml:space="preserve"> </w:t>
            </w:r>
            <w:r w:rsidR="00681463">
              <w:t>HAP</w:t>
            </w:r>
            <w:r w:rsidR="00681463">
              <w:rPr>
                <w:spacing w:val="-2"/>
              </w:rPr>
              <w:t xml:space="preserve"> </w:t>
            </w:r>
            <w:r w:rsidR="00681463">
              <w:t>Calculation</w:t>
            </w:r>
            <w:r w:rsidR="00681463">
              <w:tab/>
              <w:t>293</w:t>
            </w:r>
          </w:hyperlink>
        </w:p>
        <w:p w:rsidR="004E13A5" w:rsidRDefault="00681463">
          <w:pPr>
            <w:pStyle w:val="TOC8"/>
            <w:tabs>
              <w:tab w:val="left" w:leader="dot" w:pos="9101"/>
            </w:tabs>
          </w:pPr>
          <w:r>
            <w:t>Payment</w:t>
          </w:r>
          <w:r>
            <w:rPr>
              <w:spacing w:val="-2"/>
            </w:rPr>
            <w:t xml:space="preserve"> </w:t>
          </w:r>
          <w:r>
            <w:t>Standards</w:t>
          </w:r>
          <w:r>
            <w:tab/>
            <w:t>293</w:t>
          </w:r>
        </w:p>
        <w:p w:rsidR="004E13A5" w:rsidRDefault="00BA59C9">
          <w:pPr>
            <w:pStyle w:val="TOC8"/>
            <w:tabs>
              <w:tab w:val="left" w:leader="dot" w:pos="9101"/>
            </w:tabs>
          </w:pPr>
          <w:hyperlink w:anchor="_TOC_250175" w:history="1">
            <w:r w:rsidR="00681463">
              <w:t>Utility</w:t>
            </w:r>
            <w:r w:rsidR="00681463">
              <w:rPr>
                <w:spacing w:val="-8"/>
              </w:rPr>
              <w:t xml:space="preserve"> </w:t>
            </w:r>
            <w:r w:rsidR="00681463">
              <w:t>Allowance</w:t>
            </w:r>
            <w:r w:rsidR="00681463">
              <w:tab/>
              <w:t>293</w:t>
            </w:r>
          </w:hyperlink>
        </w:p>
        <w:p w:rsidR="004E13A5" w:rsidRDefault="00BA59C9">
          <w:pPr>
            <w:pStyle w:val="TOC8"/>
            <w:tabs>
              <w:tab w:val="left" w:leader="dot" w:pos="9101"/>
            </w:tabs>
          </w:pPr>
          <w:hyperlink w:anchor="_TOC_250174" w:history="1">
            <w:r w:rsidR="00681463">
              <w:t>Space</w:t>
            </w:r>
            <w:r w:rsidR="00681463">
              <w:rPr>
                <w:spacing w:val="-2"/>
              </w:rPr>
              <w:t xml:space="preserve"> </w:t>
            </w:r>
            <w:r w:rsidR="00681463">
              <w:t>Rent</w:t>
            </w:r>
            <w:r w:rsidR="00681463">
              <w:tab/>
              <w:t>293</w:t>
            </w:r>
          </w:hyperlink>
        </w:p>
        <w:p w:rsidR="004E13A5" w:rsidRDefault="00BA59C9">
          <w:pPr>
            <w:pStyle w:val="TOC8"/>
            <w:tabs>
              <w:tab w:val="left" w:leader="dot" w:pos="9068"/>
            </w:tabs>
          </w:pPr>
          <w:hyperlink w:anchor="_TOC_250173" w:history="1">
            <w:r w:rsidR="00681463">
              <w:t>AmortizationCosts</w:t>
            </w:r>
            <w:r w:rsidR="00681463">
              <w:tab/>
              <w:t>293</w:t>
            </w:r>
          </w:hyperlink>
        </w:p>
        <w:p w:rsidR="004E13A5" w:rsidRDefault="00BA59C9">
          <w:pPr>
            <w:pStyle w:val="TOC8"/>
            <w:tabs>
              <w:tab w:val="left" w:leader="dot" w:pos="9101"/>
            </w:tabs>
          </w:pPr>
          <w:hyperlink w:anchor="_TOC_250172" w:history="1">
            <w:r w:rsidR="00681463">
              <w:t>Housing</w:t>
            </w:r>
            <w:r w:rsidR="00681463">
              <w:rPr>
                <w:spacing w:val="-4"/>
              </w:rPr>
              <w:t xml:space="preserve"> </w:t>
            </w:r>
            <w:r w:rsidR="00681463">
              <w:t>Assistance</w:t>
            </w:r>
            <w:r w:rsidR="00681463">
              <w:rPr>
                <w:spacing w:val="-2"/>
              </w:rPr>
              <w:t xml:space="preserve"> </w:t>
            </w:r>
            <w:r w:rsidR="00681463">
              <w:t>Payment</w:t>
            </w:r>
            <w:r w:rsidR="00681463">
              <w:tab/>
              <w:t>294</w:t>
            </w:r>
          </w:hyperlink>
        </w:p>
        <w:p w:rsidR="004E13A5" w:rsidRDefault="00BA59C9">
          <w:pPr>
            <w:pStyle w:val="TOC8"/>
            <w:tabs>
              <w:tab w:val="left" w:leader="dot" w:pos="9101"/>
            </w:tabs>
          </w:pPr>
          <w:hyperlink w:anchor="_TOC_250171" w:history="1">
            <w:r w:rsidR="00681463">
              <w:t>Rent</w:t>
            </w:r>
            <w:r w:rsidR="00681463">
              <w:rPr>
                <w:spacing w:val="-2"/>
              </w:rPr>
              <w:t xml:space="preserve"> </w:t>
            </w:r>
            <w:r w:rsidR="00681463">
              <w:t>Reasonableness</w:t>
            </w:r>
            <w:r w:rsidR="00681463">
              <w:tab/>
              <w:t>294</w:t>
            </w:r>
          </w:hyperlink>
        </w:p>
        <w:p w:rsidR="004E13A5" w:rsidRDefault="00BA59C9">
          <w:pPr>
            <w:pStyle w:val="TOC4"/>
            <w:tabs>
              <w:tab w:val="left" w:leader="dot" w:pos="9101"/>
            </w:tabs>
          </w:pPr>
          <w:hyperlink w:anchor="_TOC_250170" w:history="1">
            <w:r w:rsidR="00681463">
              <w:t>15-VI.D.  Housing</w:t>
            </w:r>
            <w:r w:rsidR="00681463">
              <w:rPr>
                <w:spacing w:val="-25"/>
              </w:rPr>
              <w:t xml:space="preserve"> </w:t>
            </w:r>
            <w:r w:rsidR="00681463">
              <w:t>Quality</w:t>
            </w:r>
            <w:r w:rsidR="00681463">
              <w:rPr>
                <w:spacing w:val="-6"/>
              </w:rPr>
              <w:t xml:space="preserve"> </w:t>
            </w:r>
            <w:r w:rsidR="00681463">
              <w:t>Standards</w:t>
            </w:r>
            <w:r w:rsidR="00681463">
              <w:tab/>
              <w:t>294</w:t>
            </w:r>
          </w:hyperlink>
        </w:p>
        <w:p w:rsidR="004E13A5" w:rsidRDefault="00681463">
          <w:pPr>
            <w:pStyle w:val="TOC3"/>
            <w:tabs>
              <w:tab w:val="left" w:leader="dot" w:pos="9101"/>
            </w:tabs>
          </w:pPr>
          <w:r>
            <w:t>PART VII:   HOMEOWNERSHIP [24 CFR 982.625</w:t>
          </w:r>
          <w:r>
            <w:rPr>
              <w:spacing w:val="-2"/>
            </w:rPr>
            <w:t xml:space="preserve"> </w:t>
          </w:r>
          <w:r>
            <w:t>through 982.643]</w:t>
          </w:r>
          <w:r>
            <w:tab/>
            <w:t>294</w:t>
          </w:r>
        </w:p>
        <w:p w:rsidR="004E13A5" w:rsidRDefault="00BA59C9">
          <w:pPr>
            <w:pStyle w:val="TOC4"/>
            <w:tabs>
              <w:tab w:val="left" w:leader="dot" w:pos="9101"/>
            </w:tabs>
          </w:pPr>
          <w:hyperlink w:anchor="_TOC_250169" w:history="1">
            <w:r w:rsidR="00681463">
              <w:t>15-VII.A.</w:t>
            </w:r>
            <w:r w:rsidR="00681463">
              <w:rPr>
                <w:spacing w:val="-43"/>
              </w:rPr>
              <w:t xml:space="preserve"> </w:t>
            </w:r>
            <w:r w:rsidR="00681463">
              <w:t>Overview [24 CFR</w:t>
            </w:r>
            <w:r w:rsidR="00681463">
              <w:rPr>
                <w:spacing w:val="-2"/>
              </w:rPr>
              <w:t xml:space="preserve"> </w:t>
            </w:r>
            <w:r w:rsidR="00681463">
              <w:t>982.625]</w:t>
            </w:r>
            <w:r w:rsidR="00681463">
              <w:tab/>
              <w:t>294</w:t>
            </w:r>
          </w:hyperlink>
        </w:p>
        <w:p w:rsidR="004E13A5" w:rsidRDefault="00BA59C9">
          <w:pPr>
            <w:pStyle w:val="TOC4"/>
            <w:tabs>
              <w:tab w:val="left" w:leader="dot" w:pos="9101"/>
            </w:tabs>
          </w:pPr>
          <w:hyperlink w:anchor="_TOC_250168" w:history="1">
            <w:r w:rsidR="00681463">
              <w:t>15-VII.B. Family Eligibility [24</w:t>
            </w:r>
            <w:r w:rsidR="00681463">
              <w:rPr>
                <w:spacing w:val="-37"/>
              </w:rPr>
              <w:t xml:space="preserve"> </w:t>
            </w:r>
            <w:r w:rsidR="00681463">
              <w:t>CFR</w:t>
            </w:r>
            <w:r w:rsidR="00681463">
              <w:rPr>
                <w:spacing w:val="-1"/>
              </w:rPr>
              <w:t xml:space="preserve"> </w:t>
            </w:r>
            <w:r w:rsidR="00681463">
              <w:t>982.627]</w:t>
            </w:r>
            <w:r w:rsidR="00681463">
              <w:tab/>
              <w:t>295</w:t>
            </w:r>
          </w:hyperlink>
        </w:p>
        <w:p w:rsidR="004E13A5" w:rsidRDefault="00BA59C9">
          <w:pPr>
            <w:pStyle w:val="TOC4"/>
            <w:tabs>
              <w:tab w:val="left" w:leader="dot" w:pos="9101"/>
            </w:tabs>
          </w:pPr>
          <w:hyperlink w:anchor="_TOC_250167" w:history="1">
            <w:r w:rsidR="00681463">
              <w:t>15-VII.C. Selection of Families [24</w:t>
            </w:r>
            <w:r w:rsidR="00681463">
              <w:rPr>
                <w:spacing w:val="-33"/>
              </w:rPr>
              <w:t xml:space="preserve"> </w:t>
            </w:r>
            <w:r w:rsidR="00681463">
              <w:t>CFR</w:t>
            </w:r>
            <w:r w:rsidR="00681463">
              <w:rPr>
                <w:spacing w:val="-2"/>
              </w:rPr>
              <w:t xml:space="preserve"> </w:t>
            </w:r>
            <w:r w:rsidR="00681463">
              <w:t>982.626]</w:t>
            </w:r>
            <w:r w:rsidR="00681463">
              <w:tab/>
              <w:t>296</w:t>
            </w:r>
          </w:hyperlink>
        </w:p>
        <w:p w:rsidR="004E13A5" w:rsidRDefault="00BA59C9">
          <w:pPr>
            <w:pStyle w:val="TOC4"/>
            <w:tabs>
              <w:tab w:val="left" w:leader="dot" w:pos="9101"/>
            </w:tabs>
          </w:pPr>
          <w:hyperlink w:anchor="_TOC_250166" w:history="1">
            <w:r w:rsidR="00681463">
              <w:t>15-VII.D.</w:t>
            </w:r>
            <w:r w:rsidR="00681463">
              <w:rPr>
                <w:spacing w:val="-44"/>
              </w:rPr>
              <w:t xml:space="preserve"> </w:t>
            </w:r>
            <w:r w:rsidR="00681463">
              <w:t>Eligible Units [24 CFR</w:t>
            </w:r>
            <w:r w:rsidR="00681463">
              <w:rPr>
                <w:spacing w:val="-2"/>
              </w:rPr>
              <w:t xml:space="preserve"> </w:t>
            </w:r>
            <w:r w:rsidR="00681463">
              <w:t>982.628]</w:t>
            </w:r>
            <w:r w:rsidR="00681463">
              <w:tab/>
              <w:t>296</w:t>
            </w:r>
          </w:hyperlink>
        </w:p>
        <w:p w:rsidR="004E13A5" w:rsidRDefault="00681463">
          <w:pPr>
            <w:pStyle w:val="TOC4"/>
          </w:pPr>
          <w:r>
            <w:t>15-VII.E. Additional PHA Requirements for Search and Purchase</w:t>
          </w:r>
        </w:p>
        <w:p w:rsidR="004E13A5" w:rsidRDefault="00681463">
          <w:pPr>
            <w:pStyle w:val="TOC7"/>
            <w:tabs>
              <w:tab w:val="left" w:leader="dot" w:pos="9101"/>
            </w:tabs>
          </w:pPr>
          <w:r>
            <w:t>[24</w:t>
          </w:r>
          <w:r>
            <w:rPr>
              <w:spacing w:val="-1"/>
            </w:rPr>
            <w:t xml:space="preserve"> </w:t>
          </w:r>
          <w:r>
            <w:t>CFR</w:t>
          </w:r>
          <w:r>
            <w:rPr>
              <w:spacing w:val="-1"/>
            </w:rPr>
            <w:t xml:space="preserve"> </w:t>
          </w:r>
          <w:r>
            <w:t>982.629]</w:t>
          </w:r>
          <w:r>
            <w:tab/>
            <w:t>297</w:t>
          </w:r>
        </w:p>
        <w:p w:rsidR="004E13A5" w:rsidRDefault="00BA59C9">
          <w:pPr>
            <w:pStyle w:val="TOC4"/>
            <w:tabs>
              <w:tab w:val="left" w:leader="dot" w:pos="9101"/>
            </w:tabs>
          </w:pPr>
          <w:hyperlink w:anchor="_TOC_250165" w:history="1">
            <w:r w:rsidR="00681463">
              <w:t>15-VII.F. Homeownership Counseling [24</w:t>
            </w:r>
            <w:r w:rsidR="00681463">
              <w:rPr>
                <w:spacing w:val="-6"/>
              </w:rPr>
              <w:t xml:space="preserve"> </w:t>
            </w:r>
            <w:r w:rsidR="00681463">
              <w:t>CFR</w:t>
            </w:r>
            <w:r w:rsidR="00681463">
              <w:rPr>
                <w:spacing w:val="-1"/>
              </w:rPr>
              <w:t xml:space="preserve"> </w:t>
            </w:r>
            <w:r w:rsidR="00681463">
              <w:t>982.630]</w:t>
            </w:r>
            <w:r w:rsidR="00681463">
              <w:tab/>
              <w:t>297</w:t>
            </w:r>
          </w:hyperlink>
        </w:p>
        <w:p w:rsidR="004E13A5" w:rsidRDefault="00681463">
          <w:pPr>
            <w:pStyle w:val="TOC4"/>
          </w:pPr>
          <w:r>
            <w:t>15-VII.G.</w:t>
          </w:r>
          <w:r>
            <w:rPr>
              <w:spacing w:val="-52"/>
            </w:rPr>
            <w:t xml:space="preserve"> </w:t>
          </w:r>
          <w:r>
            <w:t>Home Inspections, Contract of Sale, and PHA Disapproval of</w:t>
          </w:r>
        </w:p>
        <w:p w:rsidR="004E13A5" w:rsidRDefault="00681463">
          <w:pPr>
            <w:pStyle w:val="TOC7"/>
            <w:tabs>
              <w:tab w:val="left" w:leader="dot" w:pos="9101"/>
            </w:tabs>
          </w:pPr>
          <w:r>
            <w:t>Seller [24</w:t>
          </w:r>
          <w:r>
            <w:rPr>
              <w:spacing w:val="-2"/>
            </w:rPr>
            <w:t xml:space="preserve"> </w:t>
          </w:r>
          <w:r>
            <w:t>CFR</w:t>
          </w:r>
          <w:r>
            <w:rPr>
              <w:spacing w:val="-1"/>
            </w:rPr>
            <w:t xml:space="preserve"> </w:t>
          </w:r>
          <w:r>
            <w:t>982.631]</w:t>
          </w:r>
          <w:r>
            <w:tab/>
            <w:t>298</w:t>
          </w:r>
        </w:p>
        <w:p w:rsidR="004E13A5" w:rsidRDefault="00BA59C9">
          <w:pPr>
            <w:pStyle w:val="TOC8"/>
            <w:tabs>
              <w:tab w:val="left" w:leader="dot" w:pos="9101"/>
            </w:tabs>
          </w:pPr>
          <w:hyperlink w:anchor="_TOC_250164" w:history="1">
            <w:r w:rsidR="00681463">
              <w:t>Home</w:t>
            </w:r>
            <w:r w:rsidR="00681463">
              <w:rPr>
                <w:spacing w:val="-1"/>
              </w:rPr>
              <w:t xml:space="preserve"> </w:t>
            </w:r>
            <w:r w:rsidR="00681463">
              <w:t>Inspections</w:t>
            </w:r>
            <w:r w:rsidR="00681463">
              <w:tab/>
              <w:t>298</w:t>
            </w:r>
          </w:hyperlink>
        </w:p>
        <w:p w:rsidR="004E13A5" w:rsidRDefault="00BA59C9">
          <w:pPr>
            <w:pStyle w:val="TOC8"/>
            <w:tabs>
              <w:tab w:val="left" w:leader="dot" w:pos="9101"/>
            </w:tabs>
          </w:pPr>
          <w:hyperlink w:anchor="_TOC_250163" w:history="1">
            <w:r w:rsidR="00681463">
              <w:t>Contract</w:t>
            </w:r>
            <w:r w:rsidR="00681463">
              <w:rPr>
                <w:spacing w:val="-1"/>
              </w:rPr>
              <w:t xml:space="preserve"> </w:t>
            </w:r>
            <w:r w:rsidR="00681463">
              <w:t>of</w:t>
            </w:r>
            <w:r w:rsidR="00681463">
              <w:rPr>
                <w:spacing w:val="-1"/>
              </w:rPr>
              <w:t xml:space="preserve"> </w:t>
            </w:r>
            <w:r w:rsidR="00681463">
              <w:t>Sale</w:t>
            </w:r>
            <w:r w:rsidR="00681463">
              <w:tab/>
              <w:t>298</w:t>
            </w:r>
          </w:hyperlink>
        </w:p>
        <w:p w:rsidR="004E13A5" w:rsidRDefault="00BA59C9">
          <w:pPr>
            <w:pStyle w:val="TOC8"/>
            <w:tabs>
              <w:tab w:val="left" w:leader="dot" w:pos="9101"/>
            </w:tabs>
          </w:pPr>
          <w:hyperlink w:anchor="_TOC_250162" w:history="1">
            <w:r w:rsidR="00681463">
              <w:t>Disapproval of</w:t>
            </w:r>
            <w:r w:rsidR="00681463">
              <w:rPr>
                <w:spacing w:val="-1"/>
              </w:rPr>
              <w:t xml:space="preserve"> </w:t>
            </w:r>
            <w:r w:rsidR="00681463">
              <w:t>a</w:t>
            </w:r>
            <w:r w:rsidR="00681463">
              <w:rPr>
                <w:spacing w:val="-2"/>
              </w:rPr>
              <w:t xml:space="preserve"> </w:t>
            </w:r>
            <w:r w:rsidR="00681463">
              <w:t>Seller</w:t>
            </w:r>
            <w:r w:rsidR="00681463">
              <w:tab/>
              <w:t>299</w:t>
            </w:r>
          </w:hyperlink>
        </w:p>
        <w:p w:rsidR="004E13A5" w:rsidRDefault="00BA59C9">
          <w:pPr>
            <w:pStyle w:val="TOC4"/>
            <w:tabs>
              <w:tab w:val="left" w:leader="dot" w:pos="9101"/>
            </w:tabs>
          </w:pPr>
          <w:hyperlink w:anchor="_TOC_250161" w:history="1">
            <w:r w:rsidR="00681463">
              <w:t>15-VII.H.</w:t>
            </w:r>
            <w:r w:rsidR="00681463">
              <w:rPr>
                <w:spacing w:val="-44"/>
              </w:rPr>
              <w:t xml:space="preserve"> </w:t>
            </w:r>
            <w:r w:rsidR="00681463">
              <w:t>Financing [24 CFR</w:t>
            </w:r>
            <w:r w:rsidR="00681463">
              <w:rPr>
                <w:spacing w:val="-2"/>
              </w:rPr>
              <w:t xml:space="preserve"> </w:t>
            </w:r>
            <w:r w:rsidR="00681463">
              <w:t>982.632]</w:t>
            </w:r>
            <w:r w:rsidR="00681463">
              <w:tab/>
              <w:t>299</w:t>
            </w:r>
          </w:hyperlink>
        </w:p>
        <w:p w:rsidR="004E13A5" w:rsidRDefault="00681463">
          <w:pPr>
            <w:pStyle w:val="TOC4"/>
          </w:pPr>
          <w:r>
            <w:t>15-VII.I.  Continued Assistance Requirements; Family Obligations</w:t>
          </w:r>
        </w:p>
        <w:p w:rsidR="004E13A5" w:rsidRDefault="00681463">
          <w:pPr>
            <w:pStyle w:val="TOC7"/>
            <w:tabs>
              <w:tab w:val="left" w:leader="dot" w:pos="9101"/>
            </w:tabs>
          </w:pPr>
          <w:r>
            <w:t>[24</w:t>
          </w:r>
          <w:r>
            <w:rPr>
              <w:spacing w:val="-1"/>
            </w:rPr>
            <w:t xml:space="preserve"> </w:t>
          </w:r>
          <w:r>
            <w:t>CFR</w:t>
          </w:r>
          <w:r>
            <w:rPr>
              <w:spacing w:val="-1"/>
            </w:rPr>
            <w:t xml:space="preserve"> </w:t>
          </w:r>
          <w:r>
            <w:t>982.633]</w:t>
          </w:r>
          <w:r>
            <w:tab/>
            <w:t>299</w:t>
          </w:r>
        </w:p>
        <w:p w:rsidR="004E13A5" w:rsidRDefault="00BA59C9">
          <w:pPr>
            <w:pStyle w:val="TOC4"/>
            <w:tabs>
              <w:tab w:val="left" w:leader="dot" w:pos="9101"/>
            </w:tabs>
          </w:pPr>
          <w:hyperlink w:anchor="_TOC_250160" w:history="1">
            <w:r w:rsidR="00681463">
              <w:t>15-VII.J.  Maximum Term of Homeowner Assistance [24</w:t>
            </w:r>
            <w:r w:rsidR="00681463">
              <w:rPr>
                <w:spacing w:val="-28"/>
              </w:rPr>
              <w:t xml:space="preserve"> </w:t>
            </w:r>
            <w:r w:rsidR="00681463">
              <w:t>CFR</w:t>
            </w:r>
            <w:r w:rsidR="00681463">
              <w:rPr>
                <w:spacing w:val="-1"/>
              </w:rPr>
              <w:t xml:space="preserve"> </w:t>
            </w:r>
            <w:r w:rsidR="00681463">
              <w:t>982.634]</w:t>
            </w:r>
            <w:r w:rsidR="00681463">
              <w:tab/>
              <w:t>300</w:t>
            </w:r>
          </w:hyperlink>
        </w:p>
        <w:p w:rsidR="004E13A5" w:rsidRDefault="00681463">
          <w:pPr>
            <w:pStyle w:val="TOC4"/>
          </w:pPr>
          <w:r>
            <w:t>15-VII.K.</w:t>
          </w:r>
          <w:r>
            <w:rPr>
              <w:spacing w:val="-51"/>
            </w:rPr>
            <w:t xml:space="preserve"> </w:t>
          </w:r>
          <w:r>
            <w:t>Homeownership Assistance Payments and Homeownership</w:t>
          </w:r>
        </w:p>
        <w:p w:rsidR="004E13A5" w:rsidRDefault="00681463">
          <w:pPr>
            <w:pStyle w:val="TOC7"/>
            <w:tabs>
              <w:tab w:val="left" w:leader="dot" w:pos="9101"/>
            </w:tabs>
          </w:pPr>
          <w:r>
            <w:t>Expenses [24</w:t>
          </w:r>
          <w:r>
            <w:rPr>
              <w:spacing w:val="-2"/>
            </w:rPr>
            <w:t xml:space="preserve"> </w:t>
          </w:r>
          <w:r>
            <w:t>CFR</w:t>
          </w:r>
          <w:r>
            <w:rPr>
              <w:spacing w:val="-1"/>
            </w:rPr>
            <w:t xml:space="preserve"> </w:t>
          </w:r>
          <w:r>
            <w:t>982.635]</w:t>
          </w:r>
          <w:r>
            <w:tab/>
            <w:t>301</w:t>
          </w:r>
        </w:p>
        <w:p w:rsidR="004E13A5" w:rsidRDefault="00681463">
          <w:pPr>
            <w:pStyle w:val="TOC4"/>
          </w:pPr>
          <w:r>
            <w:t>15-VII.L. Portability [24 CFR 982.636, 982.637, 982.353(b) and (c),</w:t>
          </w:r>
        </w:p>
        <w:p w:rsidR="004E13A5" w:rsidRDefault="00681463">
          <w:pPr>
            <w:pStyle w:val="TOC7"/>
          </w:pPr>
          <w:r>
            <w:t>982.552, 982.553] ...................................................................................302</w:t>
          </w:r>
        </w:p>
        <w:p w:rsidR="004E13A5" w:rsidRDefault="00BA59C9">
          <w:pPr>
            <w:pStyle w:val="TOC4"/>
            <w:tabs>
              <w:tab w:val="left" w:leader="dot" w:pos="9101"/>
            </w:tabs>
          </w:pPr>
          <w:hyperlink w:anchor="_TOC_250159" w:history="1">
            <w:r w:rsidR="00681463">
              <w:t>15-VII.M. Moving with Continued Assistance [24</w:t>
            </w:r>
            <w:r w:rsidR="00681463">
              <w:rPr>
                <w:spacing w:val="21"/>
              </w:rPr>
              <w:t xml:space="preserve"> </w:t>
            </w:r>
            <w:r w:rsidR="00681463">
              <w:t>CFR</w:t>
            </w:r>
            <w:r w:rsidR="00681463">
              <w:rPr>
                <w:spacing w:val="-1"/>
              </w:rPr>
              <w:t xml:space="preserve"> </w:t>
            </w:r>
            <w:r w:rsidR="00681463">
              <w:t>982.637]</w:t>
            </w:r>
            <w:r w:rsidR="00681463">
              <w:tab/>
              <w:t>302</w:t>
            </w:r>
          </w:hyperlink>
        </w:p>
        <w:p w:rsidR="004E13A5" w:rsidRDefault="00BA59C9">
          <w:pPr>
            <w:pStyle w:val="TOC4"/>
            <w:tabs>
              <w:tab w:val="left" w:leader="dot" w:pos="9101"/>
            </w:tabs>
          </w:pPr>
          <w:hyperlink w:anchor="_TOC_250158" w:history="1">
            <w:r w:rsidR="00681463">
              <w:t>15-VII.N.</w:t>
            </w:r>
            <w:r w:rsidR="00681463">
              <w:rPr>
                <w:spacing w:val="-47"/>
              </w:rPr>
              <w:t xml:space="preserve"> </w:t>
            </w:r>
            <w:r w:rsidR="00681463">
              <w:t>Denial or Termination of Assistance [24 CFR</w:t>
            </w:r>
            <w:r w:rsidR="00681463">
              <w:rPr>
                <w:spacing w:val="-1"/>
              </w:rPr>
              <w:t xml:space="preserve"> </w:t>
            </w:r>
            <w:r w:rsidR="00681463">
              <w:t>982.638]</w:t>
            </w:r>
            <w:r w:rsidR="00681463">
              <w:tab/>
              <w:t>303</w:t>
            </w:r>
          </w:hyperlink>
        </w:p>
        <w:p w:rsidR="004E13A5" w:rsidRDefault="00BA59C9">
          <w:pPr>
            <w:spacing w:before="516"/>
            <w:ind w:left="3024" w:right="3022" w:firstLine="1178"/>
            <w:rPr>
              <w:b/>
              <w:sz w:val="24"/>
            </w:rPr>
          </w:pPr>
          <w:hyperlink w:anchor="_TOC_250157" w:history="1">
            <w:r w:rsidR="00681463">
              <w:rPr>
                <w:b/>
                <w:sz w:val="24"/>
              </w:rPr>
              <w:t>Chapter 16 PROGRAM ADMINISTRATION</w:t>
            </w:r>
          </w:hyperlink>
        </w:p>
        <w:p w:rsidR="004E13A5" w:rsidRDefault="00BA59C9">
          <w:pPr>
            <w:pStyle w:val="TOC3"/>
            <w:tabs>
              <w:tab w:val="left" w:pos="1360"/>
              <w:tab w:val="left" w:leader="dot" w:pos="9101"/>
            </w:tabs>
          </w:pPr>
          <w:hyperlink w:anchor="_TOC_250156" w:history="1">
            <w:r w:rsidR="00681463">
              <w:t>PART</w:t>
            </w:r>
            <w:r w:rsidR="00681463">
              <w:rPr>
                <w:spacing w:val="1"/>
              </w:rPr>
              <w:t xml:space="preserve"> </w:t>
            </w:r>
            <w:r w:rsidR="00681463">
              <w:rPr>
                <w:spacing w:val="-3"/>
              </w:rPr>
              <w:t>I:</w:t>
            </w:r>
            <w:r w:rsidR="00681463">
              <w:rPr>
                <w:spacing w:val="-3"/>
              </w:rPr>
              <w:tab/>
            </w:r>
            <w:r w:rsidR="00681463">
              <w:t>ADMINISTRATIVE FEE RESERVE [24</w:t>
            </w:r>
            <w:r w:rsidR="00681463">
              <w:rPr>
                <w:spacing w:val="-8"/>
              </w:rPr>
              <w:t xml:space="preserve"> </w:t>
            </w:r>
            <w:r w:rsidR="00681463">
              <w:t>CFR</w:t>
            </w:r>
            <w:r w:rsidR="00681463">
              <w:rPr>
                <w:spacing w:val="-2"/>
              </w:rPr>
              <w:t xml:space="preserve"> </w:t>
            </w:r>
            <w:r w:rsidR="00681463">
              <w:t>982.155]</w:t>
            </w:r>
            <w:r w:rsidR="00681463">
              <w:tab/>
              <w:t>305</w:t>
            </w:r>
          </w:hyperlink>
        </w:p>
        <w:p w:rsidR="004E13A5" w:rsidRDefault="00681463">
          <w:pPr>
            <w:pStyle w:val="TOC3"/>
            <w:tabs>
              <w:tab w:val="left" w:pos="1360"/>
              <w:tab w:val="left" w:leader="dot" w:pos="9101"/>
            </w:tabs>
          </w:pPr>
          <w:r>
            <w:t>PART</w:t>
          </w:r>
          <w:r>
            <w:rPr>
              <w:spacing w:val="2"/>
            </w:rPr>
            <w:t xml:space="preserve"> </w:t>
          </w:r>
          <w:r>
            <w:rPr>
              <w:spacing w:val="-3"/>
            </w:rPr>
            <w:t>II:</w:t>
          </w:r>
          <w:r>
            <w:rPr>
              <w:spacing w:val="-3"/>
            </w:rPr>
            <w:tab/>
          </w:r>
          <w:r>
            <w:t>SETTING PROGRAM STANDARDS</w:t>
          </w:r>
          <w:r>
            <w:rPr>
              <w:spacing w:val="-4"/>
            </w:rPr>
            <w:t xml:space="preserve"> </w:t>
          </w:r>
          <w:r>
            <w:t>AND</w:t>
          </w:r>
          <w:r>
            <w:rPr>
              <w:spacing w:val="-3"/>
            </w:rPr>
            <w:t xml:space="preserve"> </w:t>
          </w:r>
          <w:r>
            <w:t>SCHEDULES</w:t>
          </w:r>
          <w:r>
            <w:tab/>
            <w:t>305</w:t>
          </w:r>
        </w:p>
        <w:p w:rsidR="004E13A5" w:rsidRDefault="00681463">
          <w:pPr>
            <w:pStyle w:val="TOC4"/>
            <w:tabs>
              <w:tab w:val="left" w:leader="dot" w:pos="9101"/>
            </w:tabs>
          </w:pPr>
          <w:r>
            <w:t xml:space="preserve">16-II.A.  </w:t>
          </w:r>
          <w:r>
            <w:rPr>
              <w:spacing w:val="9"/>
            </w:rPr>
            <w:t xml:space="preserve"> </w:t>
          </w:r>
          <w:r>
            <w:t>Overview</w:t>
          </w:r>
          <w:r>
            <w:tab/>
            <w:t>305</w:t>
          </w:r>
        </w:p>
        <w:p w:rsidR="004E13A5" w:rsidRDefault="00BA59C9">
          <w:pPr>
            <w:pStyle w:val="TOC4"/>
            <w:tabs>
              <w:tab w:val="left" w:pos="2332"/>
              <w:tab w:val="left" w:leader="dot" w:pos="9101"/>
            </w:tabs>
          </w:pPr>
          <w:hyperlink w:anchor="_TOC_250155" w:history="1">
            <w:r w:rsidR="00681463">
              <w:t>16-II.B.</w:t>
            </w:r>
            <w:r w:rsidR="00681463">
              <w:tab/>
              <w:t>Payment Standards [24 CFR 982.503; HCV GB,</w:t>
            </w:r>
            <w:r w:rsidR="00681463">
              <w:rPr>
                <w:spacing w:val="-7"/>
              </w:rPr>
              <w:t xml:space="preserve"> </w:t>
            </w:r>
            <w:r w:rsidR="00681463">
              <w:t>Chapter</w:t>
            </w:r>
            <w:r w:rsidR="00681463">
              <w:rPr>
                <w:spacing w:val="1"/>
              </w:rPr>
              <w:t xml:space="preserve"> </w:t>
            </w:r>
            <w:r w:rsidR="00681463">
              <w:t>7]</w:t>
            </w:r>
            <w:r w:rsidR="00681463">
              <w:tab/>
              <w:t>306</w:t>
            </w:r>
          </w:hyperlink>
        </w:p>
        <w:p w:rsidR="004E13A5" w:rsidRDefault="00BA59C9">
          <w:pPr>
            <w:pStyle w:val="TOC8"/>
            <w:tabs>
              <w:tab w:val="left" w:leader="dot" w:pos="9101"/>
            </w:tabs>
          </w:pPr>
          <w:hyperlink w:anchor="_TOC_250154" w:history="1">
            <w:r w:rsidR="00681463">
              <w:t>Updating</w:t>
            </w:r>
            <w:r w:rsidR="00681463">
              <w:rPr>
                <w:spacing w:val="-4"/>
              </w:rPr>
              <w:t xml:space="preserve"> </w:t>
            </w:r>
            <w:r w:rsidR="00681463">
              <w:t>Payment</w:t>
            </w:r>
            <w:r w:rsidR="00681463">
              <w:rPr>
                <w:spacing w:val="-1"/>
              </w:rPr>
              <w:t xml:space="preserve"> </w:t>
            </w:r>
            <w:r w:rsidR="00681463">
              <w:t>Standards</w:t>
            </w:r>
            <w:r w:rsidR="00681463">
              <w:tab/>
              <w:t>306</w:t>
            </w:r>
          </w:hyperlink>
        </w:p>
        <w:p w:rsidR="004E13A5" w:rsidRDefault="00681463">
          <w:pPr>
            <w:pStyle w:val="TOC8"/>
            <w:tabs>
              <w:tab w:val="left" w:leader="dot" w:pos="9101"/>
            </w:tabs>
          </w:pPr>
          <w:r>
            <w:t>Exception Payment</w:t>
          </w:r>
          <w:r>
            <w:rPr>
              <w:spacing w:val="-4"/>
            </w:rPr>
            <w:t xml:space="preserve"> </w:t>
          </w:r>
          <w:r>
            <w:t>Standards</w:t>
          </w:r>
          <w:r>
            <w:rPr>
              <w:spacing w:val="-2"/>
            </w:rPr>
            <w:t xml:space="preserve"> </w:t>
          </w:r>
          <w:r>
            <w:t>[982.503(c)]</w:t>
          </w:r>
          <w:r>
            <w:tab/>
            <w:t>307</w:t>
          </w:r>
        </w:p>
        <w:p w:rsidR="004E13A5" w:rsidRDefault="00681463">
          <w:pPr>
            <w:pStyle w:val="TOC8"/>
            <w:spacing w:before="79"/>
          </w:pPr>
          <w:r>
            <w:t>Voluntary Use of Small Area FMRs</w:t>
          </w:r>
        </w:p>
        <w:p w:rsidR="004E13A5" w:rsidRDefault="00681463">
          <w:pPr>
            <w:pStyle w:val="TOC8"/>
            <w:tabs>
              <w:tab w:val="left" w:leader="dot" w:pos="9101"/>
            </w:tabs>
          </w:pPr>
          <w:r>
            <w:t>[24 CFR 982.503, Notice</w:t>
          </w:r>
          <w:r>
            <w:rPr>
              <w:spacing w:val="-5"/>
            </w:rPr>
            <w:t xml:space="preserve"> </w:t>
          </w:r>
          <w:r>
            <w:t>PIH</w:t>
          </w:r>
          <w:r>
            <w:rPr>
              <w:spacing w:val="-1"/>
            </w:rPr>
            <w:t xml:space="preserve"> </w:t>
          </w:r>
          <w:r>
            <w:t>2018-01]</w:t>
          </w:r>
          <w:r>
            <w:tab/>
            <w:t>307</w:t>
          </w:r>
        </w:p>
        <w:p w:rsidR="004E13A5" w:rsidRDefault="00681463">
          <w:pPr>
            <w:pStyle w:val="TOC8"/>
          </w:pPr>
          <w:r>
            <w:t>Unit-by-Unit Exceptions [24 CFR 982.503(c)(2)(ii),</w:t>
          </w:r>
        </w:p>
        <w:p w:rsidR="004E13A5" w:rsidRDefault="00681463">
          <w:pPr>
            <w:pStyle w:val="TOC8"/>
            <w:tabs>
              <w:tab w:val="left" w:leader="dot" w:pos="9101"/>
            </w:tabs>
          </w:pPr>
          <w:r>
            <w:t>24 CFR 982.505(d), Notice</w:t>
          </w:r>
          <w:r>
            <w:rPr>
              <w:spacing w:val="-6"/>
            </w:rPr>
            <w:t xml:space="preserve"> </w:t>
          </w:r>
          <w:r>
            <w:t>PIH</w:t>
          </w:r>
          <w:r>
            <w:rPr>
              <w:spacing w:val="-2"/>
            </w:rPr>
            <w:t xml:space="preserve"> </w:t>
          </w:r>
          <w:r>
            <w:t>2010-26]</w:t>
          </w:r>
          <w:r>
            <w:tab/>
            <w:t>308</w:t>
          </w:r>
        </w:p>
        <w:p w:rsidR="004E13A5" w:rsidRDefault="00681463">
          <w:pPr>
            <w:pStyle w:val="TOC8"/>
          </w:pPr>
          <w:r>
            <w:t>"Success Rate" Payment Standard Amounts</w:t>
          </w:r>
        </w:p>
        <w:p w:rsidR="004E13A5" w:rsidRDefault="00681463">
          <w:pPr>
            <w:pStyle w:val="TOC8"/>
            <w:tabs>
              <w:tab w:val="left" w:leader="dot" w:pos="9101"/>
            </w:tabs>
          </w:pPr>
          <w:r>
            <w:t>[24</w:t>
          </w:r>
          <w:r>
            <w:rPr>
              <w:spacing w:val="-1"/>
            </w:rPr>
            <w:t xml:space="preserve"> </w:t>
          </w:r>
          <w:r>
            <w:t>CFR</w:t>
          </w:r>
          <w:r>
            <w:rPr>
              <w:spacing w:val="-1"/>
            </w:rPr>
            <w:t xml:space="preserve"> </w:t>
          </w:r>
          <w:r>
            <w:t>982.503(e)]</w:t>
          </w:r>
          <w:r>
            <w:tab/>
            <w:t>308</w:t>
          </w:r>
        </w:p>
        <w:p w:rsidR="004E13A5" w:rsidRDefault="00681463">
          <w:pPr>
            <w:pStyle w:val="TOC8"/>
          </w:pPr>
          <w:r>
            <w:t>Decreases in the Payment Standard below</w:t>
          </w:r>
        </w:p>
        <w:p w:rsidR="004E13A5" w:rsidRDefault="00681463">
          <w:pPr>
            <w:pStyle w:val="TOC8"/>
            <w:tabs>
              <w:tab w:val="left" w:leader="dot" w:pos="9101"/>
            </w:tabs>
          </w:pPr>
          <w:r>
            <w:t>the Basic Range [24</w:t>
          </w:r>
          <w:r>
            <w:rPr>
              <w:spacing w:val="-4"/>
            </w:rPr>
            <w:t xml:space="preserve"> </w:t>
          </w:r>
          <w:r>
            <w:t>CFR</w:t>
          </w:r>
          <w:r>
            <w:rPr>
              <w:spacing w:val="-1"/>
            </w:rPr>
            <w:t xml:space="preserve"> </w:t>
          </w:r>
          <w:r>
            <w:t>982.503(d)]</w:t>
          </w:r>
          <w:r>
            <w:tab/>
            <w:t>308</w:t>
          </w:r>
        </w:p>
        <w:p w:rsidR="004E13A5" w:rsidRDefault="00BA59C9">
          <w:pPr>
            <w:pStyle w:val="TOC4"/>
            <w:tabs>
              <w:tab w:val="left" w:pos="2332"/>
              <w:tab w:val="left" w:leader="dot" w:pos="9101"/>
            </w:tabs>
          </w:pPr>
          <w:hyperlink w:anchor="_TOC_250153" w:history="1">
            <w:r w:rsidR="00681463">
              <w:t>16-II.C.</w:t>
            </w:r>
            <w:r w:rsidR="00681463">
              <w:tab/>
              <w:t>Utility Allowances [24</w:t>
            </w:r>
            <w:r w:rsidR="00681463">
              <w:rPr>
                <w:spacing w:val="-7"/>
              </w:rPr>
              <w:t xml:space="preserve"> </w:t>
            </w:r>
            <w:r w:rsidR="00681463">
              <w:t>CFR 982.517]</w:t>
            </w:r>
            <w:r w:rsidR="00681463">
              <w:tab/>
              <w:t>309</w:t>
            </w:r>
          </w:hyperlink>
        </w:p>
        <w:p w:rsidR="004E13A5" w:rsidRDefault="00BA59C9">
          <w:pPr>
            <w:pStyle w:val="TOC8"/>
            <w:tabs>
              <w:tab w:val="left" w:leader="dot" w:pos="9101"/>
            </w:tabs>
          </w:pPr>
          <w:hyperlink w:anchor="_TOC_250152" w:history="1">
            <w:r w:rsidR="00681463">
              <w:t>Air Conditioning</w:t>
            </w:r>
            <w:r w:rsidR="00681463">
              <w:tab/>
              <w:t>309</w:t>
            </w:r>
          </w:hyperlink>
        </w:p>
        <w:p w:rsidR="004E13A5" w:rsidRDefault="00BA59C9">
          <w:pPr>
            <w:pStyle w:val="TOC8"/>
            <w:tabs>
              <w:tab w:val="left" w:leader="dot" w:pos="9101"/>
            </w:tabs>
          </w:pPr>
          <w:hyperlink w:anchor="_TOC_250151" w:history="1">
            <w:r w:rsidR="00681463">
              <w:t>Reasonable</w:t>
            </w:r>
            <w:r w:rsidR="00681463">
              <w:rPr>
                <w:spacing w:val="-1"/>
              </w:rPr>
              <w:t xml:space="preserve"> </w:t>
            </w:r>
            <w:r w:rsidR="00681463">
              <w:t>Accommodation</w:t>
            </w:r>
            <w:r w:rsidR="00681463">
              <w:tab/>
              <w:t>309</w:t>
            </w:r>
          </w:hyperlink>
        </w:p>
        <w:p w:rsidR="004E13A5" w:rsidRDefault="00BA59C9">
          <w:pPr>
            <w:pStyle w:val="TOC8"/>
            <w:tabs>
              <w:tab w:val="left" w:leader="dot" w:pos="9101"/>
            </w:tabs>
          </w:pPr>
          <w:hyperlink w:anchor="_TOC_250150" w:history="1">
            <w:r w:rsidR="00681463">
              <w:t>Utility</w:t>
            </w:r>
            <w:r w:rsidR="00681463">
              <w:rPr>
                <w:spacing w:val="-7"/>
              </w:rPr>
              <w:t xml:space="preserve"> </w:t>
            </w:r>
            <w:r w:rsidR="00681463">
              <w:t>Allowance Revisions</w:t>
            </w:r>
            <w:r w:rsidR="00681463">
              <w:tab/>
              <w:t>309</w:t>
            </w:r>
          </w:hyperlink>
        </w:p>
        <w:p w:rsidR="004E13A5" w:rsidRDefault="00BA59C9">
          <w:pPr>
            <w:pStyle w:val="TOC2"/>
            <w:tabs>
              <w:tab w:val="left" w:pos="1259"/>
              <w:tab w:val="left" w:leader="dot" w:pos="9001"/>
            </w:tabs>
            <w:spacing w:before="121"/>
          </w:pPr>
          <w:hyperlink w:anchor="_TOC_250149" w:history="1">
            <w:r w:rsidR="00681463">
              <w:t>PART</w:t>
            </w:r>
            <w:r w:rsidR="00681463">
              <w:rPr>
                <w:spacing w:val="-1"/>
              </w:rPr>
              <w:t xml:space="preserve"> </w:t>
            </w:r>
            <w:r w:rsidR="00681463">
              <w:t>III:</w:t>
            </w:r>
            <w:r w:rsidR="00681463">
              <w:tab/>
              <w:t>INFORMAL REVIEWS</w:t>
            </w:r>
            <w:r w:rsidR="00681463">
              <w:rPr>
                <w:spacing w:val="-6"/>
              </w:rPr>
              <w:t xml:space="preserve"> </w:t>
            </w:r>
            <w:r w:rsidR="00681463">
              <w:t>AND</w:t>
            </w:r>
            <w:r w:rsidR="00681463">
              <w:rPr>
                <w:spacing w:val="-2"/>
              </w:rPr>
              <w:t xml:space="preserve"> </w:t>
            </w:r>
            <w:r w:rsidR="00681463">
              <w:t>HEARINGS</w:t>
            </w:r>
            <w:r w:rsidR="00681463">
              <w:tab/>
              <w:t>310</w:t>
            </w:r>
          </w:hyperlink>
        </w:p>
        <w:p w:rsidR="004E13A5" w:rsidRDefault="00BA59C9">
          <w:pPr>
            <w:pStyle w:val="TOC4"/>
            <w:tabs>
              <w:tab w:val="left" w:leader="dot" w:pos="9101"/>
            </w:tabs>
          </w:pPr>
          <w:hyperlink w:anchor="_TOC_250148" w:history="1">
            <w:r w:rsidR="00681463">
              <w:t>16-III.A.</w:t>
            </w:r>
            <w:r w:rsidR="00681463">
              <w:rPr>
                <w:spacing w:val="49"/>
              </w:rPr>
              <w:t xml:space="preserve"> </w:t>
            </w:r>
            <w:r w:rsidR="00681463">
              <w:t>Overview</w:t>
            </w:r>
            <w:r w:rsidR="00681463">
              <w:tab/>
              <w:t>310</w:t>
            </w:r>
          </w:hyperlink>
        </w:p>
        <w:p w:rsidR="004E13A5" w:rsidRDefault="00BA59C9">
          <w:pPr>
            <w:pStyle w:val="TOC4"/>
            <w:tabs>
              <w:tab w:val="left" w:leader="dot" w:pos="9101"/>
            </w:tabs>
          </w:pPr>
          <w:hyperlink w:anchor="_TOC_250147" w:history="1">
            <w:r w:rsidR="00681463">
              <w:t xml:space="preserve">16-III.B. </w:t>
            </w:r>
            <w:r w:rsidR="00681463">
              <w:rPr>
                <w:spacing w:val="3"/>
              </w:rPr>
              <w:t xml:space="preserve"> </w:t>
            </w:r>
            <w:r w:rsidR="00681463">
              <w:t>Informal</w:t>
            </w:r>
            <w:r w:rsidR="00681463">
              <w:rPr>
                <w:spacing w:val="-2"/>
              </w:rPr>
              <w:t xml:space="preserve"> </w:t>
            </w:r>
            <w:r w:rsidR="00681463">
              <w:t>Reviews</w:t>
            </w:r>
            <w:r w:rsidR="00681463">
              <w:tab/>
              <w:t>310</w:t>
            </w:r>
          </w:hyperlink>
        </w:p>
        <w:p w:rsidR="004E13A5" w:rsidRDefault="00681463">
          <w:pPr>
            <w:pStyle w:val="TOC8"/>
            <w:tabs>
              <w:tab w:val="left" w:leader="dot" w:pos="9101"/>
            </w:tabs>
          </w:pPr>
          <w:r>
            <w:t>Decisions Subject to</w:t>
          </w:r>
          <w:r>
            <w:rPr>
              <w:spacing w:val="-3"/>
            </w:rPr>
            <w:t xml:space="preserve"> </w:t>
          </w:r>
          <w:r>
            <w:t>Informal</w:t>
          </w:r>
          <w:r>
            <w:rPr>
              <w:spacing w:val="-2"/>
            </w:rPr>
            <w:t xml:space="preserve"> </w:t>
          </w:r>
          <w:r>
            <w:t>Review</w:t>
          </w:r>
          <w:r>
            <w:tab/>
            <w:t>310</w:t>
          </w:r>
        </w:p>
        <w:p w:rsidR="004E13A5" w:rsidRDefault="00BA59C9">
          <w:pPr>
            <w:pStyle w:val="TOC8"/>
            <w:tabs>
              <w:tab w:val="left" w:leader="dot" w:pos="9101"/>
            </w:tabs>
          </w:pPr>
          <w:hyperlink w:anchor="_TOC_250146" w:history="1">
            <w:r w:rsidR="00681463">
              <w:t>Notice to the Applicant [24</w:t>
            </w:r>
            <w:r w:rsidR="00681463">
              <w:rPr>
                <w:spacing w:val="-7"/>
              </w:rPr>
              <w:t xml:space="preserve"> </w:t>
            </w:r>
            <w:r w:rsidR="00681463">
              <w:t>CFR</w:t>
            </w:r>
            <w:r w:rsidR="00681463">
              <w:rPr>
                <w:spacing w:val="-1"/>
              </w:rPr>
              <w:t xml:space="preserve"> </w:t>
            </w:r>
            <w:r w:rsidR="00681463">
              <w:t>982.554(a)]</w:t>
            </w:r>
            <w:r w:rsidR="00681463">
              <w:tab/>
              <w:t>311</w:t>
            </w:r>
          </w:hyperlink>
        </w:p>
        <w:p w:rsidR="004E13A5" w:rsidRDefault="00BA59C9">
          <w:pPr>
            <w:pStyle w:val="TOC8"/>
            <w:tabs>
              <w:tab w:val="left" w:leader="dot" w:pos="9101"/>
            </w:tabs>
          </w:pPr>
          <w:hyperlink w:anchor="_TOC_250145" w:history="1">
            <w:r w:rsidR="00681463">
              <w:t>Scheduling an</w:t>
            </w:r>
            <w:r w:rsidR="00681463">
              <w:rPr>
                <w:spacing w:val="-3"/>
              </w:rPr>
              <w:t xml:space="preserve"> </w:t>
            </w:r>
            <w:r w:rsidR="00681463">
              <w:t>Informal Review</w:t>
            </w:r>
            <w:r w:rsidR="00681463">
              <w:tab/>
              <w:t>311</w:t>
            </w:r>
          </w:hyperlink>
        </w:p>
        <w:p w:rsidR="004E13A5" w:rsidRDefault="00BA59C9">
          <w:pPr>
            <w:pStyle w:val="TOC8"/>
            <w:tabs>
              <w:tab w:val="left" w:leader="dot" w:pos="9101"/>
            </w:tabs>
          </w:pPr>
          <w:hyperlink w:anchor="_TOC_250144" w:history="1">
            <w:r w:rsidR="00681463">
              <w:t>Informal Review Procedures [24</w:t>
            </w:r>
            <w:r w:rsidR="00681463">
              <w:rPr>
                <w:spacing w:val="-4"/>
              </w:rPr>
              <w:t xml:space="preserve"> </w:t>
            </w:r>
            <w:r w:rsidR="00681463">
              <w:t>CFR</w:t>
            </w:r>
            <w:r w:rsidR="00681463">
              <w:rPr>
                <w:spacing w:val="-1"/>
              </w:rPr>
              <w:t xml:space="preserve"> </w:t>
            </w:r>
            <w:r w:rsidR="00681463">
              <w:t>982.554(b)]</w:t>
            </w:r>
            <w:r w:rsidR="00681463">
              <w:tab/>
              <w:t>311</w:t>
            </w:r>
          </w:hyperlink>
        </w:p>
        <w:p w:rsidR="004E13A5" w:rsidRDefault="00BA59C9">
          <w:pPr>
            <w:pStyle w:val="TOC8"/>
            <w:tabs>
              <w:tab w:val="left" w:leader="dot" w:pos="9101"/>
            </w:tabs>
          </w:pPr>
          <w:hyperlink w:anchor="_TOC_250143" w:history="1">
            <w:r w:rsidR="00681463">
              <w:t>Remote Informal Reviews [Notice</w:t>
            </w:r>
            <w:r w:rsidR="00681463">
              <w:rPr>
                <w:spacing w:val="-6"/>
              </w:rPr>
              <w:t xml:space="preserve"> </w:t>
            </w:r>
            <w:r w:rsidR="00681463">
              <w:t>PIH</w:t>
            </w:r>
            <w:r w:rsidR="00681463">
              <w:rPr>
                <w:spacing w:val="-2"/>
              </w:rPr>
              <w:t xml:space="preserve"> </w:t>
            </w:r>
            <w:r w:rsidR="00681463">
              <w:t>2020-32]</w:t>
            </w:r>
            <w:r w:rsidR="00681463">
              <w:tab/>
              <w:t>311</w:t>
            </w:r>
          </w:hyperlink>
        </w:p>
        <w:p w:rsidR="004E13A5" w:rsidRDefault="00BA59C9">
          <w:pPr>
            <w:pStyle w:val="TOC8"/>
            <w:tabs>
              <w:tab w:val="left" w:leader="dot" w:pos="9101"/>
            </w:tabs>
          </w:pPr>
          <w:hyperlink w:anchor="_TOC_250142" w:history="1">
            <w:r w:rsidR="00681463">
              <w:t>Conducting Remote</w:t>
            </w:r>
            <w:r w:rsidR="00681463">
              <w:rPr>
                <w:spacing w:val="-6"/>
              </w:rPr>
              <w:t xml:space="preserve"> </w:t>
            </w:r>
            <w:r w:rsidR="00681463">
              <w:t>Informal</w:t>
            </w:r>
            <w:r w:rsidR="00681463">
              <w:rPr>
                <w:spacing w:val="-2"/>
              </w:rPr>
              <w:t xml:space="preserve"> </w:t>
            </w:r>
            <w:r w:rsidR="00681463">
              <w:t>Reviews</w:t>
            </w:r>
            <w:r w:rsidR="00681463">
              <w:tab/>
              <w:t>312</w:t>
            </w:r>
          </w:hyperlink>
        </w:p>
        <w:p w:rsidR="004E13A5" w:rsidRDefault="00681463">
          <w:pPr>
            <w:pStyle w:val="TOC8"/>
          </w:pPr>
          <w:r>
            <w:t>Ensuring Accessibility for Persons with Disabilities</w:t>
          </w:r>
        </w:p>
        <w:p w:rsidR="004E13A5" w:rsidRDefault="00681463">
          <w:pPr>
            <w:pStyle w:val="TOC8"/>
            <w:tabs>
              <w:tab w:val="left" w:leader="dot" w:pos="9101"/>
            </w:tabs>
          </w:pPr>
          <w:r>
            <w:t>and</w:t>
          </w:r>
          <w:r>
            <w:rPr>
              <w:spacing w:val="-1"/>
            </w:rPr>
            <w:t xml:space="preserve"> </w:t>
          </w:r>
          <w:r>
            <w:t>LEP</w:t>
          </w:r>
          <w:r>
            <w:rPr>
              <w:spacing w:val="-1"/>
            </w:rPr>
            <w:t xml:space="preserve"> </w:t>
          </w:r>
          <w:r>
            <w:t>Individuals</w:t>
          </w:r>
          <w:r>
            <w:tab/>
            <w:t>312</w:t>
          </w:r>
        </w:p>
        <w:p w:rsidR="004E13A5" w:rsidRDefault="00BA59C9">
          <w:pPr>
            <w:pStyle w:val="TOC8"/>
            <w:tabs>
              <w:tab w:val="left" w:leader="dot" w:pos="9101"/>
            </w:tabs>
          </w:pPr>
          <w:hyperlink w:anchor="_TOC_250141" w:history="1">
            <w:r w:rsidR="00681463">
              <w:t>Informal Review Decision [24</w:t>
            </w:r>
            <w:r w:rsidR="00681463">
              <w:rPr>
                <w:spacing w:val="-3"/>
              </w:rPr>
              <w:t xml:space="preserve"> </w:t>
            </w:r>
            <w:r w:rsidR="00681463">
              <w:t>CFR</w:t>
            </w:r>
            <w:r w:rsidR="00681463">
              <w:rPr>
                <w:spacing w:val="-1"/>
              </w:rPr>
              <w:t xml:space="preserve"> </w:t>
            </w:r>
            <w:r w:rsidR="00681463">
              <w:t>982.554(b)]</w:t>
            </w:r>
            <w:r w:rsidR="00681463">
              <w:tab/>
              <w:t>313</w:t>
            </w:r>
          </w:hyperlink>
        </w:p>
        <w:p w:rsidR="004E13A5" w:rsidRDefault="00BA59C9">
          <w:pPr>
            <w:pStyle w:val="TOC4"/>
            <w:tabs>
              <w:tab w:val="left" w:leader="dot" w:pos="9101"/>
            </w:tabs>
          </w:pPr>
          <w:hyperlink w:anchor="_TOC_250140" w:history="1">
            <w:r w:rsidR="00681463">
              <w:t>16-III.C.  Informal Hearings for Participants [24 CFR</w:t>
            </w:r>
            <w:r w:rsidR="00681463">
              <w:rPr>
                <w:spacing w:val="-2"/>
              </w:rPr>
              <w:t xml:space="preserve"> </w:t>
            </w:r>
            <w:r w:rsidR="00681463">
              <w:t>982.555]</w:t>
            </w:r>
            <w:r w:rsidR="00681463">
              <w:tab/>
              <w:t>313</w:t>
            </w:r>
          </w:hyperlink>
        </w:p>
        <w:p w:rsidR="004E13A5" w:rsidRDefault="00BA59C9">
          <w:pPr>
            <w:pStyle w:val="TOC8"/>
            <w:tabs>
              <w:tab w:val="left" w:leader="dot" w:pos="9101"/>
            </w:tabs>
          </w:pPr>
          <w:hyperlink w:anchor="_TOC_250139" w:history="1">
            <w:r w:rsidR="00681463">
              <w:t>Decisions Subject to</w:t>
            </w:r>
            <w:r w:rsidR="00681463">
              <w:rPr>
                <w:spacing w:val="-3"/>
              </w:rPr>
              <w:t xml:space="preserve"> </w:t>
            </w:r>
            <w:r w:rsidR="00681463">
              <w:t>Informal</w:t>
            </w:r>
            <w:r w:rsidR="00681463">
              <w:rPr>
                <w:spacing w:val="-2"/>
              </w:rPr>
              <w:t xml:space="preserve"> </w:t>
            </w:r>
            <w:r w:rsidR="00681463">
              <w:t>Hearing</w:t>
            </w:r>
            <w:r w:rsidR="00681463">
              <w:tab/>
              <w:t>314</w:t>
            </w:r>
          </w:hyperlink>
        </w:p>
        <w:p w:rsidR="004E13A5" w:rsidRDefault="00BA59C9">
          <w:pPr>
            <w:pStyle w:val="TOC8"/>
            <w:tabs>
              <w:tab w:val="left" w:leader="dot" w:pos="9101"/>
            </w:tabs>
          </w:pPr>
          <w:hyperlink w:anchor="_TOC_250138" w:history="1">
            <w:r w:rsidR="00681463">
              <w:t>Remote Informal Hearings [Notice</w:t>
            </w:r>
            <w:r w:rsidR="00681463">
              <w:rPr>
                <w:spacing w:val="-6"/>
              </w:rPr>
              <w:t xml:space="preserve"> </w:t>
            </w:r>
            <w:r w:rsidR="00681463">
              <w:t>PIH</w:t>
            </w:r>
            <w:r w:rsidR="00681463">
              <w:rPr>
                <w:spacing w:val="-2"/>
              </w:rPr>
              <w:t xml:space="preserve"> </w:t>
            </w:r>
            <w:r w:rsidR="00681463">
              <w:t>2020-32]</w:t>
            </w:r>
            <w:r w:rsidR="00681463">
              <w:tab/>
              <w:t>315</w:t>
            </w:r>
          </w:hyperlink>
        </w:p>
        <w:p w:rsidR="004E13A5" w:rsidRDefault="00681463">
          <w:pPr>
            <w:pStyle w:val="TOC8"/>
          </w:pPr>
          <w:r>
            <w:t>Ensuring Accessibility for Persons with Disabilities</w:t>
          </w:r>
        </w:p>
        <w:p w:rsidR="004E13A5" w:rsidRDefault="00681463">
          <w:pPr>
            <w:pStyle w:val="TOC8"/>
            <w:tabs>
              <w:tab w:val="left" w:leader="dot" w:pos="9101"/>
            </w:tabs>
          </w:pPr>
          <w:r>
            <w:t>and</w:t>
          </w:r>
          <w:r>
            <w:rPr>
              <w:spacing w:val="-1"/>
            </w:rPr>
            <w:t xml:space="preserve"> </w:t>
          </w:r>
          <w:r>
            <w:t>LEP</w:t>
          </w:r>
          <w:r>
            <w:rPr>
              <w:spacing w:val="-1"/>
            </w:rPr>
            <w:t xml:space="preserve"> </w:t>
          </w:r>
          <w:r>
            <w:t>Individuals</w:t>
          </w:r>
          <w:r>
            <w:tab/>
            <w:t>315</w:t>
          </w:r>
        </w:p>
        <w:p w:rsidR="004E13A5" w:rsidRDefault="00BA59C9">
          <w:pPr>
            <w:pStyle w:val="TOC8"/>
            <w:tabs>
              <w:tab w:val="left" w:leader="dot" w:pos="9101"/>
            </w:tabs>
          </w:pPr>
          <w:hyperlink w:anchor="_TOC_250137" w:history="1">
            <w:r w:rsidR="00681463">
              <w:t>Conducting Informal</w:t>
            </w:r>
            <w:r w:rsidR="00681463">
              <w:rPr>
                <w:spacing w:val="-4"/>
              </w:rPr>
              <w:t xml:space="preserve"> </w:t>
            </w:r>
            <w:r w:rsidR="00681463">
              <w:t>Hearings</w:t>
            </w:r>
            <w:r w:rsidR="00681463">
              <w:rPr>
                <w:spacing w:val="-2"/>
              </w:rPr>
              <w:t xml:space="preserve"> </w:t>
            </w:r>
            <w:r w:rsidR="00681463">
              <w:t>Remotely</w:t>
            </w:r>
            <w:r w:rsidR="00681463">
              <w:tab/>
              <w:t>315</w:t>
            </w:r>
          </w:hyperlink>
        </w:p>
        <w:p w:rsidR="004E13A5" w:rsidRDefault="00BA59C9">
          <w:pPr>
            <w:pStyle w:val="TOC8"/>
            <w:tabs>
              <w:tab w:val="left" w:leader="dot" w:pos="9101"/>
            </w:tabs>
          </w:pPr>
          <w:hyperlink w:anchor="_TOC_250136" w:history="1">
            <w:r w:rsidR="00681463">
              <w:t>Informal</w:t>
            </w:r>
            <w:r w:rsidR="00681463">
              <w:rPr>
                <w:spacing w:val="-2"/>
              </w:rPr>
              <w:t xml:space="preserve"> </w:t>
            </w:r>
            <w:r w:rsidR="00681463">
              <w:t>Hearing</w:t>
            </w:r>
            <w:r w:rsidR="00681463">
              <w:rPr>
                <w:spacing w:val="-5"/>
              </w:rPr>
              <w:t xml:space="preserve"> </w:t>
            </w:r>
            <w:r w:rsidR="00681463">
              <w:t>Procedures</w:t>
            </w:r>
            <w:r w:rsidR="00681463">
              <w:tab/>
              <w:t>316</w:t>
            </w:r>
          </w:hyperlink>
        </w:p>
        <w:p w:rsidR="004E13A5" w:rsidRDefault="00681463">
          <w:pPr>
            <w:pStyle w:val="TOC4"/>
          </w:pPr>
          <w:r>
            <w:t>16-III.D.  Hearing and Appeal Provisions for Noncitizens</w:t>
          </w:r>
        </w:p>
        <w:p w:rsidR="004E13A5" w:rsidRDefault="00681463">
          <w:pPr>
            <w:pStyle w:val="TOC7"/>
            <w:tabs>
              <w:tab w:val="left" w:leader="dot" w:pos="9101"/>
            </w:tabs>
          </w:pPr>
          <w:r>
            <w:t>[24</w:t>
          </w:r>
          <w:r>
            <w:rPr>
              <w:spacing w:val="-1"/>
            </w:rPr>
            <w:t xml:space="preserve"> </w:t>
          </w:r>
          <w:r>
            <w:t>CFR</w:t>
          </w:r>
          <w:r>
            <w:rPr>
              <w:spacing w:val="-1"/>
            </w:rPr>
            <w:t xml:space="preserve"> </w:t>
          </w:r>
          <w:r>
            <w:t>5.514]</w:t>
          </w:r>
          <w:r>
            <w:tab/>
            <w:t>322</w:t>
          </w:r>
        </w:p>
        <w:p w:rsidR="004E13A5" w:rsidRDefault="00681463">
          <w:pPr>
            <w:pStyle w:val="TOC8"/>
          </w:pPr>
          <w:r>
            <w:t>Notice of Denial or Termination of Assistance</w:t>
          </w:r>
        </w:p>
        <w:p w:rsidR="004E13A5" w:rsidRDefault="00681463">
          <w:pPr>
            <w:pStyle w:val="TOC8"/>
            <w:tabs>
              <w:tab w:val="left" w:leader="dot" w:pos="9101"/>
            </w:tabs>
          </w:pPr>
          <w:r>
            <w:t>[24</w:t>
          </w:r>
          <w:r>
            <w:rPr>
              <w:spacing w:val="-1"/>
            </w:rPr>
            <w:t xml:space="preserve"> </w:t>
          </w:r>
          <w:r>
            <w:t>CFR</w:t>
          </w:r>
          <w:r>
            <w:rPr>
              <w:spacing w:val="-1"/>
            </w:rPr>
            <w:t xml:space="preserve"> </w:t>
          </w:r>
          <w:r>
            <w:t>5.514(d)]</w:t>
          </w:r>
          <w:r>
            <w:tab/>
            <w:t>322</w:t>
          </w:r>
        </w:p>
        <w:p w:rsidR="004E13A5" w:rsidRDefault="00BA59C9">
          <w:pPr>
            <w:pStyle w:val="TOC8"/>
            <w:tabs>
              <w:tab w:val="left" w:leader="dot" w:pos="9101"/>
            </w:tabs>
          </w:pPr>
          <w:hyperlink w:anchor="_TOC_250135" w:history="1">
            <w:r w:rsidR="00681463">
              <w:t>USCIS Appeal Process [24</w:t>
            </w:r>
            <w:r w:rsidR="00681463">
              <w:rPr>
                <w:spacing w:val="-6"/>
              </w:rPr>
              <w:t xml:space="preserve"> </w:t>
            </w:r>
            <w:r w:rsidR="00681463">
              <w:t>CFR</w:t>
            </w:r>
            <w:r w:rsidR="00681463">
              <w:rPr>
                <w:spacing w:val="-2"/>
              </w:rPr>
              <w:t xml:space="preserve"> </w:t>
            </w:r>
            <w:r w:rsidR="00681463">
              <w:t>5.514(e)]</w:t>
            </w:r>
            <w:r w:rsidR="00681463">
              <w:tab/>
              <w:t>322</w:t>
            </w:r>
          </w:hyperlink>
        </w:p>
        <w:p w:rsidR="004E13A5" w:rsidRDefault="00681463">
          <w:pPr>
            <w:pStyle w:val="TOC8"/>
          </w:pPr>
          <w:r>
            <w:t>Informal Hearing Procedures for Applicants</w:t>
          </w:r>
        </w:p>
        <w:p w:rsidR="004E13A5" w:rsidRDefault="00681463">
          <w:pPr>
            <w:pStyle w:val="TOC8"/>
            <w:tabs>
              <w:tab w:val="left" w:leader="dot" w:pos="9101"/>
            </w:tabs>
          </w:pPr>
          <w:r>
            <w:t>[24</w:t>
          </w:r>
          <w:r>
            <w:rPr>
              <w:spacing w:val="-1"/>
            </w:rPr>
            <w:t xml:space="preserve"> </w:t>
          </w:r>
          <w:r>
            <w:t>CFR</w:t>
          </w:r>
          <w:r>
            <w:rPr>
              <w:spacing w:val="-1"/>
            </w:rPr>
            <w:t xml:space="preserve"> </w:t>
          </w:r>
          <w:r>
            <w:t>5.514(f)]</w:t>
          </w:r>
          <w:r>
            <w:tab/>
            <w:t>323</w:t>
          </w:r>
        </w:p>
        <w:p w:rsidR="004E13A5" w:rsidRDefault="00681463">
          <w:pPr>
            <w:pStyle w:val="TOC8"/>
          </w:pPr>
          <w:r>
            <w:t>Informal Hearing Procedures for Residents</w:t>
          </w:r>
        </w:p>
        <w:p w:rsidR="004E13A5" w:rsidRDefault="00681463">
          <w:pPr>
            <w:pStyle w:val="TOC8"/>
            <w:tabs>
              <w:tab w:val="left" w:leader="dot" w:pos="9101"/>
            </w:tabs>
          </w:pPr>
          <w:r>
            <w:t>[24</w:t>
          </w:r>
          <w:r>
            <w:rPr>
              <w:spacing w:val="-1"/>
            </w:rPr>
            <w:t xml:space="preserve"> </w:t>
          </w:r>
          <w:r>
            <w:t>CFR</w:t>
          </w:r>
          <w:r>
            <w:rPr>
              <w:spacing w:val="-1"/>
            </w:rPr>
            <w:t xml:space="preserve"> </w:t>
          </w:r>
          <w:r>
            <w:t>5.514(f)]</w:t>
          </w:r>
          <w:r>
            <w:tab/>
            <w:t>324</w:t>
          </w:r>
        </w:p>
        <w:p w:rsidR="004E13A5" w:rsidRDefault="00BA59C9">
          <w:pPr>
            <w:pStyle w:val="TOC8"/>
            <w:tabs>
              <w:tab w:val="left" w:leader="dot" w:pos="9101"/>
            </w:tabs>
          </w:pPr>
          <w:hyperlink w:anchor="_TOC_250134" w:history="1">
            <w:r w:rsidR="00681463">
              <w:t>Retention of Documents [24</w:t>
            </w:r>
            <w:r w:rsidR="00681463">
              <w:rPr>
                <w:spacing w:val="-3"/>
              </w:rPr>
              <w:t xml:space="preserve"> </w:t>
            </w:r>
            <w:r w:rsidR="00681463">
              <w:t>CFR</w:t>
            </w:r>
            <w:r w:rsidR="00681463">
              <w:rPr>
                <w:spacing w:val="-1"/>
              </w:rPr>
              <w:t xml:space="preserve"> </w:t>
            </w:r>
            <w:r w:rsidR="00681463">
              <w:t>5.514(h)]</w:t>
            </w:r>
            <w:r w:rsidR="00681463">
              <w:tab/>
              <w:t>324</w:t>
            </w:r>
          </w:hyperlink>
        </w:p>
        <w:p w:rsidR="004E13A5" w:rsidRDefault="00681463">
          <w:pPr>
            <w:pStyle w:val="TOC2"/>
            <w:tabs>
              <w:tab w:val="left" w:pos="1259"/>
              <w:tab w:val="left" w:leader="dot" w:pos="9001"/>
            </w:tabs>
            <w:spacing w:before="119"/>
          </w:pPr>
          <w:r>
            <w:t>PART IV:</w:t>
          </w:r>
          <w:r>
            <w:tab/>
            <w:t>OWNER OR FAMILY DEBTS TO</w:t>
          </w:r>
          <w:r>
            <w:rPr>
              <w:spacing w:val="-6"/>
            </w:rPr>
            <w:t xml:space="preserve"> </w:t>
          </w:r>
          <w:r>
            <w:t>THE</w:t>
          </w:r>
          <w:r>
            <w:rPr>
              <w:spacing w:val="-2"/>
            </w:rPr>
            <w:t xml:space="preserve"> </w:t>
          </w:r>
          <w:r>
            <w:t>PHA</w:t>
          </w:r>
          <w:r>
            <w:tab/>
            <w:t>325</w:t>
          </w:r>
        </w:p>
        <w:p w:rsidR="004E13A5" w:rsidRDefault="00681463">
          <w:pPr>
            <w:pStyle w:val="TOC4"/>
            <w:tabs>
              <w:tab w:val="left" w:leader="dot" w:pos="9101"/>
            </w:tabs>
          </w:pPr>
          <w:r>
            <w:t>16-IV.A.</w:t>
          </w:r>
          <w:r>
            <w:rPr>
              <w:spacing w:val="36"/>
            </w:rPr>
            <w:t xml:space="preserve"> </w:t>
          </w:r>
          <w:r>
            <w:t>Overview</w:t>
          </w:r>
          <w:r>
            <w:tab/>
            <w:t>325</w:t>
          </w:r>
        </w:p>
        <w:p w:rsidR="004E13A5" w:rsidRDefault="00BA59C9">
          <w:pPr>
            <w:pStyle w:val="TOC4"/>
            <w:tabs>
              <w:tab w:val="left" w:leader="dot" w:pos="9101"/>
            </w:tabs>
          </w:pPr>
          <w:hyperlink w:anchor="_TOC_250133" w:history="1">
            <w:r w:rsidR="00681463">
              <w:t>16-IV.B.</w:t>
            </w:r>
            <w:r w:rsidR="00681463">
              <w:rPr>
                <w:spacing w:val="50"/>
              </w:rPr>
              <w:t xml:space="preserve"> </w:t>
            </w:r>
            <w:r w:rsidR="00681463">
              <w:t>Repayment</w:t>
            </w:r>
            <w:r w:rsidR="00681463">
              <w:rPr>
                <w:spacing w:val="-2"/>
              </w:rPr>
              <w:t xml:space="preserve"> </w:t>
            </w:r>
            <w:r w:rsidR="00681463">
              <w:t>Policy</w:t>
            </w:r>
            <w:r w:rsidR="00681463">
              <w:tab/>
              <w:t>325</w:t>
            </w:r>
          </w:hyperlink>
        </w:p>
        <w:p w:rsidR="004E13A5" w:rsidRDefault="00BA59C9">
          <w:pPr>
            <w:pStyle w:val="TOC8"/>
            <w:tabs>
              <w:tab w:val="left" w:leader="dot" w:pos="9101"/>
            </w:tabs>
          </w:pPr>
          <w:hyperlink w:anchor="_TOC_250132" w:history="1">
            <w:r w:rsidR="00681463">
              <w:t>Owner Debts to</w:t>
            </w:r>
            <w:r w:rsidR="00681463">
              <w:rPr>
                <w:spacing w:val="-2"/>
              </w:rPr>
              <w:t xml:space="preserve"> </w:t>
            </w:r>
            <w:r w:rsidR="00681463">
              <w:t>the</w:t>
            </w:r>
            <w:r w:rsidR="00681463">
              <w:rPr>
                <w:spacing w:val="-1"/>
              </w:rPr>
              <w:t xml:space="preserve"> </w:t>
            </w:r>
            <w:r w:rsidR="00681463">
              <w:t>PHA</w:t>
            </w:r>
            <w:r w:rsidR="00681463">
              <w:tab/>
              <w:t>325</w:t>
            </w:r>
          </w:hyperlink>
        </w:p>
        <w:p w:rsidR="004E13A5" w:rsidRDefault="00BA59C9">
          <w:pPr>
            <w:pStyle w:val="TOC8"/>
            <w:tabs>
              <w:tab w:val="left" w:leader="dot" w:pos="9101"/>
            </w:tabs>
          </w:pPr>
          <w:hyperlink w:anchor="_TOC_250131" w:history="1">
            <w:r w:rsidR="00681463">
              <w:t>Family Debts to</w:t>
            </w:r>
            <w:r w:rsidR="00681463">
              <w:rPr>
                <w:spacing w:val="-5"/>
              </w:rPr>
              <w:t xml:space="preserve"> </w:t>
            </w:r>
            <w:r w:rsidR="00681463">
              <w:t>the</w:t>
            </w:r>
            <w:r w:rsidR="00681463">
              <w:rPr>
                <w:spacing w:val="-1"/>
              </w:rPr>
              <w:t xml:space="preserve"> </w:t>
            </w:r>
            <w:r w:rsidR="00681463">
              <w:t>PHA</w:t>
            </w:r>
            <w:r w:rsidR="00681463">
              <w:tab/>
              <w:t>326</w:t>
            </w:r>
          </w:hyperlink>
        </w:p>
        <w:p w:rsidR="004E13A5" w:rsidRDefault="00BA59C9">
          <w:pPr>
            <w:pStyle w:val="TOC8"/>
            <w:tabs>
              <w:tab w:val="left" w:leader="dot" w:pos="9101"/>
            </w:tabs>
          </w:pPr>
          <w:hyperlink w:anchor="_TOC_250130" w:history="1">
            <w:r w:rsidR="00681463">
              <w:t>Repayment Agreement [24</w:t>
            </w:r>
            <w:r w:rsidR="00681463">
              <w:rPr>
                <w:spacing w:val="-4"/>
              </w:rPr>
              <w:t xml:space="preserve"> </w:t>
            </w:r>
            <w:r w:rsidR="00681463">
              <w:t>CFR</w:t>
            </w:r>
            <w:r w:rsidR="00681463">
              <w:rPr>
                <w:spacing w:val="-2"/>
              </w:rPr>
              <w:t xml:space="preserve"> </w:t>
            </w:r>
            <w:r w:rsidR="00681463">
              <w:t>792.103]</w:t>
            </w:r>
            <w:r w:rsidR="00681463">
              <w:tab/>
              <w:t>326</w:t>
            </w:r>
          </w:hyperlink>
        </w:p>
        <w:p w:rsidR="004E13A5" w:rsidRDefault="00BA59C9">
          <w:pPr>
            <w:pStyle w:val="TOC8"/>
            <w:tabs>
              <w:tab w:val="right" w:leader="dot" w:pos="9461"/>
            </w:tabs>
            <w:spacing w:before="79"/>
          </w:pPr>
          <w:hyperlink w:anchor="_TOC_250129" w:history="1">
            <w:r w:rsidR="00681463">
              <w:t>General Repayment Agreement Guidelines for</w:t>
            </w:r>
            <w:r w:rsidR="00681463">
              <w:rPr>
                <w:spacing w:val="-1"/>
              </w:rPr>
              <w:t xml:space="preserve"> </w:t>
            </w:r>
            <w:r w:rsidR="00681463">
              <w:t>Families</w:t>
            </w:r>
            <w:r w:rsidR="00681463">
              <w:tab/>
              <w:t>326</w:t>
            </w:r>
          </w:hyperlink>
        </w:p>
        <w:p w:rsidR="004E13A5" w:rsidRDefault="00681463">
          <w:pPr>
            <w:pStyle w:val="TOC8"/>
            <w:tabs>
              <w:tab w:val="right" w:leader="dot" w:pos="9461"/>
            </w:tabs>
          </w:pPr>
          <w:r>
            <w:t>Repayment Agreements Involving</w:t>
          </w:r>
          <w:r>
            <w:rPr>
              <w:spacing w:val="1"/>
            </w:rPr>
            <w:t xml:space="preserve"> </w:t>
          </w:r>
          <w:r>
            <w:t>Improper</w:t>
          </w:r>
          <w:r>
            <w:rPr>
              <w:spacing w:val="-1"/>
            </w:rPr>
            <w:t xml:space="preserve"> </w:t>
          </w:r>
          <w:r>
            <w:t>Payments</w:t>
          </w:r>
          <w:r>
            <w:tab/>
            <w:t>328</w:t>
          </w:r>
        </w:p>
        <w:p w:rsidR="004E13A5" w:rsidRDefault="00681463">
          <w:pPr>
            <w:pStyle w:val="TOC3"/>
            <w:tabs>
              <w:tab w:val="left" w:pos="1360"/>
              <w:tab w:val="right" w:leader="dot" w:pos="9461"/>
            </w:tabs>
          </w:pPr>
          <w:r>
            <w:t>PART</w:t>
          </w:r>
          <w:r>
            <w:rPr>
              <w:spacing w:val="-1"/>
            </w:rPr>
            <w:t xml:space="preserve"> </w:t>
          </w:r>
          <w:r>
            <w:t>V:</w:t>
          </w:r>
          <w:r>
            <w:tab/>
            <w:t>SECTION 8 MANAGEMENT ASSESSMENT</w:t>
          </w:r>
          <w:r>
            <w:rPr>
              <w:spacing w:val="-7"/>
            </w:rPr>
            <w:t xml:space="preserve"> </w:t>
          </w:r>
          <w:r>
            <w:t>PROGRAM</w:t>
          </w:r>
          <w:r>
            <w:rPr>
              <w:spacing w:val="-1"/>
            </w:rPr>
            <w:t xml:space="preserve"> </w:t>
          </w:r>
          <w:r>
            <w:t>(SEMAP)</w:t>
          </w:r>
          <w:r>
            <w:tab/>
            <w:t>328</w:t>
          </w:r>
        </w:p>
        <w:p w:rsidR="004E13A5" w:rsidRDefault="00681463">
          <w:pPr>
            <w:pStyle w:val="TOC4"/>
            <w:tabs>
              <w:tab w:val="right" w:leader="dot" w:pos="9461"/>
            </w:tabs>
          </w:pPr>
          <w:r>
            <w:t xml:space="preserve">16-V.A. </w:t>
          </w:r>
          <w:r>
            <w:rPr>
              <w:spacing w:val="59"/>
            </w:rPr>
            <w:t xml:space="preserve"> </w:t>
          </w:r>
          <w:r>
            <w:t>Overview</w:t>
          </w:r>
          <w:r>
            <w:tab/>
            <w:t>328</w:t>
          </w:r>
        </w:p>
        <w:p w:rsidR="004E13A5" w:rsidRDefault="00BA59C9">
          <w:pPr>
            <w:pStyle w:val="TOC4"/>
            <w:tabs>
              <w:tab w:val="right" w:leader="dot" w:pos="9461"/>
            </w:tabs>
          </w:pPr>
          <w:hyperlink w:anchor="_TOC_250128" w:history="1">
            <w:r w:rsidR="00681463">
              <w:t>16-V.B.   SEMAP Certification [24</w:t>
            </w:r>
            <w:r w:rsidR="00681463">
              <w:rPr>
                <w:spacing w:val="9"/>
              </w:rPr>
              <w:t xml:space="preserve"> </w:t>
            </w:r>
            <w:r w:rsidR="00681463">
              <w:t>CFR</w:t>
            </w:r>
            <w:r w:rsidR="00681463">
              <w:rPr>
                <w:spacing w:val="-1"/>
              </w:rPr>
              <w:t xml:space="preserve"> </w:t>
            </w:r>
            <w:r w:rsidR="00681463">
              <w:t>985.101]</w:t>
            </w:r>
            <w:r w:rsidR="00681463">
              <w:tab/>
              <w:t>329</w:t>
            </w:r>
          </w:hyperlink>
        </w:p>
        <w:p w:rsidR="004E13A5" w:rsidRDefault="00BA59C9">
          <w:pPr>
            <w:pStyle w:val="TOC8"/>
            <w:tabs>
              <w:tab w:val="right" w:leader="dot" w:pos="9461"/>
            </w:tabs>
          </w:pPr>
          <w:hyperlink w:anchor="_TOC_250127" w:history="1">
            <w:r w:rsidR="00681463">
              <w:t>HUD</w:t>
            </w:r>
            <w:r w:rsidR="00681463">
              <w:rPr>
                <w:spacing w:val="-1"/>
              </w:rPr>
              <w:t xml:space="preserve"> </w:t>
            </w:r>
            <w:r w:rsidR="00681463">
              <w:t>Verification</w:t>
            </w:r>
            <w:r w:rsidR="00681463">
              <w:rPr>
                <w:spacing w:val="-1"/>
              </w:rPr>
              <w:t xml:space="preserve"> </w:t>
            </w:r>
            <w:r w:rsidR="00681463">
              <w:t>Method</w:t>
            </w:r>
            <w:r w:rsidR="00681463">
              <w:tab/>
              <w:t>329</w:t>
            </w:r>
          </w:hyperlink>
        </w:p>
        <w:p w:rsidR="004E13A5" w:rsidRDefault="00BA59C9">
          <w:pPr>
            <w:pStyle w:val="TOC4"/>
            <w:tabs>
              <w:tab w:val="right" w:leader="dot" w:pos="9461"/>
            </w:tabs>
          </w:pPr>
          <w:hyperlink w:anchor="_TOC_250126" w:history="1">
            <w:r w:rsidR="00681463">
              <w:t>16-V.C.   SEMAP Indicators [24 CFR 985.3 and</w:t>
            </w:r>
            <w:r w:rsidR="00681463">
              <w:rPr>
                <w:spacing w:val="10"/>
              </w:rPr>
              <w:t xml:space="preserve"> </w:t>
            </w:r>
            <w:r w:rsidR="00681463">
              <w:t>form</w:t>
            </w:r>
            <w:r w:rsidR="00681463">
              <w:rPr>
                <w:spacing w:val="-1"/>
              </w:rPr>
              <w:t xml:space="preserve"> </w:t>
            </w:r>
            <w:r w:rsidR="00681463">
              <w:t>HUD-52648]</w:t>
            </w:r>
            <w:r w:rsidR="00681463">
              <w:tab/>
              <w:t>329</w:t>
            </w:r>
          </w:hyperlink>
        </w:p>
        <w:p w:rsidR="004E13A5" w:rsidRDefault="00681463">
          <w:pPr>
            <w:pStyle w:val="TOC8"/>
            <w:tabs>
              <w:tab w:val="right" w:leader="dot" w:pos="9461"/>
            </w:tabs>
          </w:pPr>
          <w:r>
            <w:lastRenderedPageBreak/>
            <w:t>SEMAP</w:t>
          </w:r>
          <w:r>
            <w:rPr>
              <w:spacing w:val="1"/>
            </w:rPr>
            <w:t xml:space="preserve"> </w:t>
          </w:r>
          <w:r>
            <w:t>Indicators</w:t>
          </w:r>
          <w:r>
            <w:rPr>
              <w:spacing w:val="-2"/>
            </w:rPr>
            <w:t xml:space="preserve"> </w:t>
          </w:r>
          <w:r>
            <w:t>Chart</w:t>
          </w:r>
          <w:r>
            <w:tab/>
            <w:t>330</w:t>
          </w:r>
        </w:p>
        <w:p w:rsidR="004E13A5" w:rsidRDefault="00BA59C9">
          <w:pPr>
            <w:pStyle w:val="TOC3"/>
            <w:tabs>
              <w:tab w:val="left" w:pos="1360"/>
              <w:tab w:val="right" w:leader="dot" w:pos="9461"/>
            </w:tabs>
          </w:pPr>
          <w:hyperlink w:anchor="_TOC_250125" w:history="1">
            <w:r w:rsidR="00681463">
              <w:t>PART</w:t>
            </w:r>
            <w:r w:rsidR="00681463">
              <w:rPr>
                <w:spacing w:val="-2"/>
              </w:rPr>
              <w:t xml:space="preserve"> </w:t>
            </w:r>
            <w:r w:rsidR="00681463">
              <w:t>VI:</w:t>
            </w:r>
            <w:r w:rsidR="00681463">
              <w:tab/>
              <w:t>RECORD</w:t>
            </w:r>
            <w:r w:rsidR="00681463">
              <w:rPr>
                <w:spacing w:val="-1"/>
              </w:rPr>
              <w:t xml:space="preserve"> </w:t>
            </w:r>
            <w:r w:rsidR="00681463">
              <w:t>KEEPING</w:t>
            </w:r>
            <w:r w:rsidR="00681463">
              <w:tab/>
              <w:t>333</w:t>
            </w:r>
          </w:hyperlink>
        </w:p>
        <w:p w:rsidR="004E13A5" w:rsidRDefault="00BA59C9">
          <w:pPr>
            <w:pStyle w:val="TOC4"/>
            <w:tabs>
              <w:tab w:val="right" w:leader="dot" w:pos="9461"/>
            </w:tabs>
          </w:pPr>
          <w:hyperlink w:anchor="_TOC_250124" w:history="1">
            <w:r w:rsidR="00681463">
              <w:t>16-VI.A.</w:t>
            </w:r>
            <w:r w:rsidR="00681463">
              <w:rPr>
                <w:spacing w:val="39"/>
              </w:rPr>
              <w:t xml:space="preserve"> </w:t>
            </w:r>
            <w:r w:rsidR="00681463">
              <w:t>Overview</w:t>
            </w:r>
            <w:r w:rsidR="00681463">
              <w:tab/>
              <w:t>333</w:t>
            </w:r>
          </w:hyperlink>
        </w:p>
        <w:p w:rsidR="004E13A5" w:rsidRDefault="00681463">
          <w:pPr>
            <w:pStyle w:val="TOC4"/>
            <w:tabs>
              <w:tab w:val="right" w:leader="dot" w:pos="9461"/>
            </w:tabs>
          </w:pPr>
          <w:r>
            <w:t>16-VI.B.  Record Retention [24</w:t>
          </w:r>
          <w:r>
            <w:rPr>
              <w:spacing w:val="-9"/>
            </w:rPr>
            <w:t xml:space="preserve"> </w:t>
          </w:r>
          <w:r>
            <w:t>CFR</w:t>
          </w:r>
          <w:r>
            <w:rPr>
              <w:spacing w:val="-1"/>
            </w:rPr>
            <w:t xml:space="preserve"> </w:t>
          </w:r>
          <w:r>
            <w:t>982.158]</w:t>
          </w:r>
          <w:r>
            <w:tab/>
            <w:t>333</w:t>
          </w:r>
        </w:p>
        <w:p w:rsidR="004E13A5" w:rsidRDefault="00BA59C9">
          <w:pPr>
            <w:pStyle w:val="TOC4"/>
            <w:tabs>
              <w:tab w:val="right" w:leader="dot" w:pos="9461"/>
            </w:tabs>
          </w:pPr>
          <w:hyperlink w:anchor="_TOC_250123" w:history="1">
            <w:r w:rsidR="00681463">
              <w:t>16-VI.C.</w:t>
            </w:r>
            <w:r w:rsidR="00681463">
              <w:rPr>
                <w:spacing w:val="52"/>
              </w:rPr>
              <w:t xml:space="preserve"> </w:t>
            </w:r>
            <w:r w:rsidR="00681463">
              <w:t>Records</w:t>
            </w:r>
            <w:r w:rsidR="00681463">
              <w:rPr>
                <w:spacing w:val="-1"/>
              </w:rPr>
              <w:t xml:space="preserve"> </w:t>
            </w:r>
            <w:r w:rsidR="00681463">
              <w:t>Management</w:t>
            </w:r>
            <w:r w:rsidR="00681463">
              <w:tab/>
              <w:t>334</w:t>
            </w:r>
          </w:hyperlink>
        </w:p>
        <w:p w:rsidR="004E13A5" w:rsidRDefault="00BA59C9">
          <w:pPr>
            <w:pStyle w:val="TOC8"/>
            <w:tabs>
              <w:tab w:val="right" w:leader="dot" w:pos="9461"/>
            </w:tabs>
            <w:spacing w:before="1"/>
          </w:pPr>
          <w:hyperlink w:anchor="_TOC_250122" w:history="1">
            <w:r w:rsidR="00681463">
              <w:t>Privacy Act Requirements [24 CFR 5.212</w:t>
            </w:r>
            <w:r w:rsidR="00681463">
              <w:rPr>
                <w:spacing w:val="-5"/>
              </w:rPr>
              <w:t xml:space="preserve"> </w:t>
            </w:r>
            <w:r w:rsidR="00681463">
              <w:t>and</w:t>
            </w:r>
            <w:r w:rsidR="00681463">
              <w:rPr>
                <w:spacing w:val="-1"/>
              </w:rPr>
              <w:t xml:space="preserve"> </w:t>
            </w:r>
            <w:r w:rsidR="00681463">
              <w:t>Form-9886]</w:t>
            </w:r>
            <w:r w:rsidR="00681463">
              <w:tab/>
              <w:t>334</w:t>
            </w:r>
          </w:hyperlink>
        </w:p>
        <w:p w:rsidR="004E13A5" w:rsidRDefault="00BA59C9">
          <w:pPr>
            <w:pStyle w:val="TOC8"/>
            <w:tabs>
              <w:tab w:val="right" w:leader="dot" w:pos="9461"/>
            </w:tabs>
          </w:pPr>
          <w:hyperlink w:anchor="_TOC_250121" w:history="1">
            <w:r w:rsidR="00681463">
              <w:t>Upfront Income Verification (UIV)</w:t>
            </w:r>
            <w:r w:rsidR="00681463">
              <w:rPr>
                <w:spacing w:val="-2"/>
              </w:rPr>
              <w:t xml:space="preserve"> </w:t>
            </w:r>
            <w:r w:rsidR="00681463">
              <w:t>Records</w:t>
            </w:r>
            <w:r w:rsidR="00681463">
              <w:tab/>
              <w:t>334</w:t>
            </w:r>
          </w:hyperlink>
        </w:p>
        <w:p w:rsidR="004E13A5" w:rsidRDefault="00BA59C9">
          <w:pPr>
            <w:pStyle w:val="TOC8"/>
            <w:tabs>
              <w:tab w:val="right" w:leader="dot" w:pos="9461"/>
            </w:tabs>
          </w:pPr>
          <w:hyperlink w:anchor="_TOC_250120" w:history="1">
            <w:r w:rsidR="00681463">
              <w:t>Criminal</w:t>
            </w:r>
            <w:r w:rsidR="00681463">
              <w:rPr>
                <w:spacing w:val="-1"/>
              </w:rPr>
              <w:t xml:space="preserve"> </w:t>
            </w:r>
            <w:r w:rsidR="00681463">
              <w:t>Records</w:t>
            </w:r>
            <w:r w:rsidR="00681463">
              <w:tab/>
              <w:t>335</w:t>
            </w:r>
          </w:hyperlink>
        </w:p>
        <w:p w:rsidR="004E13A5" w:rsidRDefault="00BA59C9">
          <w:pPr>
            <w:pStyle w:val="TOC8"/>
            <w:tabs>
              <w:tab w:val="right" w:leader="dot" w:pos="9461"/>
            </w:tabs>
          </w:pPr>
          <w:hyperlink w:anchor="_TOC_250119" w:history="1">
            <w:r w:rsidR="00681463">
              <w:t>Medical/Disability</w:t>
            </w:r>
            <w:r w:rsidR="00681463">
              <w:rPr>
                <w:spacing w:val="-5"/>
              </w:rPr>
              <w:t xml:space="preserve"> </w:t>
            </w:r>
            <w:r w:rsidR="00681463">
              <w:t>Records</w:t>
            </w:r>
            <w:r w:rsidR="00681463">
              <w:tab/>
              <w:t>335</w:t>
            </w:r>
          </w:hyperlink>
        </w:p>
        <w:p w:rsidR="004E13A5" w:rsidRDefault="00681463">
          <w:pPr>
            <w:pStyle w:val="TOC8"/>
          </w:pPr>
          <w:r>
            <w:t>Documentation of Domestic Violence,</w:t>
          </w:r>
        </w:p>
        <w:p w:rsidR="004E13A5" w:rsidRDefault="00681463">
          <w:pPr>
            <w:pStyle w:val="TOC8"/>
            <w:tabs>
              <w:tab w:val="right" w:leader="dot" w:pos="9461"/>
            </w:tabs>
          </w:pPr>
          <w:r>
            <w:t>Dating Violence, Sexual Assault,</w:t>
          </w:r>
          <w:r>
            <w:rPr>
              <w:spacing w:val="-3"/>
            </w:rPr>
            <w:t xml:space="preserve"> </w:t>
          </w:r>
          <w:r>
            <w:t>or</w:t>
          </w:r>
          <w:r>
            <w:rPr>
              <w:spacing w:val="-1"/>
            </w:rPr>
            <w:t xml:space="preserve"> </w:t>
          </w:r>
          <w:r>
            <w:t>Stalking</w:t>
          </w:r>
          <w:r>
            <w:tab/>
            <w:t>335</w:t>
          </w:r>
        </w:p>
        <w:p w:rsidR="004E13A5" w:rsidRDefault="00681463">
          <w:pPr>
            <w:pStyle w:val="TOC3"/>
            <w:tabs>
              <w:tab w:val="right" w:leader="dot" w:pos="9461"/>
            </w:tabs>
            <w:ind w:left="1396" w:right="117" w:hanging="1296"/>
          </w:pPr>
          <w:r>
            <w:t>PART VII: REPORTING AND RECORD KEEPING FOR CHILDREN WITH ENVIRONMENTAL INTERVENTION BLOOD</w:t>
          </w:r>
          <w:r>
            <w:rPr>
              <w:spacing w:val="1"/>
            </w:rPr>
            <w:t xml:space="preserve"> </w:t>
          </w:r>
          <w:r>
            <w:t>LEAD LEVEL</w:t>
          </w:r>
          <w:r>
            <w:tab/>
            <w:t>335</w:t>
          </w:r>
        </w:p>
        <w:p w:rsidR="004E13A5" w:rsidRDefault="00BA59C9">
          <w:pPr>
            <w:pStyle w:val="TOC4"/>
            <w:tabs>
              <w:tab w:val="right" w:leader="dot" w:pos="9461"/>
            </w:tabs>
          </w:pPr>
          <w:hyperlink w:anchor="_TOC_250118" w:history="1">
            <w:r w:rsidR="00681463">
              <w:t>16-VII.A.</w:t>
            </w:r>
            <w:r w:rsidR="00681463">
              <w:rPr>
                <w:spacing w:val="-39"/>
              </w:rPr>
              <w:t xml:space="preserve"> </w:t>
            </w:r>
            <w:r w:rsidR="00681463">
              <w:t>Overview</w:t>
            </w:r>
            <w:r w:rsidR="00681463">
              <w:tab/>
              <w:t>335</w:t>
            </w:r>
          </w:hyperlink>
        </w:p>
        <w:p w:rsidR="004E13A5" w:rsidRDefault="00681463">
          <w:pPr>
            <w:pStyle w:val="TOC4"/>
            <w:tabs>
              <w:tab w:val="right" w:leader="dot" w:pos="9461"/>
            </w:tabs>
          </w:pPr>
          <w:r>
            <w:t>16-VII.B. Reporting Requirement [24</w:t>
          </w:r>
          <w:r>
            <w:rPr>
              <w:spacing w:val="-31"/>
            </w:rPr>
            <w:t xml:space="preserve"> </w:t>
          </w:r>
          <w:r>
            <w:t>CFR</w:t>
          </w:r>
          <w:r>
            <w:rPr>
              <w:spacing w:val="-1"/>
            </w:rPr>
            <w:t xml:space="preserve"> </w:t>
          </w:r>
          <w:r>
            <w:t>35.1225(e)]</w:t>
          </w:r>
          <w:r>
            <w:tab/>
            <w:t>335</w:t>
          </w:r>
        </w:p>
        <w:p w:rsidR="004E13A5" w:rsidRDefault="00BA59C9">
          <w:pPr>
            <w:pStyle w:val="TOC4"/>
            <w:tabs>
              <w:tab w:val="right" w:leader="dot" w:pos="9461"/>
            </w:tabs>
          </w:pPr>
          <w:hyperlink w:anchor="_TOC_250117" w:history="1">
            <w:r w:rsidR="00681463">
              <w:t>16-VII.C. Data Collection and Record Keeping [24</w:t>
            </w:r>
            <w:r w:rsidR="00681463">
              <w:rPr>
                <w:spacing w:val="-32"/>
              </w:rPr>
              <w:t xml:space="preserve"> </w:t>
            </w:r>
            <w:r w:rsidR="00681463">
              <w:t>CFR</w:t>
            </w:r>
            <w:r w:rsidR="00681463">
              <w:rPr>
                <w:spacing w:val="-1"/>
              </w:rPr>
              <w:t xml:space="preserve"> </w:t>
            </w:r>
            <w:r w:rsidR="00681463">
              <w:t>35.1225(f)]</w:t>
            </w:r>
            <w:r w:rsidR="00681463">
              <w:tab/>
              <w:t>336</w:t>
            </w:r>
          </w:hyperlink>
        </w:p>
        <w:p w:rsidR="004E13A5" w:rsidRDefault="00681463">
          <w:pPr>
            <w:pStyle w:val="TOC3"/>
            <w:tabs>
              <w:tab w:val="right" w:leader="dot" w:pos="9461"/>
            </w:tabs>
          </w:pPr>
          <w:r>
            <w:t>PART VIII:  DETERMINATION OF</w:t>
          </w:r>
          <w:r>
            <w:rPr>
              <w:spacing w:val="-12"/>
            </w:rPr>
            <w:t xml:space="preserve"> </w:t>
          </w:r>
          <w:r>
            <w:t>INSUFFICIENT FUNDING</w:t>
          </w:r>
          <w:r>
            <w:tab/>
            <w:t>336</w:t>
          </w:r>
        </w:p>
        <w:p w:rsidR="004E13A5" w:rsidRDefault="00681463">
          <w:pPr>
            <w:pStyle w:val="TOC4"/>
            <w:tabs>
              <w:tab w:val="right" w:leader="dot" w:pos="9461"/>
            </w:tabs>
          </w:pPr>
          <w:r>
            <w:t>16-VIII.A.</w:t>
          </w:r>
          <w:r>
            <w:rPr>
              <w:spacing w:val="-13"/>
            </w:rPr>
            <w:t xml:space="preserve"> </w:t>
          </w:r>
          <w:r>
            <w:t>Overview</w:t>
          </w:r>
          <w:r>
            <w:tab/>
            <w:t>336</w:t>
          </w:r>
        </w:p>
        <w:p w:rsidR="004E13A5" w:rsidRDefault="00BA59C9">
          <w:pPr>
            <w:pStyle w:val="TOC4"/>
            <w:tabs>
              <w:tab w:val="right" w:leader="dot" w:pos="9461"/>
            </w:tabs>
          </w:pPr>
          <w:hyperlink w:anchor="_TOC_250116" w:history="1">
            <w:r w:rsidR="00681463">
              <w:t>16-VIII.B.</w:t>
            </w:r>
            <w:r w:rsidR="00681463">
              <w:rPr>
                <w:spacing w:val="1"/>
              </w:rPr>
              <w:t xml:space="preserve"> </w:t>
            </w:r>
            <w:r w:rsidR="00681463">
              <w:t>Methodology</w:t>
            </w:r>
            <w:r w:rsidR="00681463">
              <w:tab/>
              <w:t>336</w:t>
            </w:r>
          </w:hyperlink>
        </w:p>
        <w:p w:rsidR="004E13A5" w:rsidRDefault="00BA59C9">
          <w:pPr>
            <w:pStyle w:val="TOC3"/>
            <w:tabs>
              <w:tab w:val="left" w:pos="1360"/>
              <w:tab w:val="right" w:leader="dot" w:pos="9461"/>
            </w:tabs>
            <w:ind w:left="1396" w:right="117" w:hanging="1296"/>
          </w:pPr>
          <w:hyperlink w:anchor="_TOC_250115" w:history="1">
            <w:r w:rsidR="00681463">
              <w:t>PART IX:</w:t>
            </w:r>
            <w:r w:rsidR="00681463">
              <w:tab/>
              <w:t>VIOLENCE AGAINST WOMEN ACT</w:t>
            </w:r>
            <w:r w:rsidR="00681463">
              <w:rPr>
                <w:spacing w:val="-13"/>
              </w:rPr>
              <w:t xml:space="preserve"> </w:t>
            </w:r>
            <w:r w:rsidR="00681463">
              <w:t>(VAWA):</w:t>
            </w:r>
            <w:r w:rsidR="00681463">
              <w:rPr>
                <w:spacing w:val="-4"/>
              </w:rPr>
              <w:t xml:space="preserve"> </w:t>
            </w:r>
            <w:r w:rsidR="00681463">
              <w:t>NOTIFICATION, DOCUMENTATION,</w:t>
            </w:r>
            <w:r w:rsidR="00681463">
              <w:rPr>
                <w:spacing w:val="-1"/>
              </w:rPr>
              <w:t xml:space="preserve"> </w:t>
            </w:r>
            <w:r w:rsidR="00681463">
              <w:t>CONFIDENTIALITY</w:t>
            </w:r>
            <w:r w:rsidR="00681463">
              <w:tab/>
              <w:t>337</w:t>
            </w:r>
          </w:hyperlink>
        </w:p>
        <w:p w:rsidR="004E13A5" w:rsidRDefault="00BA59C9">
          <w:pPr>
            <w:pStyle w:val="TOC4"/>
            <w:tabs>
              <w:tab w:val="right" w:leader="dot" w:pos="9461"/>
            </w:tabs>
          </w:pPr>
          <w:hyperlink w:anchor="_TOC_250114" w:history="1">
            <w:r w:rsidR="00681463">
              <w:t>16-IX.A.</w:t>
            </w:r>
            <w:r w:rsidR="00681463">
              <w:rPr>
                <w:spacing w:val="-1"/>
              </w:rPr>
              <w:t xml:space="preserve"> </w:t>
            </w:r>
            <w:r w:rsidR="00681463">
              <w:t>Overview</w:t>
            </w:r>
            <w:r w:rsidR="00681463">
              <w:tab/>
              <w:t>337</w:t>
            </w:r>
          </w:hyperlink>
        </w:p>
        <w:p w:rsidR="004E13A5" w:rsidRDefault="00681463">
          <w:pPr>
            <w:pStyle w:val="TOC4"/>
            <w:tabs>
              <w:tab w:val="right" w:leader="dot" w:pos="9461"/>
            </w:tabs>
          </w:pPr>
          <w:r>
            <w:t>16-IX.B. Definitions [24</w:t>
          </w:r>
          <w:r>
            <w:rPr>
              <w:spacing w:val="-1"/>
            </w:rPr>
            <w:t xml:space="preserve"> </w:t>
          </w:r>
          <w:r>
            <w:t>CFR</w:t>
          </w:r>
          <w:r>
            <w:rPr>
              <w:spacing w:val="-1"/>
            </w:rPr>
            <w:t xml:space="preserve"> </w:t>
          </w:r>
          <w:r>
            <w:t>5.2003]</w:t>
          </w:r>
          <w:r>
            <w:tab/>
            <w:t>337</w:t>
          </w:r>
        </w:p>
        <w:p w:rsidR="004E13A5" w:rsidRDefault="00681463">
          <w:pPr>
            <w:pStyle w:val="TOC4"/>
            <w:tabs>
              <w:tab w:val="right" w:leader="dot" w:pos="9461"/>
            </w:tabs>
          </w:pPr>
          <w:r>
            <w:t>16-IX.C. Notification [24</w:t>
          </w:r>
          <w:r>
            <w:rPr>
              <w:spacing w:val="-1"/>
            </w:rPr>
            <w:t xml:space="preserve"> </w:t>
          </w:r>
          <w:r>
            <w:t>CFR</w:t>
          </w:r>
          <w:r>
            <w:rPr>
              <w:spacing w:val="-1"/>
            </w:rPr>
            <w:t xml:space="preserve"> </w:t>
          </w:r>
          <w:r>
            <w:t>5.2005(a)]</w:t>
          </w:r>
          <w:r>
            <w:tab/>
            <w:t>338</w:t>
          </w:r>
        </w:p>
        <w:p w:rsidR="004E13A5" w:rsidRDefault="00BA59C9">
          <w:pPr>
            <w:pStyle w:val="TOC8"/>
            <w:tabs>
              <w:tab w:val="right" w:leader="dot" w:pos="9461"/>
            </w:tabs>
          </w:pPr>
          <w:hyperlink w:anchor="_TOC_250113" w:history="1">
            <w:r w:rsidR="00681463">
              <w:t>Notification to Public</w:t>
            </w:r>
            <w:r w:rsidR="00681463">
              <w:tab/>
              <w:t>338</w:t>
            </w:r>
          </w:hyperlink>
        </w:p>
        <w:p w:rsidR="004E13A5" w:rsidRDefault="00681463">
          <w:pPr>
            <w:pStyle w:val="TOC8"/>
          </w:pPr>
          <w:r>
            <w:t>Notification to Program Applicants and Participants</w:t>
          </w:r>
        </w:p>
        <w:p w:rsidR="004E13A5" w:rsidRDefault="00681463">
          <w:pPr>
            <w:pStyle w:val="TOC8"/>
            <w:tabs>
              <w:tab w:val="right" w:leader="dot" w:pos="9461"/>
            </w:tabs>
          </w:pPr>
          <w:r>
            <w:t>[24</w:t>
          </w:r>
          <w:r>
            <w:rPr>
              <w:spacing w:val="-1"/>
            </w:rPr>
            <w:t xml:space="preserve"> </w:t>
          </w:r>
          <w:r>
            <w:t>CFR</w:t>
          </w:r>
          <w:r>
            <w:rPr>
              <w:spacing w:val="-1"/>
            </w:rPr>
            <w:t xml:space="preserve"> </w:t>
          </w:r>
          <w:r>
            <w:t>5.2005(a)(1)]</w:t>
          </w:r>
          <w:r>
            <w:tab/>
            <w:t>338</w:t>
          </w:r>
        </w:p>
        <w:p w:rsidR="004E13A5" w:rsidRDefault="00681463">
          <w:pPr>
            <w:pStyle w:val="TOC8"/>
          </w:pPr>
          <w:r>
            <w:t>Notification to Owners and Managers</w:t>
          </w:r>
        </w:p>
        <w:p w:rsidR="004E13A5" w:rsidRDefault="00681463">
          <w:pPr>
            <w:pStyle w:val="TOC8"/>
            <w:tabs>
              <w:tab w:val="right" w:leader="dot" w:pos="9461"/>
            </w:tabs>
          </w:pPr>
          <w:r>
            <w:t>[24</w:t>
          </w:r>
          <w:r>
            <w:rPr>
              <w:spacing w:val="-1"/>
            </w:rPr>
            <w:t xml:space="preserve"> </w:t>
          </w:r>
          <w:r>
            <w:t>CFR</w:t>
          </w:r>
          <w:r>
            <w:rPr>
              <w:spacing w:val="-1"/>
            </w:rPr>
            <w:t xml:space="preserve"> </w:t>
          </w:r>
          <w:r>
            <w:t>5.2005(a)(2)]</w:t>
          </w:r>
          <w:r>
            <w:tab/>
            <w:t>339</w:t>
          </w:r>
        </w:p>
        <w:p w:rsidR="004E13A5" w:rsidRDefault="00BA59C9">
          <w:pPr>
            <w:pStyle w:val="TOC4"/>
            <w:tabs>
              <w:tab w:val="right" w:leader="dot" w:pos="9461"/>
            </w:tabs>
          </w:pPr>
          <w:hyperlink w:anchor="_TOC_250112" w:history="1">
            <w:r w:rsidR="00681463">
              <w:t>16-IX.D. Documentation [24</w:t>
            </w:r>
            <w:r w:rsidR="00681463">
              <w:rPr>
                <w:spacing w:val="1"/>
              </w:rPr>
              <w:t xml:space="preserve"> </w:t>
            </w:r>
            <w:r w:rsidR="00681463">
              <w:t>CFR</w:t>
            </w:r>
            <w:r w:rsidR="00681463">
              <w:rPr>
                <w:spacing w:val="-1"/>
              </w:rPr>
              <w:t xml:space="preserve"> </w:t>
            </w:r>
            <w:r w:rsidR="00681463">
              <w:t>5.2007]</w:t>
            </w:r>
            <w:r w:rsidR="00681463">
              <w:tab/>
              <w:t>339</w:t>
            </w:r>
          </w:hyperlink>
        </w:p>
        <w:p w:rsidR="004E13A5" w:rsidRDefault="00BA59C9">
          <w:pPr>
            <w:pStyle w:val="TOC8"/>
            <w:tabs>
              <w:tab w:val="right" w:leader="dot" w:pos="9461"/>
            </w:tabs>
          </w:pPr>
          <w:hyperlink w:anchor="_TOC_250111" w:history="1">
            <w:r w:rsidR="00681463">
              <w:t>Conflicting Documentation [24</w:t>
            </w:r>
            <w:r w:rsidR="00681463">
              <w:rPr>
                <w:spacing w:val="-4"/>
              </w:rPr>
              <w:t xml:space="preserve"> </w:t>
            </w:r>
            <w:r w:rsidR="00681463">
              <w:t>CFR</w:t>
            </w:r>
            <w:r w:rsidR="00681463">
              <w:rPr>
                <w:spacing w:val="-1"/>
              </w:rPr>
              <w:t xml:space="preserve"> </w:t>
            </w:r>
            <w:r w:rsidR="00681463">
              <w:t>5.2007(e)]</w:t>
            </w:r>
            <w:r w:rsidR="00681463">
              <w:tab/>
              <w:t>341</w:t>
            </w:r>
          </w:hyperlink>
        </w:p>
        <w:p w:rsidR="004E13A5" w:rsidRDefault="00681463">
          <w:pPr>
            <w:pStyle w:val="TOC8"/>
          </w:pPr>
          <w:r>
            <w:t>Discretion to Require No Formal Documentation</w:t>
          </w:r>
        </w:p>
        <w:p w:rsidR="004E13A5" w:rsidRDefault="00681463">
          <w:pPr>
            <w:pStyle w:val="TOC8"/>
            <w:tabs>
              <w:tab w:val="right" w:leader="dot" w:pos="9461"/>
            </w:tabs>
          </w:pPr>
          <w:r>
            <w:t>[24</w:t>
          </w:r>
          <w:r>
            <w:rPr>
              <w:spacing w:val="-1"/>
            </w:rPr>
            <w:t xml:space="preserve"> </w:t>
          </w:r>
          <w:r>
            <w:t>CFR</w:t>
          </w:r>
          <w:r>
            <w:rPr>
              <w:spacing w:val="-1"/>
            </w:rPr>
            <w:t xml:space="preserve"> </w:t>
          </w:r>
          <w:r>
            <w:t>5.2007(d)]</w:t>
          </w:r>
          <w:r>
            <w:tab/>
            <w:t>341</w:t>
          </w:r>
        </w:p>
        <w:p w:rsidR="004E13A5" w:rsidRDefault="00BA59C9">
          <w:pPr>
            <w:pStyle w:val="TOC8"/>
            <w:tabs>
              <w:tab w:val="right" w:leader="dot" w:pos="9461"/>
            </w:tabs>
          </w:pPr>
          <w:hyperlink w:anchor="_TOC_250110" w:history="1">
            <w:r w:rsidR="00681463">
              <w:t>Failure to Provide Documentation [24</w:t>
            </w:r>
            <w:r w:rsidR="00681463">
              <w:rPr>
                <w:spacing w:val="-6"/>
              </w:rPr>
              <w:t xml:space="preserve"> </w:t>
            </w:r>
            <w:r w:rsidR="00681463">
              <w:t>CFR</w:t>
            </w:r>
            <w:r w:rsidR="00681463">
              <w:rPr>
                <w:spacing w:val="-1"/>
              </w:rPr>
              <w:t xml:space="preserve"> </w:t>
            </w:r>
            <w:r w:rsidR="00681463">
              <w:t>5.2007(c)]</w:t>
            </w:r>
            <w:r w:rsidR="00681463">
              <w:tab/>
              <w:t>341</w:t>
            </w:r>
          </w:hyperlink>
        </w:p>
        <w:p w:rsidR="004E13A5" w:rsidRDefault="00BA59C9">
          <w:pPr>
            <w:pStyle w:val="TOC4"/>
            <w:tabs>
              <w:tab w:val="right" w:leader="dot" w:pos="9461"/>
            </w:tabs>
          </w:pPr>
          <w:hyperlink w:anchor="_TOC_250109" w:history="1">
            <w:r w:rsidR="00681463">
              <w:t>16-IX.E. CONFIDENTIALITY [24</w:t>
            </w:r>
            <w:r w:rsidR="00681463">
              <w:rPr>
                <w:spacing w:val="-2"/>
              </w:rPr>
              <w:t xml:space="preserve"> </w:t>
            </w:r>
            <w:r w:rsidR="00681463">
              <w:t>CFR</w:t>
            </w:r>
            <w:r w:rsidR="00681463">
              <w:rPr>
                <w:spacing w:val="-1"/>
              </w:rPr>
              <w:t xml:space="preserve"> </w:t>
            </w:r>
            <w:r w:rsidR="00681463">
              <w:t>5.2007(b)(4)]</w:t>
            </w:r>
            <w:r w:rsidR="00681463">
              <w:tab/>
              <w:t>342</w:t>
            </w:r>
          </w:hyperlink>
        </w:p>
        <w:p w:rsidR="004E13A5" w:rsidRDefault="00681463">
          <w:pPr>
            <w:pStyle w:val="TOC3"/>
            <w:tabs>
              <w:tab w:val="right" w:leader="dot" w:pos="9461"/>
            </w:tabs>
            <w:ind w:left="1396" w:right="117" w:hanging="1296"/>
          </w:pPr>
          <w:r>
            <w:t>Exhibit 16-1: Sample Notice of Occupancy Rights Under the Violence Against Women Act (VAWA),</w:t>
          </w:r>
          <w:r>
            <w:rPr>
              <w:spacing w:val="-1"/>
            </w:rPr>
            <w:t xml:space="preserve"> </w:t>
          </w:r>
          <w:r>
            <w:t>Form</w:t>
          </w:r>
          <w:r>
            <w:rPr>
              <w:spacing w:val="-1"/>
            </w:rPr>
            <w:t xml:space="preserve"> </w:t>
          </w:r>
          <w:r>
            <w:t>HUD-5380</w:t>
          </w:r>
          <w:r>
            <w:tab/>
            <w:t>343</w:t>
          </w:r>
        </w:p>
        <w:p w:rsidR="004E13A5" w:rsidRDefault="00681463">
          <w:pPr>
            <w:pStyle w:val="TOC3"/>
            <w:tabs>
              <w:tab w:val="left" w:leader="dot" w:pos="9101"/>
            </w:tabs>
            <w:spacing w:before="79"/>
            <w:ind w:left="1396" w:right="117" w:hanging="1296"/>
          </w:pPr>
          <w:r>
            <w:t>Exhibit 16-2: Certification of Domestic Violence, Dating Violence, Sexual Assault, or Stalking and Alternate Documentation,</w:t>
          </w:r>
          <w:r>
            <w:rPr>
              <w:spacing w:val="-2"/>
            </w:rPr>
            <w:t xml:space="preserve"> </w:t>
          </w:r>
          <w:r>
            <w:t>Form</w:t>
          </w:r>
          <w:r>
            <w:rPr>
              <w:spacing w:val="-1"/>
            </w:rPr>
            <w:t xml:space="preserve"> </w:t>
          </w:r>
          <w:r>
            <w:t>HUD-5382</w:t>
          </w:r>
          <w:r>
            <w:tab/>
            <w:t>349</w:t>
          </w:r>
        </w:p>
        <w:p w:rsidR="004E13A5" w:rsidRDefault="00BA59C9">
          <w:pPr>
            <w:pStyle w:val="TOC3"/>
            <w:tabs>
              <w:tab w:val="left" w:leader="dot" w:pos="8990"/>
            </w:tabs>
            <w:spacing w:before="119"/>
            <w:ind w:left="1396" w:right="226" w:hanging="1296"/>
          </w:pPr>
          <w:hyperlink w:anchor="_TOC_250108" w:history="1">
            <w:r w:rsidR="00681463">
              <w:t>Exhibit 16-3: Emergency Transfer Plan for Victims of Domestic Violence, Dating Violence, Sexual Assault,</w:t>
            </w:r>
            <w:r w:rsidR="00681463">
              <w:rPr>
                <w:spacing w:val="-1"/>
              </w:rPr>
              <w:t xml:space="preserve"> </w:t>
            </w:r>
            <w:r w:rsidR="00681463">
              <w:t>or</w:t>
            </w:r>
            <w:r w:rsidR="00681463">
              <w:rPr>
                <w:spacing w:val="-1"/>
              </w:rPr>
              <w:t xml:space="preserve"> </w:t>
            </w:r>
            <w:r w:rsidR="00681463">
              <w:t>Stalking</w:t>
            </w:r>
            <w:r w:rsidR="00681463">
              <w:tab/>
              <w:t>352</w:t>
            </w:r>
          </w:hyperlink>
        </w:p>
        <w:p w:rsidR="004E13A5" w:rsidRDefault="00681463">
          <w:pPr>
            <w:pStyle w:val="TOC3"/>
            <w:tabs>
              <w:tab w:val="left" w:leader="dot" w:pos="9014"/>
            </w:tabs>
            <w:spacing w:before="119"/>
            <w:ind w:left="1396" w:right="202" w:hanging="1296"/>
          </w:pPr>
          <w:r>
            <w:t>Exhibit 16-4: Emergency Transfer Request for Certain Victims of Domestic Violence, Dating Violence, Sexual Assault or Stalking (HUD</w:t>
          </w:r>
          <w:r>
            <w:rPr>
              <w:spacing w:val="-5"/>
            </w:rPr>
            <w:t xml:space="preserve"> </w:t>
          </w:r>
          <w:r>
            <w:t>Form</w:t>
          </w:r>
          <w:r>
            <w:rPr>
              <w:spacing w:val="-1"/>
            </w:rPr>
            <w:t xml:space="preserve"> </w:t>
          </w:r>
          <w:r>
            <w:t>5383)</w:t>
          </w:r>
          <w:r>
            <w:tab/>
            <w:t>356</w:t>
          </w:r>
        </w:p>
        <w:p w:rsidR="004E13A5" w:rsidRDefault="00681463">
          <w:pPr>
            <w:pStyle w:val="TOC3"/>
            <w:tabs>
              <w:tab w:val="left" w:leader="dot" w:pos="9074"/>
            </w:tabs>
            <w:spacing w:before="119"/>
          </w:pPr>
          <w:r>
            <w:t>Exhibit 16-5: Model Owner Notification of Rights</w:t>
          </w:r>
          <w:r>
            <w:rPr>
              <w:spacing w:val="-8"/>
            </w:rPr>
            <w:t xml:space="preserve"> </w:t>
          </w:r>
          <w:r>
            <w:t>and</w:t>
          </w:r>
          <w:r>
            <w:rPr>
              <w:spacing w:val="-1"/>
            </w:rPr>
            <w:t xml:space="preserve"> </w:t>
          </w:r>
          <w:r>
            <w:t>Obligation</w:t>
          </w:r>
          <w:r>
            <w:tab/>
            <w:t>359</w:t>
          </w:r>
        </w:p>
        <w:p w:rsidR="004E13A5" w:rsidRDefault="00681463">
          <w:pPr>
            <w:spacing w:before="515"/>
            <w:ind w:left="3069" w:right="3086" w:firstLine="1132"/>
            <w:rPr>
              <w:b/>
              <w:sz w:val="24"/>
            </w:rPr>
          </w:pPr>
          <w:r>
            <w:rPr>
              <w:b/>
              <w:sz w:val="24"/>
            </w:rPr>
            <w:lastRenderedPageBreak/>
            <w:t>Chapter 17 PROJECT-BASED VOUCHERS</w:t>
          </w:r>
        </w:p>
        <w:p w:rsidR="004E13A5" w:rsidRDefault="00BA59C9">
          <w:pPr>
            <w:pStyle w:val="TOC3"/>
            <w:tabs>
              <w:tab w:val="left" w:pos="1360"/>
              <w:tab w:val="left" w:leader="dot" w:pos="9101"/>
            </w:tabs>
          </w:pPr>
          <w:hyperlink w:anchor="_TOC_250107" w:history="1">
            <w:r w:rsidR="00681463">
              <w:t>PART</w:t>
            </w:r>
            <w:r w:rsidR="00681463">
              <w:rPr>
                <w:spacing w:val="1"/>
              </w:rPr>
              <w:t xml:space="preserve"> </w:t>
            </w:r>
            <w:r w:rsidR="00681463">
              <w:rPr>
                <w:spacing w:val="-3"/>
              </w:rPr>
              <w:t>I:</w:t>
            </w:r>
            <w:r w:rsidR="00681463">
              <w:rPr>
                <w:spacing w:val="-3"/>
              </w:rPr>
              <w:tab/>
            </w:r>
            <w:r w:rsidR="00681463">
              <w:t>GENERAL</w:t>
            </w:r>
            <w:r w:rsidR="00681463">
              <w:rPr>
                <w:spacing w:val="-5"/>
              </w:rPr>
              <w:t xml:space="preserve"> </w:t>
            </w:r>
            <w:r w:rsidR="00681463">
              <w:t>REQUIREMENTS</w:t>
            </w:r>
            <w:r w:rsidR="00681463">
              <w:tab/>
              <w:t>364</w:t>
            </w:r>
          </w:hyperlink>
        </w:p>
        <w:p w:rsidR="004E13A5" w:rsidRDefault="00681463">
          <w:pPr>
            <w:pStyle w:val="TOC4"/>
            <w:tabs>
              <w:tab w:val="left" w:pos="2332"/>
              <w:tab w:val="left" w:leader="dot" w:pos="9101"/>
            </w:tabs>
          </w:pPr>
          <w:r>
            <w:t>17-I.A.</w:t>
          </w:r>
          <w:r>
            <w:tab/>
            <w:t>Overview [24 CFR 983.5; FR Notice 1/18/17; Notice</w:t>
          </w:r>
          <w:r>
            <w:rPr>
              <w:spacing w:val="-8"/>
            </w:rPr>
            <w:t xml:space="preserve"> </w:t>
          </w:r>
          <w:r>
            <w:t>PIH</w:t>
          </w:r>
          <w:r>
            <w:rPr>
              <w:spacing w:val="-1"/>
            </w:rPr>
            <w:t xml:space="preserve"> </w:t>
          </w:r>
          <w:r>
            <w:t>2017-21]</w:t>
          </w:r>
          <w:r>
            <w:tab/>
            <w:t>365</w:t>
          </w:r>
        </w:p>
        <w:p w:rsidR="004E13A5" w:rsidRDefault="00681463">
          <w:pPr>
            <w:pStyle w:val="TOC8"/>
          </w:pPr>
          <w:r>
            <w:t>Additional Project-Based Units [FR Notice 1/18/17;</w:t>
          </w:r>
        </w:p>
        <w:p w:rsidR="004E13A5" w:rsidRDefault="00681463">
          <w:pPr>
            <w:pStyle w:val="TOC8"/>
            <w:tabs>
              <w:tab w:val="left" w:leader="dot" w:pos="9101"/>
            </w:tabs>
          </w:pPr>
          <w:r>
            <w:t>Notice</w:t>
          </w:r>
          <w:r>
            <w:rPr>
              <w:spacing w:val="-3"/>
            </w:rPr>
            <w:t xml:space="preserve"> </w:t>
          </w:r>
          <w:r>
            <w:t>PIH</w:t>
          </w:r>
          <w:r>
            <w:rPr>
              <w:spacing w:val="-1"/>
            </w:rPr>
            <w:t xml:space="preserve"> </w:t>
          </w:r>
          <w:r>
            <w:t>2017-21]</w:t>
          </w:r>
          <w:r>
            <w:tab/>
            <w:t>365</w:t>
          </w:r>
        </w:p>
        <w:p w:rsidR="004E13A5" w:rsidRDefault="00681463">
          <w:pPr>
            <w:pStyle w:val="TOC8"/>
          </w:pPr>
          <w:r>
            <w:t>Units Not Subject to the PBV Program Limitation</w:t>
          </w:r>
        </w:p>
        <w:p w:rsidR="004E13A5" w:rsidRDefault="00681463">
          <w:pPr>
            <w:pStyle w:val="TOC8"/>
            <w:tabs>
              <w:tab w:val="left" w:leader="dot" w:pos="9101"/>
            </w:tabs>
          </w:pPr>
          <w:r>
            <w:t>[FR Notice 1/18/17; Notice</w:t>
          </w:r>
          <w:r>
            <w:rPr>
              <w:spacing w:val="-7"/>
            </w:rPr>
            <w:t xml:space="preserve"> </w:t>
          </w:r>
          <w:r>
            <w:t>PIH</w:t>
          </w:r>
          <w:r>
            <w:rPr>
              <w:spacing w:val="-1"/>
            </w:rPr>
            <w:t xml:space="preserve"> </w:t>
          </w:r>
          <w:r>
            <w:t>2017-21]</w:t>
          </w:r>
          <w:r>
            <w:tab/>
            <w:t>366</w:t>
          </w:r>
        </w:p>
        <w:p w:rsidR="004E13A5" w:rsidRDefault="00681463">
          <w:pPr>
            <w:pStyle w:val="TOC4"/>
            <w:tabs>
              <w:tab w:val="left" w:pos="2332"/>
            </w:tabs>
          </w:pPr>
          <w:r>
            <w:t>17-I.B.</w:t>
          </w:r>
          <w:r>
            <w:tab/>
            <w:t>Tenant-Based vs. Project-Based Voucher</w:t>
          </w:r>
          <w:r>
            <w:rPr>
              <w:spacing w:val="-8"/>
            </w:rPr>
            <w:t xml:space="preserve"> </w:t>
          </w:r>
          <w:r>
            <w:t>Assistance</w:t>
          </w:r>
        </w:p>
        <w:p w:rsidR="004E13A5" w:rsidRDefault="00681463">
          <w:pPr>
            <w:pStyle w:val="TOC7"/>
            <w:tabs>
              <w:tab w:val="left" w:leader="dot" w:pos="9101"/>
            </w:tabs>
          </w:pPr>
          <w:r>
            <w:t>[24</w:t>
          </w:r>
          <w:r>
            <w:rPr>
              <w:spacing w:val="-1"/>
            </w:rPr>
            <w:t xml:space="preserve"> </w:t>
          </w:r>
          <w:r>
            <w:t>CFR</w:t>
          </w:r>
          <w:r>
            <w:rPr>
              <w:spacing w:val="-1"/>
            </w:rPr>
            <w:t xml:space="preserve"> </w:t>
          </w:r>
          <w:r>
            <w:t>983.2]</w:t>
          </w:r>
          <w:r>
            <w:tab/>
            <w:t>366</w:t>
          </w:r>
        </w:p>
        <w:p w:rsidR="004E13A5" w:rsidRDefault="00BA59C9">
          <w:pPr>
            <w:pStyle w:val="TOC4"/>
            <w:tabs>
              <w:tab w:val="left" w:pos="2332"/>
              <w:tab w:val="left" w:leader="dot" w:pos="9101"/>
            </w:tabs>
          </w:pPr>
          <w:hyperlink w:anchor="_TOC_250106" w:history="1">
            <w:r w:rsidR="00681463">
              <w:t>17-I.C.</w:t>
            </w:r>
            <w:r w:rsidR="00681463">
              <w:tab/>
              <w:t>Relocation Requirements [24</w:t>
            </w:r>
            <w:r w:rsidR="00681463">
              <w:rPr>
                <w:spacing w:val="-2"/>
              </w:rPr>
              <w:t xml:space="preserve"> </w:t>
            </w:r>
            <w:r w:rsidR="00681463">
              <w:t>CFR</w:t>
            </w:r>
            <w:r w:rsidR="00681463">
              <w:rPr>
                <w:spacing w:val="-2"/>
              </w:rPr>
              <w:t xml:space="preserve"> </w:t>
            </w:r>
            <w:r w:rsidR="00681463">
              <w:t>983.7]</w:t>
            </w:r>
            <w:r w:rsidR="00681463">
              <w:tab/>
              <w:t>366</w:t>
            </w:r>
          </w:hyperlink>
        </w:p>
        <w:p w:rsidR="004E13A5" w:rsidRDefault="00BA59C9">
          <w:pPr>
            <w:pStyle w:val="TOC4"/>
            <w:tabs>
              <w:tab w:val="left" w:pos="2332"/>
              <w:tab w:val="left" w:leader="dot" w:pos="9101"/>
            </w:tabs>
          </w:pPr>
          <w:hyperlink w:anchor="_TOC_250105" w:history="1">
            <w:r w:rsidR="00681463">
              <w:t>17-I.D.</w:t>
            </w:r>
            <w:r w:rsidR="00681463">
              <w:tab/>
              <w:t>Equal Opportunity Requirements [24</w:t>
            </w:r>
            <w:r w:rsidR="00681463">
              <w:rPr>
                <w:spacing w:val="-8"/>
              </w:rPr>
              <w:t xml:space="preserve"> </w:t>
            </w:r>
            <w:r w:rsidR="00681463">
              <w:t>CFR</w:t>
            </w:r>
            <w:r w:rsidR="00681463">
              <w:rPr>
                <w:spacing w:val="-1"/>
              </w:rPr>
              <w:t xml:space="preserve"> </w:t>
            </w:r>
            <w:r w:rsidR="00681463">
              <w:t>983.8]</w:t>
            </w:r>
            <w:r w:rsidR="00681463">
              <w:tab/>
              <w:t>367</w:t>
            </w:r>
          </w:hyperlink>
        </w:p>
        <w:p w:rsidR="004E13A5" w:rsidRDefault="00BA59C9">
          <w:pPr>
            <w:pStyle w:val="TOC3"/>
            <w:tabs>
              <w:tab w:val="left" w:pos="1360"/>
              <w:tab w:val="left" w:leader="dot" w:pos="9101"/>
            </w:tabs>
          </w:pPr>
          <w:hyperlink w:anchor="_TOC_250104" w:history="1">
            <w:r w:rsidR="00681463">
              <w:t>PART</w:t>
            </w:r>
            <w:r w:rsidR="00681463">
              <w:rPr>
                <w:spacing w:val="2"/>
              </w:rPr>
              <w:t xml:space="preserve"> </w:t>
            </w:r>
            <w:r w:rsidR="00681463">
              <w:rPr>
                <w:spacing w:val="-3"/>
              </w:rPr>
              <w:t>II:</w:t>
            </w:r>
            <w:r w:rsidR="00681463">
              <w:rPr>
                <w:spacing w:val="-3"/>
              </w:rPr>
              <w:tab/>
            </w:r>
            <w:r w:rsidR="00681463">
              <w:t>PBV</w:t>
            </w:r>
            <w:r w:rsidR="00681463">
              <w:rPr>
                <w:spacing w:val="-3"/>
              </w:rPr>
              <w:t xml:space="preserve"> </w:t>
            </w:r>
            <w:r w:rsidR="00681463">
              <w:t>OWNER</w:t>
            </w:r>
            <w:r w:rsidR="00681463">
              <w:rPr>
                <w:spacing w:val="-3"/>
              </w:rPr>
              <w:t xml:space="preserve"> </w:t>
            </w:r>
            <w:r w:rsidR="00681463">
              <w:t>PROPOSALS</w:t>
            </w:r>
            <w:r w:rsidR="00681463">
              <w:tab/>
              <w:t>367</w:t>
            </w:r>
          </w:hyperlink>
        </w:p>
        <w:p w:rsidR="004E13A5" w:rsidRDefault="00BA59C9">
          <w:pPr>
            <w:pStyle w:val="TOC4"/>
            <w:tabs>
              <w:tab w:val="left" w:leader="dot" w:pos="9101"/>
            </w:tabs>
          </w:pPr>
          <w:hyperlink w:anchor="_TOC_250103" w:history="1">
            <w:r w:rsidR="00681463">
              <w:t xml:space="preserve">17-II.A.  </w:t>
            </w:r>
            <w:r w:rsidR="00681463">
              <w:rPr>
                <w:spacing w:val="8"/>
              </w:rPr>
              <w:t xml:space="preserve"> </w:t>
            </w:r>
            <w:r w:rsidR="00681463">
              <w:t>Overview</w:t>
            </w:r>
            <w:r w:rsidR="00681463">
              <w:tab/>
              <w:t>367</w:t>
            </w:r>
          </w:hyperlink>
        </w:p>
        <w:p w:rsidR="004E13A5" w:rsidRDefault="00BA59C9">
          <w:pPr>
            <w:pStyle w:val="TOC4"/>
            <w:tabs>
              <w:tab w:val="left" w:pos="2332"/>
              <w:tab w:val="left" w:leader="dot" w:pos="9101"/>
            </w:tabs>
          </w:pPr>
          <w:hyperlink w:anchor="_TOC_250102" w:history="1">
            <w:r w:rsidR="00681463">
              <w:t>17-II.B.</w:t>
            </w:r>
            <w:r w:rsidR="00681463">
              <w:tab/>
              <w:t>Owner Proposal Selection Procedures [24</w:t>
            </w:r>
            <w:r w:rsidR="00681463">
              <w:rPr>
                <w:spacing w:val="-5"/>
              </w:rPr>
              <w:t xml:space="preserve"> </w:t>
            </w:r>
            <w:r w:rsidR="00681463">
              <w:t>CFR</w:t>
            </w:r>
            <w:r w:rsidR="00681463">
              <w:rPr>
                <w:spacing w:val="-1"/>
              </w:rPr>
              <w:t xml:space="preserve"> </w:t>
            </w:r>
            <w:r w:rsidR="00681463">
              <w:t>983.51(b)]</w:t>
            </w:r>
            <w:r w:rsidR="00681463">
              <w:tab/>
              <w:t>367</w:t>
            </w:r>
          </w:hyperlink>
        </w:p>
        <w:p w:rsidR="004E13A5" w:rsidRDefault="00681463">
          <w:pPr>
            <w:pStyle w:val="TOC8"/>
          </w:pPr>
          <w:r>
            <w:t>Units Selected Non-Competitively [FR Notice 1/18/17;</w:t>
          </w:r>
        </w:p>
        <w:p w:rsidR="004E13A5" w:rsidRDefault="00681463">
          <w:pPr>
            <w:pStyle w:val="TOC8"/>
            <w:tabs>
              <w:tab w:val="left" w:leader="dot" w:pos="9101"/>
            </w:tabs>
          </w:pPr>
          <w:r>
            <w:t>Notice PIH 2017-21; 24</w:t>
          </w:r>
          <w:r>
            <w:rPr>
              <w:spacing w:val="-4"/>
            </w:rPr>
            <w:t xml:space="preserve"> </w:t>
          </w:r>
          <w:r>
            <w:t>CFR</w:t>
          </w:r>
          <w:r>
            <w:rPr>
              <w:spacing w:val="-1"/>
            </w:rPr>
            <w:t xml:space="preserve"> </w:t>
          </w:r>
          <w:r>
            <w:t>983.51(b)]</w:t>
          </w:r>
          <w:r>
            <w:tab/>
            <w:t>367</w:t>
          </w:r>
        </w:p>
        <w:p w:rsidR="004E13A5" w:rsidRDefault="00681463">
          <w:pPr>
            <w:pStyle w:val="TOC8"/>
          </w:pPr>
          <w:r>
            <w:t>Solicitation and Selection of PBV Proposals</w:t>
          </w:r>
        </w:p>
        <w:p w:rsidR="004E13A5" w:rsidRDefault="00681463">
          <w:pPr>
            <w:pStyle w:val="TOC8"/>
            <w:tabs>
              <w:tab w:val="left" w:leader="dot" w:pos="9101"/>
            </w:tabs>
          </w:pPr>
          <w:r>
            <w:t>[24</w:t>
          </w:r>
          <w:r>
            <w:rPr>
              <w:spacing w:val="-1"/>
            </w:rPr>
            <w:t xml:space="preserve"> </w:t>
          </w:r>
          <w:r>
            <w:t>CFR</w:t>
          </w:r>
          <w:r>
            <w:rPr>
              <w:spacing w:val="-1"/>
            </w:rPr>
            <w:t xml:space="preserve"> </w:t>
          </w:r>
          <w:r>
            <w:t>983.51(c)]</w:t>
          </w:r>
          <w:r>
            <w:tab/>
            <w:t>368</w:t>
          </w:r>
        </w:p>
        <w:p w:rsidR="004E13A5" w:rsidRDefault="00BA59C9">
          <w:pPr>
            <w:pStyle w:val="TOC8"/>
            <w:tabs>
              <w:tab w:val="left" w:leader="dot" w:pos="9101"/>
            </w:tabs>
            <w:ind w:right="117"/>
          </w:pPr>
          <w:hyperlink w:anchor="_TOC_250101" w:history="1">
            <w:r w:rsidR="00681463">
              <w:t>PHA-Owned Units [24 CFR 983.51(e), 983.59, FR Notice 1/18/17 and Notice</w:t>
            </w:r>
            <w:r w:rsidR="00681463">
              <w:rPr>
                <w:spacing w:val="-4"/>
              </w:rPr>
              <w:t xml:space="preserve"> </w:t>
            </w:r>
            <w:r w:rsidR="00681463">
              <w:t>PIH</w:t>
            </w:r>
            <w:r w:rsidR="00681463">
              <w:rPr>
                <w:spacing w:val="-1"/>
              </w:rPr>
              <w:t xml:space="preserve"> </w:t>
            </w:r>
            <w:r w:rsidR="00681463">
              <w:t>2017-21]</w:t>
            </w:r>
            <w:r w:rsidR="00681463">
              <w:tab/>
              <w:t>370</w:t>
            </w:r>
          </w:hyperlink>
        </w:p>
        <w:p w:rsidR="004E13A5" w:rsidRDefault="00BA59C9">
          <w:pPr>
            <w:pStyle w:val="TOC8"/>
            <w:tabs>
              <w:tab w:val="left" w:leader="dot" w:pos="9101"/>
            </w:tabs>
          </w:pPr>
          <w:hyperlink w:anchor="_TOC_250100" w:history="1">
            <w:r w:rsidR="00681463">
              <w:t>PHA Notice of Owner Selection [24</w:t>
            </w:r>
            <w:r w:rsidR="00681463">
              <w:rPr>
                <w:spacing w:val="-7"/>
              </w:rPr>
              <w:t xml:space="preserve"> </w:t>
            </w:r>
            <w:r w:rsidR="00681463">
              <w:t>CFR</w:t>
            </w:r>
            <w:r w:rsidR="00681463">
              <w:rPr>
                <w:spacing w:val="-1"/>
              </w:rPr>
              <w:t xml:space="preserve"> </w:t>
            </w:r>
            <w:r w:rsidR="00681463">
              <w:t>983.51(d)]</w:t>
            </w:r>
            <w:r w:rsidR="00681463">
              <w:tab/>
              <w:t>371</w:t>
            </w:r>
          </w:hyperlink>
        </w:p>
        <w:p w:rsidR="004E13A5" w:rsidRDefault="00BA59C9">
          <w:pPr>
            <w:pStyle w:val="TOC4"/>
            <w:tabs>
              <w:tab w:val="left" w:pos="2332"/>
              <w:tab w:val="left" w:leader="dot" w:pos="9101"/>
            </w:tabs>
          </w:pPr>
          <w:hyperlink w:anchor="_TOC_250099" w:history="1">
            <w:r w:rsidR="00681463">
              <w:t>17-II.C.</w:t>
            </w:r>
            <w:r w:rsidR="00681463">
              <w:tab/>
              <w:t>Housing Type [24</w:t>
            </w:r>
            <w:r w:rsidR="00681463">
              <w:rPr>
                <w:spacing w:val="-4"/>
              </w:rPr>
              <w:t xml:space="preserve"> </w:t>
            </w:r>
            <w:r w:rsidR="00681463">
              <w:t>CFR 983.52]</w:t>
            </w:r>
            <w:r w:rsidR="00681463">
              <w:tab/>
              <w:t>371</w:t>
            </w:r>
          </w:hyperlink>
        </w:p>
        <w:p w:rsidR="004E13A5" w:rsidRDefault="00BA59C9">
          <w:pPr>
            <w:pStyle w:val="TOC4"/>
            <w:tabs>
              <w:tab w:val="left" w:leader="dot" w:pos="9101"/>
            </w:tabs>
          </w:pPr>
          <w:hyperlink w:anchor="_TOC_250098" w:history="1">
            <w:r w:rsidR="00681463">
              <w:t>17-II.D.   Prohibition of Assistance for</w:t>
            </w:r>
            <w:r w:rsidR="00681463">
              <w:rPr>
                <w:spacing w:val="6"/>
              </w:rPr>
              <w:t xml:space="preserve"> </w:t>
            </w:r>
            <w:r w:rsidR="00681463">
              <w:t>Certain</w:t>
            </w:r>
            <w:r w:rsidR="00681463">
              <w:rPr>
                <w:spacing w:val="-1"/>
              </w:rPr>
              <w:t xml:space="preserve"> </w:t>
            </w:r>
            <w:r w:rsidR="00681463">
              <w:t>Units</w:t>
            </w:r>
            <w:r w:rsidR="00681463">
              <w:tab/>
              <w:t>372</w:t>
            </w:r>
          </w:hyperlink>
        </w:p>
        <w:p w:rsidR="004E13A5" w:rsidRDefault="00BA59C9">
          <w:pPr>
            <w:pStyle w:val="TOC8"/>
            <w:tabs>
              <w:tab w:val="left" w:leader="dot" w:pos="9101"/>
            </w:tabs>
          </w:pPr>
          <w:hyperlink w:anchor="_TOC_250097" w:history="1">
            <w:r w:rsidR="00681463">
              <w:t>Ineligible Housing Types [24</w:t>
            </w:r>
            <w:r w:rsidR="00681463">
              <w:rPr>
                <w:spacing w:val="-4"/>
              </w:rPr>
              <w:t xml:space="preserve"> </w:t>
            </w:r>
            <w:r w:rsidR="00681463">
              <w:t>CFR</w:t>
            </w:r>
            <w:r w:rsidR="00681463">
              <w:rPr>
                <w:spacing w:val="-1"/>
              </w:rPr>
              <w:t xml:space="preserve"> </w:t>
            </w:r>
            <w:r w:rsidR="00681463">
              <w:t>983.53]</w:t>
            </w:r>
            <w:r w:rsidR="00681463">
              <w:tab/>
              <w:t>372</w:t>
            </w:r>
          </w:hyperlink>
        </w:p>
        <w:p w:rsidR="004E13A5" w:rsidRDefault="00BA59C9">
          <w:pPr>
            <w:pStyle w:val="TOC8"/>
            <w:tabs>
              <w:tab w:val="left" w:leader="dot" w:pos="9101"/>
            </w:tabs>
          </w:pPr>
          <w:hyperlink w:anchor="_TOC_250096" w:history="1">
            <w:r w:rsidR="00681463">
              <w:t>Subsidized Housing [24</w:t>
            </w:r>
            <w:r w:rsidR="00681463">
              <w:rPr>
                <w:spacing w:val="-7"/>
              </w:rPr>
              <w:t xml:space="preserve"> </w:t>
            </w:r>
            <w:r w:rsidR="00681463">
              <w:t>CFR</w:t>
            </w:r>
            <w:r w:rsidR="00681463">
              <w:rPr>
                <w:spacing w:val="-1"/>
              </w:rPr>
              <w:t xml:space="preserve"> </w:t>
            </w:r>
            <w:r w:rsidR="00681463">
              <w:t>983.54]</w:t>
            </w:r>
            <w:r w:rsidR="00681463">
              <w:tab/>
              <w:t>372</w:t>
            </w:r>
          </w:hyperlink>
        </w:p>
        <w:p w:rsidR="004E13A5" w:rsidRDefault="00681463">
          <w:pPr>
            <w:pStyle w:val="TOC4"/>
            <w:tabs>
              <w:tab w:val="left" w:pos="2332"/>
            </w:tabs>
          </w:pPr>
          <w:r>
            <w:t>17-II.E.</w:t>
          </w:r>
          <w:r>
            <w:tab/>
            <w:t>Subsidy Layering</w:t>
          </w:r>
          <w:r>
            <w:rPr>
              <w:spacing w:val="-12"/>
            </w:rPr>
            <w:t xml:space="preserve"> </w:t>
          </w:r>
          <w:r>
            <w:t>Requirements</w:t>
          </w:r>
        </w:p>
        <w:p w:rsidR="004E13A5" w:rsidRDefault="00681463">
          <w:pPr>
            <w:pStyle w:val="TOC7"/>
            <w:tabs>
              <w:tab w:val="left" w:leader="dot" w:pos="9101"/>
            </w:tabs>
            <w:spacing w:before="1"/>
          </w:pPr>
          <w:r>
            <w:t>[24 CFR 983.55, Notice PIH 2013-11, and FR</w:t>
          </w:r>
          <w:r>
            <w:rPr>
              <w:spacing w:val="-6"/>
            </w:rPr>
            <w:t xml:space="preserve"> </w:t>
          </w:r>
          <w:r>
            <w:t>Notice</w:t>
          </w:r>
          <w:r>
            <w:rPr>
              <w:spacing w:val="-2"/>
            </w:rPr>
            <w:t xml:space="preserve"> </w:t>
          </w:r>
          <w:r>
            <w:t>2/28/20]</w:t>
          </w:r>
          <w:r>
            <w:tab/>
            <w:t>372</w:t>
          </w:r>
        </w:p>
        <w:p w:rsidR="004E13A5" w:rsidRDefault="00BA59C9">
          <w:pPr>
            <w:pStyle w:val="TOC4"/>
            <w:tabs>
              <w:tab w:val="left" w:pos="2332"/>
              <w:tab w:val="left" w:leader="dot" w:pos="9101"/>
            </w:tabs>
          </w:pPr>
          <w:hyperlink w:anchor="_TOC_250095" w:history="1">
            <w:r w:rsidR="00681463">
              <w:t>17-II.F.</w:t>
            </w:r>
            <w:r w:rsidR="00681463">
              <w:tab/>
              <w:t>Cap On Number of PBV Units in</w:t>
            </w:r>
            <w:r w:rsidR="00681463">
              <w:rPr>
                <w:spacing w:val="-5"/>
              </w:rPr>
              <w:t xml:space="preserve"> </w:t>
            </w:r>
            <w:r w:rsidR="00681463">
              <w:t>Each</w:t>
            </w:r>
            <w:r w:rsidR="00681463">
              <w:rPr>
                <w:spacing w:val="-1"/>
              </w:rPr>
              <w:t xml:space="preserve"> </w:t>
            </w:r>
            <w:r w:rsidR="00681463">
              <w:t>Project</w:t>
            </w:r>
            <w:r w:rsidR="00681463">
              <w:tab/>
              <w:t>373</w:t>
            </w:r>
          </w:hyperlink>
        </w:p>
        <w:p w:rsidR="004E13A5" w:rsidRDefault="00681463">
          <w:pPr>
            <w:pStyle w:val="TOC8"/>
          </w:pPr>
          <w:r>
            <w:t>25 Percent per Project Cap</w:t>
          </w:r>
        </w:p>
        <w:p w:rsidR="004E13A5" w:rsidRDefault="00681463">
          <w:pPr>
            <w:pStyle w:val="TOC8"/>
            <w:tabs>
              <w:tab w:val="left" w:leader="dot" w:pos="9101"/>
            </w:tabs>
          </w:pPr>
          <w:r>
            <w:t>[24 CFR 983.56, FR Notice 1/18/17 and Notice</w:t>
          </w:r>
          <w:r>
            <w:rPr>
              <w:spacing w:val="-6"/>
            </w:rPr>
            <w:t xml:space="preserve"> </w:t>
          </w:r>
          <w:r>
            <w:t>PIH</w:t>
          </w:r>
          <w:r>
            <w:rPr>
              <w:spacing w:val="-3"/>
            </w:rPr>
            <w:t xml:space="preserve"> </w:t>
          </w:r>
          <w:r>
            <w:t>2017-21]</w:t>
          </w:r>
          <w:r>
            <w:tab/>
            <w:t>373</w:t>
          </w:r>
        </w:p>
        <w:p w:rsidR="004E13A5" w:rsidRDefault="00681463">
          <w:pPr>
            <w:pStyle w:val="TOC8"/>
          </w:pPr>
          <w:r>
            <w:t>Exceptions to 25 Percent per Project Cap</w:t>
          </w:r>
        </w:p>
        <w:p w:rsidR="004E13A5" w:rsidRDefault="00681463">
          <w:pPr>
            <w:pStyle w:val="TOC8"/>
            <w:tabs>
              <w:tab w:val="left" w:leader="dot" w:pos="9101"/>
            </w:tabs>
          </w:pPr>
          <w:r>
            <w:t>[FR Notice 1/18/17 and Notice</w:t>
          </w:r>
          <w:r>
            <w:rPr>
              <w:spacing w:val="-7"/>
            </w:rPr>
            <w:t xml:space="preserve"> </w:t>
          </w:r>
          <w:r>
            <w:t>PIH</w:t>
          </w:r>
          <w:r>
            <w:rPr>
              <w:spacing w:val="-1"/>
            </w:rPr>
            <w:t xml:space="preserve"> </w:t>
          </w:r>
          <w:r>
            <w:t>2017-21]</w:t>
          </w:r>
          <w:r>
            <w:tab/>
            <w:t>373</w:t>
          </w:r>
        </w:p>
        <w:p w:rsidR="004E13A5" w:rsidRDefault="00681463">
          <w:pPr>
            <w:pStyle w:val="TOC8"/>
          </w:pPr>
          <w:r>
            <w:t>Projects not Subject to a Project Cap</w:t>
          </w:r>
        </w:p>
        <w:p w:rsidR="004E13A5" w:rsidRDefault="00681463">
          <w:pPr>
            <w:pStyle w:val="TOC8"/>
            <w:tabs>
              <w:tab w:val="left" w:leader="dot" w:pos="9101"/>
            </w:tabs>
          </w:pPr>
          <w:r>
            <w:t>[FR Notice 1/18/17; Notice</w:t>
          </w:r>
          <w:r>
            <w:rPr>
              <w:spacing w:val="-7"/>
            </w:rPr>
            <w:t xml:space="preserve"> </w:t>
          </w:r>
          <w:r>
            <w:t>PIH</w:t>
          </w:r>
          <w:r>
            <w:rPr>
              <w:spacing w:val="-1"/>
            </w:rPr>
            <w:t xml:space="preserve"> </w:t>
          </w:r>
          <w:r>
            <w:t>2017-21]</w:t>
          </w:r>
          <w:r>
            <w:tab/>
            <w:t>374</w:t>
          </w:r>
        </w:p>
        <w:p w:rsidR="004E13A5" w:rsidRDefault="00681463">
          <w:pPr>
            <w:pStyle w:val="TOC8"/>
          </w:pPr>
          <w:r>
            <w:t>Promoting Partially-Assisted Buildings</w:t>
          </w:r>
        </w:p>
        <w:p w:rsidR="004E13A5" w:rsidRDefault="00681463">
          <w:pPr>
            <w:pStyle w:val="TOC8"/>
            <w:tabs>
              <w:tab w:val="left" w:leader="dot" w:pos="9101"/>
            </w:tabs>
          </w:pPr>
          <w:r>
            <w:t>[24</w:t>
          </w:r>
          <w:r>
            <w:rPr>
              <w:spacing w:val="-1"/>
            </w:rPr>
            <w:t xml:space="preserve"> </w:t>
          </w:r>
          <w:r>
            <w:t>CFR</w:t>
          </w:r>
          <w:r>
            <w:rPr>
              <w:spacing w:val="-1"/>
            </w:rPr>
            <w:t xml:space="preserve"> </w:t>
          </w:r>
          <w:r>
            <w:t>983.56(c)]</w:t>
          </w:r>
          <w:r>
            <w:tab/>
            <w:t>375</w:t>
          </w:r>
        </w:p>
        <w:p w:rsidR="004E13A5" w:rsidRDefault="00BA59C9">
          <w:pPr>
            <w:pStyle w:val="TOC4"/>
            <w:tabs>
              <w:tab w:val="right" w:leader="dot" w:pos="9461"/>
            </w:tabs>
            <w:spacing w:before="79"/>
          </w:pPr>
          <w:hyperlink w:anchor="_TOC_250094" w:history="1">
            <w:r w:rsidR="00681463">
              <w:t>17-II.G.   Site</w:t>
            </w:r>
            <w:r w:rsidR="00681463">
              <w:rPr>
                <w:spacing w:val="12"/>
              </w:rPr>
              <w:t xml:space="preserve"> </w:t>
            </w:r>
            <w:r w:rsidR="00681463">
              <w:t>Selection</w:t>
            </w:r>
            <w:r w:rsidR="00681463">
              <w:rPr>
                <w:spacing w:val="-1"/>
              </w:rPr>
              <w:t xml:space="preserve"> </w:t>
            </w:r>
            <w:r w:rsidR="00681463">
              <w:t>Standards</w:t>
            </w:r>
            <w:r w:rsidR="00681463">
              <w:tab/>
              <w:t>375</w:t>
            </w:r>
          </w:hyperlink>
        </w:p>
        <w:p w:rsidR="004E13A5" w:rsidRDefault="00681463">
          <w:pPr>
            <w:pStyle w:val="TOC8"/>
          </w:pPr>
          <w:r>
            <w:t>Compliance with PBV Goals, Civil Rights Requirements,</w:t>
          </w:r>
        </w:p>
        <w:p w:rsidR="004E13A5" w:rsidRDefault="00681463">
          <w:pPr>
            <w:pStyle w:val="TOC8"/>
            <w:tabs>
              <w:tab w:val="right" w:leader="dot" w:pos="9461"/>
            </w:tabs>
          </w:pPr>
          <w:r>
            <w:t xml:space="preserve">and </w:t>
          </w:r>
          <w:r w:rsidR="002C4221">
            <w:t>NSPIRE</w:t>
          </w:r>
          <w:r>
            <w:t xml:space="preserve"> Site Standards [24</w:t>
          </w:r>
          <w:r>
            <w:rPr>
              <w:spacing w:val="-2"/>
            </w:rPr>
            <w:t xml:space="preserve"> </w:t>
          </w:r>
          <w:r>
            <w:t>CFR</w:t>
          </w:r>
          <w:r>
            <w:rPr>
              <w:spacing w:val="-1"/>
            </w:rPr>
            <w:t xml:space="preserve"> </w:t>
          </w:r>
          <w:r>
            <w:t>983.57(b)]</w:t>
          </w:r>
          <w:r>
            <w:tab/>
            <w:t>375</w:t>
          </w:r>
        </w:p>
        <w:p w:rsidR="004E13A5" w:rsidRDefault="00681463">
          <w:pPr>
            <w:pStyle w:val="TOC8"/>
          </w:pPr>
          <w:r>
            <w:t>Existing and Rehabilitated Housing Site and Neighborhood</w:t>
          </w:r>
        </w:p>
        <w:p w:rsidR="004E13A5" w:rsidRDefault="00681463">
          <w:pPr>
            <w:pStyle w:val="TOC8"/>
            <w:tabs>
              <w:tab w:val="right" w:leader="dot" w:pos="9461"/>
            </w:tabs>
          </w:pPr>
          <w:r>
            <w:t>Standards [24</w:t>
          </w:r>
          <w:r>
            <w:rPr>
              <w:spacing w:val="-1"/>
            </w:rPr>
            <w:t xml:space="preserve"> </w:t>
          </w:r>
          <w:r>
            <w:t>CFR</w:t>
          </w:r>
          <w:r>
            <w:rPr>
              <w:spacing w:val="-1"/>
            </w:rPr>
            <w:t xml:space="preserve"> </w:t>
          </w:r>
          <w:r>
            <w:t>983.57(d)]</w:t>
          </w:r>
          <w:r>
            <w:tab/>
            <w:t>376</w:t>
          </w:r>
        </w:p>
        <w:p w:rsidR="004E13A5" w:rsidRDefault="00681463">
          <w:pPr>
            <w:pStyle w:val="TOC8"/>
          </w:pPr>
          <w:r>
            <w:t>New Construction Site and Neighborhood Standards</w:t>
          </w:r>
        </w:p>
        <w:p w:rsidR="004E13A5" w:rsidRDefault="00681463">
          <w:pPr>
            <w:pStyle w:val="TOC8"/>
            <w:tabs>
              <w:tab w:val="right" w:leader="dot" w:pos="9461"/>
            </w:tabs>
          </w:pPr>
          <w:r>
            <w:t>[24</w:t>
          </w:r>
          <w:r>
            <w:rPr>
              <w:spacing w:val="-1"/>
            </w:rPr>
            <w:t xml:space="preserve"> </w:t>
          </w:r>
          <w:r>
            <w:t>CFR</w:t>
          </w:r>
          <w:r>
            <w:rPr>
              <w:spacing w:val="-1"/>
            </w:rPr>
            <w:t xml:space="preserve"> </w:t>
          </w:r>
          <w:r>
            <w:t>983.57(e)]</w:t>
          </w:r>
          <w:r>
            <w:tab/>
            <w:t>376</w:t>
          </w:r>
        </w:p>
        <w:p w:rsidR="004E13A5" w:rsidRDefault="00BA59C9">
          <w:pPr>
            <w:pStyle w:val="TOC4"/>
            <w:tabs>
              <w:tab w:val="right" w:leader="dot" w:pos="9461"/>
            </w:tabs>
          </w:pPr>
          <w:hyperlink w:anchor="_TOC_250093" w:history="1">
            <w:r w:rsidR="00681463">
              <w:t>17-II.H.   Environmental Review [24</w:t>
            </w:r>
            <w:r w:rsidR="00681463">
              <w:rPr>
                <w:spacing w:val="13"/>
              </w:rPr>
              <w:t xml:space="preserve"> </w:t>
            </w:r>
            <w:r w:rsidR="00681463">
              <w:t>CFR</w:t>
            </w:r>
            <w:r w:rsidR="00681463">
              <w:rPr>
                <w:spacing w:val="-1"/>
              </w:rPr>
              <w:t xml:space="preserve"> </w:t>
            </w:r>
            <w:r w:rsidR="00681463">
              <w:t>983.58]</w:t>
            </w:r>
            <w:r w:rsidR="00681463">
              <w:tab/>
              <w:t>377</w:t>
            </w:r>
          </w:hyperlink>
        </w:p>
        <w:p w:rsidR="004E13A5" w:rsidRDefault="00BA59C9">
          <w:pPr>
            <w:pStyle w:val="TOC3"/>
            <w:tabs>
              <w:tab w:val="left" w:pos="1360"/>
              <w:tab w:val="right" w:leader="dot" w:pos="9461"/>
            </w:tabs>
          </w:pPr>
          <w:hyperlink w:anchor="_TOC_250092" w:history="1">
            <w:r w:rsidR="00681463">
              <w:t>PART</w:t>
            </w:r>
            <w:r w:rsidR="00681463">
              <w:rPr>
                <w:spacing w:val="-1"/>
              </w:rPr>
              <w:t xml:space="preserve"> </w:t>
            </w:r>
            <w:r w:rsidR="00681463">
              <w:t>III:</w:t>
            </w:r>
            <w:r w:rsidR="00681463">
              <w:tab/>
              <w:t>DWELLING</w:t>
            </w:r>
            <w:r w:rsidR="00681463">
              <w:rPr>
                <w:spacing w:val="-1"/>
              </w:rPr>
              <w:t xml:space="preserve"> </w:t>
            </w:r>
            <w:r w:rsidR="00681463">
              <w:t>UNITS</w:t>
            </w:r>
            <w:r w:rsidR="00681463">
              <w:tab/>
              <w:t>377</w:t>
            </w:r>
          </w:hyperlink>
        </w:p>
        <w:p w:rsidR="004E13A5" w:rsidRDefault="00BA59C9">
          <w:pPr>
            <w:pStyle w:val="TOC4"/>
            <w:tabs>
              <w:tab w:val="right" w:leader="dot" w:pos="9461"/>
            </w:tabs>
          </w:pPr>
          <w:hyperlink w:anchor="_TOC_250091" w:history="1">
            <w:r w:rsidR="00681463">
              <w:t>17-III.A.</w:t>
            </w:r>
            <w:r w:rsidR="00681463">
              <w:rPr>
                <w:spacing w:val="53"/>
              </w:rPr>
              <w:t xml:space="preserve"> </w:t>
            </w:r>
            <w:r w:rsidR="00681463">
              <w:t>Overview</w:t>
            </w:r>
            <w:r w:rsidR="00681463">
              <w:tab/>
              <w:t>377</w:t>
            </w:r>
          </w:hyperlink>
        </w:p>
        <w:p w:rsidR="004E13A5" w:rsidRDefault="00BA59C9">
          <w:pPr>
            <w:pStyle w:val="TOC4"/>
            <w:tabs>
              <w:tab w:val="right" w:leader="dot" w:pos="9461"/>
            </w:tabs>
          </w:pPr>
          <w:hyperlink w:anchor="_TOC_250090" w:history="1">
            <w:r w:rsidR="00681463">
              <w:t>17-III.B.  Housing Quality Standards [24</w:t>
            </w:r>
            <w:r w:rsidR="00681463">
              <w:rPr>
                <w:spacing w:val="-2"/>
              </w:rPr>
              <w:t xml:space="preserve"> </w:t>
            </w:r>
            <w:r w:rsidR="00681463">
              <w:t>CFR</w:t>
            </w:r>
            <w:r w:rsidR="00681463">
              <w:rPr>
                <w:spacing w:val="-1"/>
              </w:rPr>
              <w:t xml:space="preserve"> </w:t>
            </w:r>
            <w:r w:rsidR="00681463">
              <w:t>983.101]</w:t>
            </w:r>
            <w:r w:rsidR="00681463">
              <w:tab/>
              <w:t>377</w:t>
            </w:r>
          </w:hyperlink>
        </w:p>
        <w:p w:rsidR="004E13A5" w:rsidRDefault="00BA59C9">
          <w:pPr>
            <w:pStyle w:val="TOC8"/>
            <w:tabs>
              <w:tab w:val="right" w:leader="dot" w:pos="9461"/>
            </w:tabs>
          </w:pPr>
          <w:hyperlink w:anchor="_TOC_250089" w:history="1">
            <w:r w:rsidR="00681463">
              <w:t>Lead-based Paint [24</w:t>
            </w:r>
            <w:r w:rsidR="00681463">
              <w:rPr>
                <w:spacing w:val="-1"/>
              </w:rPr>
              <w:t xml:space="preserve"> </w:t>
            </w:r>
            <w:r w:rsidR="00681463">
              <w:t>CFR</w:t>
            </w:r>
            <w:r w:rsidR="00681463">
              <w:rPr>
                <w:spacing w:val="-1"/>
              </w:rPr>
              <w:t xml:space="preserve"> </w:t>
            </w:r>
            <w:r w:rsidR="00681463">
              <w:t>983.101(c)]</w:t>
            </w:r>
            <w:r w:rsidR="00681463">
              <w:tab/>
              <w:t>378</w:t>
            </w:r>
          </w:hyperlink>
        </w:p>
        <w:p w:rsidR="004E13A5" w:rsidRDefault="00BA59C9">
          <w:pPr>
            <w:pStyle w:val="TOC4"/>
            <w:tabs>
              <w:tab w:val="right" w:leader="dot" w:pos="9461"/>
            </w:tabs>
            <w:spacing w:before="1"/>
          </w:pPr>
          <w:hyperlink w:anchor="_TOC_250088" w:history="1">
            <w:r w:rsidR="00681463">
              <w:t>17-III.C.  Housing Accessibility for Persons</w:t>
            </w:r>
            <w:r w:rsidR="00681463">
              <w:rPr>
                <w:spacing w:val="-2"/>
              </w:rPr>
              <w:t xml:space="preserve"> </w:t>
            </w:r>
            <w:r w:rsidR="00681463">
              <w:t>with</w:t>
            </w:r>
            <w:r w:rsidR="00681463">
              <w:rPr>
                <w:spacing w:val="-1"/>
              </w:rPr>
              <w:t xml:space="preserve"> </w:t>
            </w:r>
            <w:r w:rsidR="00681463">
              <w:t>Disabilities</w:t>
            </w:r>
            <w:r w:rsidR="00681463">
              <w:tab/>
              <w:t>378</w:t>
            </w:r>
          </w:hyperlink>
        </w:p>
        <w:p w:rsidR="004E13A5" w:rsidRDefault="00BA59C9">
          <w:pPr>
            <w:pStyle w:val="TOC4"/>
            <w:tabs>
              <w:tab w:val="right" w:leader="dot" w:pos="9461"/>
            </w:tabs>
          </w:pPr>
          <w:hyperlink w:anchor="_TOC_250087" w:history="1">
            <w:r w:rsidR="00681463">
              <w:t>17-III.D.</w:t>
            </w:r>
            <w:r w:rsidR="00681463">
              <w:rPr>
                <w:spacing w:val="53"/>
              </w:rPr>
              <w:t xml:space="preserve"> </w:t>
            </w:r>
            <w:r w:rsidR="00681463">
              <w:t>Inspecting</w:t>
            </w:r>
            <w:r w:rsidR="00681463">
              <w:rPr>
                <w:spacing w:val="-4"/>
              </w:rPr>
              <w:t xml:space="preserve"> </w:t>
            </w:r>
            <w:r w:rsidR="00681463">
              <w:t>Units</w:t>
            </w:r>
            <w:r w:rsidR="00681463">
              <w:tab/>
              <w:t>378</w:t>
            </w:r>
          </w:hyperlink>
        </w:p>
        <w:p w:rsidR="004E13A5" w:rsidRDefault="00BA59C9">
          <w:pPr>
            <w:pStyle w:val="TOC8"/>
            <w:tabs>
              <w:tab w:val="right" w:leader="dot" w:pos="9461"/>
            </w:tabs>
          </w:pPr>
          <w:hyperlink w:anchor="_TOC_250086" w:history="1">
            <w:r w:rsidR="00681463">
              <w:t>Pre-selection Inspection [24 CFR</w:t>
            </w:r>
            <w:r w:rsidR="00681463">
              <w:rPr>
                <w:spacing w:val="-1"/>
              </w:rPr>
              <w:t xml:space="preserve"> </w:t>
            </w:r>
            <w:r w:rsidR="00681463">
              <w:t>983.103(a)]</w:t>
            </w:r>
            <w:r w:rsidR="00681463">
              <w:tab/>
              <w:t>378</w:t>
            </w:r>
          </w:hyperlink>
        </w:p>
        <w:p w:rsidR="004E13A5" w:rsidRDefault="00681463">
          <w:pPr>
            <w:pStyle w:val="TOC8"/>
            <w:tabs>
              <w:tab w:val="right" w:leader="dot" w:pos="9461"/>
            </w:tabs>
            <w:ind w:right="117"/>
          </w:pPr>
          <w:r>
            <w:t>Pre-HAP Contract Inspections [24 CFR 983.103(b), FR Notice 1/18/17, and Notice</w:t>
          </w:r>
          <w:r>
            <w:rPr>
              <w:spacing w:val="-3"/>
            </w:rPr>
            <w:t xml:space="preserve"> </w:t>
          </w:r>
          <w:r>
            <w:t>PIH 2017-20]</w:t>
          </w:r>
          <w:r>
            <w:tab/>
            <w:t>378</w:t>
          </w:r>
        </w:p>
        <w:p w:rsidR="004E13A5" w:rsidRDefault="00681463">
          <w:pPr>
            <w:pStyle w:val="TOC8"/>
            <w:tabs>
              <w:tab w:val="right" w:leader="dot" w:pos="9461"/>
            </w:tabs>
          </w:pPr>
          <w:r>
            <w:t>Turnover Inspections [24 CFR</w:t>
          </w:r>
          <w:r>
            <w:rPr>
              <w:spacing w:val="-1"/>
            </w:rPr>
            <w:t xml:space="preserve"> </w:t>
          </w:r>
          <w:r>
            <w:t>983.103(c)]</w:t>
          </w:r>
          <w:r>
            <w:tab/>
            <w:t>378</w:t>
          </w:r>
        </w:p>
        <w:p w:rsidR="004E13A5" w:rsidRDefault="00681463">
          <w:pPr>
            <w:pStyle w:val="TOC8"/>
          </w:pPr>
          <w:r>
            <w:t>Annual/Biennial Inspections [24 CFR 983.103(d),</w:t>
          </w:r>
        </w:p>
        <w:p w:rsidR="004E13A5" w:rsidRDefault="00681463">
          <w:pPr>
            <w:pStyle w:val="TOC8"/>
            <w:tabs>
              <w:tab w:val="right" w:leader="dot" w:pos="9461"/>
            </w:tabs>
          </w:pPr>
          <w:r>
            <w:t>FR</w:t>
          </w:r>
          <w:r>
            <w:rPr>
              <w:spacing w:val="-1"/>
            </w:rPr>
            <w:t xml:space="preserve"> </w:t>
          </w:r>
          <w:r>
            <w:t>Notice</w:t>
          </w:r>
          <w:r>
            <w:rPr>
              <w:spacing w:val="-2"/>
            </w:rPr>
            <w:t xml:space="preserve"> </w:t>
          </w:r>
          <w:r>
            <w:t>6/25/14]</w:t>
          </w:r>
          <w:r>
            <w:tab/>
            <w:t>379</w:t>
          </w:r>
        </w:p>
        <w:p w:rsidR="004E13A5" w:rsidRDefault="00BA59C9">
          <w:pPr>
            <w:pStyle w:val="TOC8"/>
            <w:tabs>
              <w:tab w:val="right" w:leader="dot" w:pos="9461"/>
            </w:tabs>
          </w:pPr>
          <w:hyperlink w:anchor="_TOC_250085" w:history="1">
            <w:r w:rsidR="00681463">
              <w:t>Other Inspections [24 CFR</w:t>
            </w:r>
            <w:r w:rsidR="00681463">
              <w:rPr>
                <w:spacing w:val="-1"/>
              </w:rPr>
              <w:t xml:space="preserve"> </w:t>
            </w:r>
            <w:r w:rsidR="00681463">
              <w:t>983.103(e)]</w:t>
            </w:r>
            <w:r w:rsidR="00681463">
              <w:tab/>
              <w:t>379</w:t>
            </w:r>
          </w:hyperlink>
        </w:p>
        <w:p w:rsidR="004E13A5" w:rsidRDefault="00BA59C9">
          <w:pPr>
            <w:pStyle w:val="TOC8"/>
            <w:tabs>
              <w:tab w:val="right" w:leader="dot" w:pos="9461"/>
            </w:tabs>
          </w:pPr>
          <w:hyperlink w:anchor="_TOC_250084" w:history="1">
            <w:r w:rsidR="00681463">
              <w:t>Inspecting PHA-Owned Units [24</w:t>
            </w:r>
            <w:r w:rsidR="00681463">
              <w:rPr>
                <w:spacing w:val="-3"/>
              </w:rPr>
              <w:t xml:space="preserve"> </w:t>
            </w:r>
            <w:r w:rsidR="00681463">
              <w:t>CFR</w:t>
            </w:r>
            <w:r w:rsidR="00681463">
              <w:rPr>
                <w:spacing w:val="-1"/>
              </w:rPr>
              <w:t xml:space="preserve"> </w:t>
            </w:r>
            <w:r w:rsidR="00681463">
              <w:t>983.103(f)]</w:t>
            </w:r>
            <w:r w:rsidR="00681463">
              <w:tab/>
              <w:t>379</w:t>
            </w:r>
          </w:hyperlink>
        </w:p>
        <w:p w:rsidR="004E13A5" w:rsidRDefault="00681463">
          <w:pPr>
            <w:pStyle w:val="TOC3"/>
            <w:tabs>
              <w:tab w:val="left" w:pos="1360"/>
              <w:tab w:val="right" w:leader="dot" w:pos="9461"/>
            </w:tabs>
          </w:pPr>
          <w:r>
            <w:t>PART IV:</w:t>
          </w:r>
          <w:r>
            <w:tab/>
            <w:t>REHABILITATED AND NEWLY CONSTRUCTED</w:t>
          </w:r>
          <w:r>
            <w:rPr>
              <w:spacing w:val="-2"/>
            </w:rPr>
            <w:t xml:space="preserve"> </w:t>
          </w:r>
          <w:r>
            <w:t>UNITS</w:t>
          </w:r>
          <w:r>
            <w:tab/>
            <w:t>379</w:t>
          </w:r>
        </w:p>
        <w:p w:rsidR="004E13A5" w:rsidRDefault="00681463">
          <w:pPr>
            <w:pStyle w:val="TOC4"/>
            <w:tabs>
              <w:tab w:val="right" w:leader="dot" w:pos="9461"/>
            </w:tabs>
          </w:pPr>
          <w:r>
            <w:t>17-IV.A.  Overview [24</w:t>
          </w:r>
          <w:r>
            <w:rPr>
              <w:spacing w:val="-21"/>
            </w:rPr>
            <w:t xml:space="preserve"> </w:t>
          </w:r>
          <w:r>
            <w:t>CFR</w:t>
          </w:r>
          <w:r>
            <w:rPr>
              <w:spacing w:val="-1"/>
            </w:rPr>
            <w:t xml:space="preserve"> </w:t>
          </w:r>
          <w:r>
            <w:t>983.151]</w:t>
          </w:r>
          <w:r>
            <w:tab/>
            <w:t>379</w:t>
          </w:r>
        </w:p>
        <w:p w:rsidR="004E13A5" w:rsidRDefault="00BA59C9">
          <w:pPr>
            <w:pStyle w:val="TOC4"/>
            <w:tabs>
              <w:tab w:val="right" w:leader="dot" w:pos="9461"/>
            </w:tabs>
          </w:pPr>
          <w:hyperlink w:anchor="_TOC_250083" w:history="1">
            <w:r w:rsidR="00681463">
              <w:t>17-IV.B.  Agreement to Enter into</w:t>
            </w:r>
            <w:r w:rsidR="00681463">
              <w:rPr>
                <w:spacing w:val="-10"/>
              </w:rPr>
              <w:t xml:space="preserve"> </w:t>
            </w:r>
            <w:r w:rsidR="00681463">
              <w:t>HAP</w:t>
            </w:r>
            <w:r w:rsidR="00681463">
              <w:rPr>
                <w:spacing w:val="-1"/>
              </w:rPr>
              <w:t xml:space="preserve"> </w:t>
            </w:r>
            <w:r w:rsidR="00681463">
              <w:t>Contract</w:t>
            </w:r>
            <w:r w:rsidR="00681463">
              <w:tab/>
              <w:t>379</w:t>
            </w:r>
          </w:hyperlink>
        </w:p>
        <w:p w:rsidR="004E13A5" w:rsidRDefault="00BA59C9">
          <w:pPr>
            <w:pStyle w:val="TOC8"/>
            <w:tabs>
              <w:tab w:val="right" w:leader="dot" w:pos="9461"/>
            </w:tabs>
          </w:pPr>
          <w:hyperlink w:anchor="_TOC_250082" w:history="1">
            <w:r w:rsidR="00681463">
              <w:t>Content of the Agreement [24</w:t>
            </w:r>
            <w:r w:rsidR="00681463">
              <w:rPr>
                <w:spacing w:val="-2"/>
              </w:rPr>
              <w:t xml:space="preserve"> </w:t>
            </w:r>
            <w:r w:rsidR="00681463">
              <w:t>CFR</w:t>
            </w:r>
            <w:r w:rsidR="00681463">
              <w:rPr>
                <w:spacing w:val="-1"/>
              </w:rPr>
              <w:t xml:space="preserve"> </w:t>
            </w:r>
            <w:r w:rsidR="00681463">
              <w:t>983.152(d)]</w:t>
            </w:r>
            <w:r w:rsidR="00681463">
              <w:tab/>
              <w:t>380</w:t>
            </w:r>
          </w:hyperlink>
        </w:p>
        <w:p w:rsidR="004E13A5" w:rsidRDefault="00681463">
          <w:pPr>
            <w:pStyle w:val="TOC8"/>
          </w:pPr>
          <w:r>
            <w:t>Execution of the Agreement</w:t>
          </w:r>
        </w:p>
        <w:p w:rsidR="004E13A5" w:rsidRDefault="00681463">
          <w:pPr>
            <w:pStyle w:val="TOC8"/>
            <w:tabs>
              <w:tab w:val="right" w:leader="dot" w:pos="9461"/>
            </w:tabs>
          </w:pPr>
          <w:r>
            <w:t>[24 CFR 983.153]</w:t>
          </w:r>
          <w:r>
            <w:tab/>
            <w:t>380</w:t>
          </w:r>
        </w:p>
        <w:p w:rsidR="004E13A5" w:rsidRDefault="00BA59C9">
          <w:pPr>
            <w:pStyle w:val="TOC4"/>
            <w:tabs>
              <w:tab w:val="right" w:leader="dot" w:pos="9461"/>
            </w:tabs>
          </w:pPr>
          <w:hyperlink w:anchor="_TOC_250081" w:history="1">
            <w:r w:rsidR="00681463">
              <w:t>17-IV.C.  Conduct of</w:t>
            </w:r>
            <w:r w:rsidR="00681463">
              <w:rPr>
                <w:spacing w:val="-8"/>
              </w:rPr>
              <w:t xml:space="preserve"> </w:t>
            </w:r>
            <w:r w:rsidR="00681463">
              <w:t>Development</w:t>
            </w:r>
            <w:r w:rsidR="00681463">
              <w:rPr>
                <w:spacing w:val="1"/>
              </w:rPr>
              <w:t xml:space="preserve"> </w:t>
            </w:r>
            <w:r w:rsidR="00681463">
              <w:t>Work</w:t>
            </w:r>
            <w:r w:rsidR="00681463">
              <w:tab/>
              <w:t>381</w:t>
            </w:r>
          </w:hyperlink>
        </w:p>
        <w:p w:rsidR="004E13A5" w:rsidRDefault="00BA59C9">
          <w:pPr>
            <w:pStyle w:val="TOC8"/>
            <w:tabs>
              <w:tab w:val="right" w:leader="dot" w:pos="9461"/>
            </w:tabs>
          </w:pPr>
          <w:hyperlink w:anchor="_TOC_250080" w:history="1">
            <w:r w:rsidR="00681463">
              <w:t>Labor Standards [24</w:t>
            </w:r>
            <w:r w:rsidR="00681463">
              <w:rPr>
                <w:spacing w:val="-1"/>
              </w:rPr>
              <w:t xml:space="preserve"> </w:t>
            </w:r>
            <w:r w:rsidR="00681463">
              <w:t>CFR</w:t>
            </w:r>
            <w:r w:rsidR="00681463">
              <w:rPr>
                <w:spacing w:val="-1"/>
              </w:rPr>
              <w:t xml:space="preserve"> </w:t>
            </w:r>
            <w:r w:rsidR="00681463">
              <w:t>983.154(b)]</w:t>
            </w:r>
            <w:r w:rsidR="00681463">
              <w:tab/>
              <w:t>381</w:t>
            </w:r>
          </w:hyperlink>
        </w:p>
        <w:p w:rsidR="004E13A5" w:rsidRDefault="00BA59C9">
          <w:pPr>
            <w:pStyle w:val="TOC8"/>
            <w:tabs>
              <w:tab w:val="right" w:leader="dot" w:pos="9461"/>
            </w:tabs>
          </w:pPr>
          <w:hyperlink w:anchor="_TOC_250079" w:history="1">
            <w:r w:rsidR="00681463">
              <w:t>Owner Disclosure [24 CFR 983.154(d)</w:t>
            </w:r>
            <w:r w:rsidR="00681463">
              <w:rPr>
                <w:spacing w:val="-3"/>
              </w:rPr>
              <w:t xml:space="preserve"> </w:t>
            </w:r>
            <w:r w:rsidR="00681463">
              <w:t>and</w:t>
            </w:r>
            <w:r w:rsidR="00681463">
              <w:rPr>
                <w:spacing w:val="1"/>
              </w:rPr>
              <w:t xml:space="preserve"> </w:t>
            </w:r>
            <w:r w:rsidR="00681463">
              <w:t>(e)]</w:t>
            </w:r>
            <w:r w:rsidR="00681463">
              <w:tab/>
              <w:t>381</w:t>
            </w:r>
          </w:hyperlink>
        </w:p>
        <w:p w:rsidR="004E13A5" w:rsidRDefault="00BA59C9">
          <w:pPr>
            <w:pStyle w:val="TOC4"/>
            <w:tabs>
              <w:tab w:val="right" w:leader="dot" w:pos="9461"/>
            </w:tabs>
          </w:pPr>
          <w:hyperlink w:anchor="_TOC_250078" w:history="1">
            <w:r w:rsidR="00681463">
              <w:t>17-IV.D.  Completion</w:t>
            </w:r>
            <w:r w:rsidR="00681463">
              <w:rPr>
                <w:spacing w:val="-20"/>
              </w:rPr>
              <w:t xml:space="preserve"> </w:t>
            </w:r>
            <w:r w:rsidR="00681463">
              <w:t>of</w:t>
            </w:r>
            <w:r w:rsidR="00681463">
              <w:rPr>
                <w:spacing w:val="-1"/>
              </w:rPr>
              <w:t xml:space="preserve"> </w:t>
            </w:r>
            <w:r w:rsidR="00681463">
              <w:t>Housing</w:t>
            </w:r>
            <w:r w:rsidR="00681463">
              <w:tab/>
              <w:t>381</w:t>
            </w:r>
          </w:hyperlink>
        </w:p>
        <w:p w:rsidR="004E13A5" w:rsidRDefault="00BA59C9">
          <w:pPr>
            <w:pStyle w:val="TOC8"/>
            <w:tabs>
              <w:tab w:val="right" w:leader="dot" w:pos="9461"/>
            </w:tabs>
          </w:pPr>
          <w:hyperlink w:anchor="_TOC_250077" w:history="1">
            <w:r w:rsidR="00681463">
              <w:t>Evidence of Completion [24 CFR</w:t>
            </w:r>
            <w:r w:rsidR="00681463">
              <w:rPr>
                <w:spacing w:val="-1"/>
              </w:rPr>
              <w:t xml:space="preserve"> </w:t>
            </w:r>
            <w:r w:rsidR="00681463">
              <w:t>983.155(b)]</w:t>
            </w:r>
            <w:r w:rsidR="00681463">
              <w:tab/>
              <w:t>381</w:t>
            </w:r>
          </w:hyperlink>
        </w:p>
        <w:p w:rsidR="004E13A5" w:rsidRDefault="00BA59C9">
          <w:pPr>
            <w:pStyle w:val="TOC8"/>
            <w:tabs>
              <w:tab w:val="right" w:leader="dot" w:pos="9461"/>
            </w:tabs>
          </w:pPr>
          <w:hyperlink w:anchor="_TOC_250076" w:history="1">
            <w:r w:rsidR="00681463">
              <w:t>PHA Acceptance of Completed Units [24</w:t>
            </w:r>
            <w:r w:rsidR="00681463">
              <w:rPr>
                <w:spacing w:val="-5"/>
              </w:rPr>
              <w:t xml:space="preserve"> </w:t>
            </w:r>
            <w:r w:rsidR="00681463">
              <w:t>CFR</w:t>
            </w:r>
            <w:r w:rsidR="00681463">
              <w:rPr>
                <w:spacing w:val="-1"/>
              </w:rPr>
              <w:t xml:space="preserve"> </w:t>
            </w:r>
            <w:r w:rsidR="00681463">
              <w:t>983.156]</w:t>
            </w:r>
            <w:r w:rsidR="00681463">
              <w:tab/>
              <w:t>381</w:t>
            </w:r>
          </w:hyperlink>
        </w:p>
        <w:p w:rsidR="004E13A5" w:rsidRDefault="00681463">
          <w:pPr>
            <w:pStyle w:val="TOC3"/>
            <w:tabs>
              <w:tab w:val="left" w:pos="1360"/>
              <w:tab w:val="right" w:leader="dot" w:pos="9461"/>
            </w:tabs>
            <w:spacing w:before="119"/>
          </w:pPr>
          <w:r>
            <w:t>PART</w:t>
          </w:r>
          <w:r>
            <w:rPr>
              <w:spacing w:val="-1"/>
            </w:rPr>
            <w:t xml:space="preserve"> </w:t>
          </w:r>
          <w:r>
            <w:t>V:</w:t>
          </w:r>
          <w:r>
            <w:tab/>
            <w:t>HOUSING ASSISTANCE PAYMENTS</w:t>
          </w:r>
          <w:r>
            <w:rPr>
              <w:spacing w:val="-2"/>
            </w:rPr>
            <w:t xml:space="preserve"> </w:t>
          </w:r>
          <w:r>
            <w:t>CONTRACT</w:t>
          </w:r>
          <w:r>
            <w:rPr>
              <w:spacing w:val="-1"/>
            </w:rPr>
            <w:t xml:space="preserve"> </w:t>
          </w:r>
          <w:r>
            <w:t>(HAP)</w:t>
          </w:r>
          <w:r>
            <w:tab/>
            <w:t>382</w:t>
          </w:r>
        </w:p>
        <w:p w:rsidR="004E13A5" w:rsidRDefault="00681463">
          <w:pPr>
            <w:pStyle w:val="TOC4"/>
            <w:tabs>
              <w:tab w:val="right" w:leader="dot" w:pos="9461"/>
            </w:tabs>
          </w:pPr>
          <w:r>
            <w:t xml:space="preserve">17-V.A. </w:t>
          </w:r>
          <w:r>
            <w:rPr>
              <w:spacing w:val="59"/>
            </w:rPr>
            <w:t xml:space="preserve"> </w:t>
          </w:r>
          <w:r>
            <w:t>Overview</w:t>
          </w:r>
          <w:r>
            <w:tab/>
            <w:t>382</w:t>
          </w:r>
        </w:p>
        <w:p w:rsidR="004E13A5" w:rsidRDefault="00BA59C9">
          <w:pPr>
            <w:pStyle w:val="TOC4"/>
            <w:tabs>
              <w:tab w:val="right" w:leader="dot" w:pos="9461"/>
            </w:tabs>
          </w:pPr>
          <w:hyperlink w:anchor="_TOC_250075" w:history="1">
            <w:r w:rsidR="00681463">
              <w:t>17-V.B.   HAP</w:t>
            </w:r>
            <w:r w:rsidR="00681463">
              <w:rPr>
                <w:spacing w:val="13"/>
              </w:rPr>
              <w:t xml:space="preserve"> </w:t>
            </w:r>
            <w:r w:rsidR="00681463">
              <w:t>Contract</w:t>
            </w:r>
            <w:r w:rsidR="00681463">
              <w:rPr>
                <w:spacing w:val="-1"/>
              </w:rPr>
              <w:t xml:space="preserve"> </w:t>
            </w:r>
            <w:r w:rsidR="00681463">
              <w:t>Requirements</w:t>
            </w:r>
            <w:r w:rsidR="00681463">
              <w:tab/>
              <w:t>382</w:t>
            </w:r>
          </w:hyperlink>
        </w:p>
        <w:p w:rsidR="004E13A5" w:rsidRDefault="00BA59C9">
          <w:pPr>
            <w:pStyle w:val="TOC8"/>
            <w:tabs>
              <w:tab w:val="right" w:leader="dot" w:pos="9461"/>
            </w:tabs>
          </w:pPr>
          <w:hyperlink w:anchor="_TOC_250074" w:history="1">
            <w:r w:rsidR="00681463">
              <w:t>Contract Information [24 CFR</w:t>
            </w:r>
            <w:r w:rsidR="00681463">
              <w:rPr>
                <w:spacing w:val="-1"/>
              </w:rPr>
              <w:t xml:space="preserve"> </w:t>
            </w:r>
            <w:r w:rsidR="00681463">
              <w:t>983.203]</w:t>
            </w:r>
            <w:r w:rsidR="00681463">
              <w:tab/>
              <w:t>382</w:t>
            </w:r>
          </w:hyperlink>
        </w:p>
        <w:p w:rsidR="004E13A5" w:rsidRDefault="00BA59C9">
          <w:pPr>
            <w:pStyle w:val="TOC8"/>
            <w:tabs>
              <w:tab w:val="right" w:leader="dot" w:pos="9461"/>
            </w:tabs>
          </w:pPr>
          <w:hyperlink w:anchor="_TOC_250073" w:history="1">
            <w:r w:rsidR="00681463">
              <w:t>Execution of the HAP Contract [24</w:t>
            </w:r>
            <w:r w:rsidR="00681463">
              <w:rPr>
                <w:spacing w:val="-3"/>
              </w:rPr>
              <w:t xml:space="preserve"> </w:t>
            </w:r>
            <w:r w:rsidR="00681463">
              <w:t>CFR</w:t>
            </w:r>
            <w:r w:rsidR="00681463">
              <w:rPr>
                <w:spacing w:val="-1"/>
              </w:rPr>
              <w:t xml:space="preserve"> </w:t>
            </w:r>
            <w:r w:rsidR="00681463">
              <w:t>983.204]</w:t>
            </w:r>
            <w:r w:rsidR="00681463">
              <w:tab/>
              <w:t>382</w:t>
            </w:r>
          </w:hyperlink>
        </w:p>
        <w:p w:rsidR="004E13A5" w:rsidRDefault="00BA59C9">
          <w:pPr>
            <w:pStyle w:val="TOC8"/>
            <w:tabs>
              <w:tab w:val="right" w:leader="dot" w:pos="9461"/>
            </w:tabs>
            <w:ind w:right="117"/>
          </w:pPr>
          <w:hyperlink w:anchor="_TOC_250072" w:history="1">
            <w:r w:rsidR="00681463">
              <w:t>Term of HAP Contract [24 CFR 983.205, FR Notice 1/18/17, and Notice</w:t>
            </w:r>
            <w:r w:rsidR="00681463">
              <w:rPr>
                <w:spacing w:val="-3"/>
              </w:rPr>
              <w:t xml:space="preserve"> </w:t>
            </w:r>
            <w:r w:rsidR="00681463">
              <w:t>PIH</w:t>
            </w:r>
            <w:r w:rsidR="00681463">
              <w:rPr>
                <w:spacing w:val="-1"/>
              </w:rPr>
              <w:t xml:space="preserve"> </w:t>
            </w:r>
            <w:r w:rsidR="00681463">
              <w:t>2017-21]</w:t>
            </w:r>
            <w:r w:rsidR="00681463">
              <w:tab/>
              <w:t>383</w:t>
            </w:r>
          </w:hyperlink>
        </w:p>
        <w:p w:rsidR="004E13A5" w:rsidRDefault="00681463">
          <w:pPr>
            <w:pStyle w:val="TOC8"/>
          </w:pPr>
          <w:r>
            <w:t>Statutory Notice Requirements: Contract Termination</w:t>
          </w:r>
        </w:p>
        <w:p w:rsidR="004E13A5" w:rsidRDefault="00681463">
          <w:pPr>
            <w:pStyle w:val="TOC8"/>
            <w:tabs>
              <w:tab w:val="right" w:leader="dot" w:pos="9461"/>
            </w:tabs>
            <w:ind w:right="117"/>
          </w:pPr>
          <w:r>
            <w:t>or Expiration [24 CFR 983.206; FR Notice 1/18/17; and Notice PIH 2017-21]</w:t>
          </w:r>
          <w:r>
            <w:tab/>
            <w:t>384</w:t>
          </w:r>
        </w:p>
        <w:p w:rsidR="004E13A5" w:rsidRDefault="00BA59C9">
          <w:pPr>
            <w:pStyle w:val="TOC8"/>
            <w:tabs>
              <w:tab w:val="right" w:leader="dot" w:pos="9461"/>
            </w:tabs>
          </w:pPr>
          <w:hyperlink w:anchor="_TOC_250071" w:history="1">
            <w:r w:rsidR="00681463">
              <w:t xml:space="preserve">Remedies for </w:t>
            </w:r>
            <w:r w:rsidR="002C4221">
              <w:t>NSPIRE</w:t>
            </w:r>
            <w:r w:rsidR="00681463">
              <w:t xml:space="preserve"> Violations [24</w:t>
            </w:r>
            <w:r w:rsidR="00681463">
              <w:rPr>
                <w:spacing w:val="-3"/>
              </w:rPr>
              <w:t xml:space="preserve"> </w:t>
            </w:r>
            <w:r w:rsidR="00681463">
              <w:t>CFR</w:t>
            </w:r>
            <w:r w:rsidR="00681463">
              <w:rPr>
                <w:spacing w:val="-1"/>
              </w:rPr>
              <w:t xml:space="preserve"> </w:t>
            </w:r>
            <w:r w:rsidR="00681463">
              <w:t>983.208(b)]</w:t>
            </w:r>
            <w:r w:rsidR="00681463">
              <w:tab/>
              <w:t>385</w:t>
            </w:r>
          </w:hyperlink>
        </w:p>
        <w:p w:rsidR="004E13A5" w:rsidRDefault="00BA59C9">
          <w:pPr>
            <w:pStyle w:val="TOC4"/>
            <w:tabs>
              <w:tab w:val="right" w:leader="dot" w:pos="9461"/>
            </w:tabs>
          </w:pPr>
          <w:hyperlink w:anchor="_TOC_250070" w:history="1">
            <w:r w:rsidR="00681463">
              <w:t>17-V.C.   Amendments to the</w:t>
            </w:r>
            <w:r w:rsidR="00681463">
              <w:rPr>
                <w:spacing w:val="10"/>
              </w:rPr>
              <w:t xml:space="preserve"> </w:t>
            </w:r>
            <w:r w:rsidR="00681463">
              <w:t>HAP</w:t>
            </w:r>
            <w:r w:rsidR="00681463">
              <w:rPr>
                <w:spacing w:val="-1"/>
              </w:rPr>
              <w:t xml:space="preserve"> </w:t>
            </w:r>
            <w:r w:rsidR="00681463">
              <w:t>Contract</w:t>
            </w:r>
            <w:r w:rsidR="00681463">
              <w:tab/>
              <w:t>385</w:t>
            </w:r>
          </w:hyperlink>
        </w:p>
        <w:p w:rsidR="004E13A5" w:rsidRDefault="00BA59C9">
          <w:pPr>
            <w:pStyle w:val="TOC8"/>
            <w:tabs>
              <w:tab w:val="right" w:leader="dot" w:pos="9461"/>
            </w:tabs>
            <w:spacing w:before="79"/>
          </w:pPr>
          <w:hyperlink w:anchor="_TOC_250069" w:history="1">
            <w:r w:rsidR="00681463">
              <w:t>Substitution of Contract Units [24</w:t>
            </w:r>
            <w:r w:rsidR="00681463">
              <w:rPr>
                <w:spacing w:val="-3"/>
              </w:rPr>
              <w:t xml:space="preserve"> </w:t>
            </w:r>
            <w:r w:rsidR="00681463">
              <w:t>CFR</w:t>
            </w:r>
            <w:r w:rsidR="00681463">
              <w:rPr>
                <w:spacing w:val="-1"/>
              </w:rPr>
              <w:t xml:space="preserve"> </w:t>
            </w:r>
            <w:r w:rsidR="00681463">
              <w:t>983.207(a)]</w:t>
            </w:r>
            <w:r w:rsidR="00681463">
              <w:tab/>
              <w:t>385</w:t>
            </w:r>
          </w:hyperlink>
        </w:p>
        <w:p w:rsidR="004E13A5" w:rsidRDefault="00681463">
          <w:pPr>
            <w:pStyle w:val="TOC8"/>
            <w:tabs>
              <w:tab w:val="right" w:leader="dot" w:pos="9461"/>
            </w:tabs>
            <w:ind w:right="117"/>
          </w:pPr>
          <w:r>
            <w:t>Addition of Contract Units [24 CFR 983.207(b) and Notice PIH 2017- 21]</w:t>
          </w:r>
          <w:r>
            <w:tab/>
            <w:t>385</w:t>
          </w:r>
        </w:p>
        <w:p w:rsidR="004E13A5" w:rsidRDefault="00681463">
          <w:pPr>
            <w:pStyle w:val="TOC4"/>
          </w:pPr>
          <w:r>
            <w:t>17-V.D.   HAP Contract Year, Anniversary and Expiration Dates</w:t>
          </w:r>
        </w:p>
        <w:p w:rsidR="004E13A5" w:rsidRDefault="00681463">
          <w:pPr>
            <w:pStyle w:val="TOC7"/>
            <w:tabs>
              <w:tab w:val="right" w:leader="dot" w:pos="9461"/>
            </w:tabs>
          </w:pPr>
          <w:r>
            <w:t>[24 CFR 983.207(b)</w:t>
          </w:r>
          <w:r>
            <w:rPr>
              <w:spacing w:val="-1"/>
            </w:rPr>
            <w:t xml:space="preserve"> </w:t>
          </w:r>
          <w:r>
            <w:t>and</w:t>
          </w:r>
          <w:r>
            <w:rPr>
              <w:spacing w:val="-1"/>
            </w:rPr>
            <w:t xml:space="preserve"> </w:t>
          </w:r>
          <w:r>
            <w:t>983.302(e)]</w:t>
          </w:r>
          <w:r>
            <w:tab/>
            <w:t>385</w:t>
          </w:r>
        </w:p>
        <w:p w:rsidR="004E13A5" w:rsidRDefault="00BA59C9">
          <w:pPr>
            <w:pStyle w:val="TOC4"/>
            <w:tabs>
              <w:tab w:val="left" w:pos="2332"/>
              <w:tab w:val="right" w:leader="dot" w:pos="9461"/>
            </w:tabs>
          </w:pPr>
          <w:hyperlink w:anchor="_TOC_250068" w:history="1">
            <w:r w:rsidR="00681463">
              <w:t>17-V.E.</w:t>
            </w:r>
            <w:r w:rsidR="00681463">
              <w:tab/>
              <w:t>Owner Responsibilities Under the HAP [24</w:t>
            </w:r>
            <w:r w:rsidR="00681463">
              <w:rPr>
                <w:spacing w:val="-2"/>
              </w:rPr>
              <w:t xml:space="preserve"> </w:t>
            </w:r>
            <w:r w:rsidR="00681463">
              <w:t>CFR</w:t>
            </w:r>
            <w:r w:rsidR="00681463">
              <w:rPr>
                <w:spacing w:val="-1"/>
              </w:rPr>
              <w:t xml:space="preserve"> </w:t>
            </w:r>
            <w:r w:rsidR="00681463">
              <w:t>983.210]</w:t>
            </w:r>
            <w:r w:rsidR="00681463">
              <w:tab/>
              <w:t>386</w:t>
            </w:r>
          </w:hyperlink>
        </w:p>
        <w:p w:rsidR="004E13A5" w:rsidRDefault="00BA59C9">
          <w:pPr>
            <w:pStyle w:val="TOC4"/>
            <w:tabs>
              <w:tab w:val="left" w:pos="2332"/>
              <w:tab w:val="right" w:leader="dot" w:pos="9461"/>
            </w:tabs>
          </w:pPr>
          <w:hyperlink w:anchor="_TOC_250067" w:history="1">
            <w:r w:rsidR="00681463">
              <w:t>17-V.F.</w:t>
            </w:r>
            <w:r w:rsidR="00681463">
              <w:tab/>
              <w:t>Additional</w:t>
            </w:r>
            <w:r w:rsidR="00681463">
              <w:rPr>
                <w:spacing w:val="-1"/>
              </w:rPr>
              <w:t xml:space="preserve"> </w:t>
            </w:r>
            <w:r w:rsidR="00681463">
              <w:t>HAP</w:t>
            </w:r>
            <w:r w:rsidR="00681463">
              <w:rPr>
                <w:spacing w:val="-1"/>
              </w:rPr>
              <w:t xml:space="preserve"> </w:t>
            </w:r>
            <w:r w:rsidR="00681463">
              <w:t>Requirements</w:t>
            </w:r>
            <w:r w:rsidR="00681463">
              <w:tab/>
              <w:t>386</w:t>
            </w:r>
          </w:hyperlink>
        </w:p>
        <w:p w:rsidR="004E13A5" w:rsidRDefault="00681463">
          <w:pPr>
            <w:pStyle w:val="TOC8"/>
          </w:pPr>
          <w:r>
            <w:t>Housing Quality and Design Requirements</w:t>
          </w:r>
        </w:p>
        <w:p w:rsidR="004E13A5" w:rsidRDefault="00681463">
          <w:pPr>
            <w:pStyle w:val="TOC8"/>
            <w:tabs>
              <w:tab w:val="right" w:leader="dot" w:pos="9461"/>
            </w:tabs>
          </w:pPr>
          <w:r>
            <w:t>[24 CFR 983.101(e)</w:t>
          </w:r>
          <w:r>
            <w:rPr>
              <w:spacing w:val="-1"/>
            </w:rPr>
            <w:t xml:space="preserve"> </w:t>
          </w:r>
          <w:r>
            <w:t>and</w:t>
          </w:r>
          <w:r>
            <w:rPr>
              <w:spacing w:val="1"/>
            </w:rPr>
            <w:t xml:space="preserve"> </w:t>
          </w:r>
          <w:r>
            <w:t>983.208(a)]</w:t>
          </w:r>
          <w:r>
            <w:tab/>
            <w:t>386</w:t>
          </w:r>
        </w:p>
        <w:p w:rsidR="004E13A5" w:rsidRDefault="00BA59C9">
          <w:pPr>
            <w:pStyle w:val="TOC8"/>
            <w:tabs>
              <w:tab w:val="right" w:leader="dot" w:pos="9461"/>
            </w:tabs>
          </w:pPr>
          <w:hyperlink w:anchor="_TOC_250066" w:history="1">
            <w:r w:rsidR="00681463">
              <w:t>Vacancy Payments [24</w:t>
            </w:r>
            <w:r w:rsidR="00681463">
              <w:rPr>
                <w:spacing w:val="-7"/>
              </w:rPr>
              <w:t xml:space="preserve"> </w:t>
            </w:r>
            <w:r w:rsidR="00681463">
              <w:t>CFR</w:t>
            </w:r>
            <w:r w:rsidR="00681463">
              <w:rPr>
                <w:spacing w:val="-1"/>
              </w:rPr>
              <w:t xml:space="preserve"> </w:t>
            </w:r>
            <w:r w:rsidR="00681463">
              <w:t>983.352(b)]</w:t>
            </w:r>
            <w:r w:rsidR="00681463">
              <w:tab/>
              <w:t>387</w:t>
            </w:r>
          </w:hyperlink>
        </w:p>
        <w:p w:rsidR="004E13A5" w:rsidRDefault="00681463">
          <w:pPr>
            <w:pStyle w:val="TOC3"/>
            <w:tabs>
              <w:tab w:val="left" w:pos="1360"/>
              <w:tab w:val="right" w:leader="dot" w:pos="9461"/>
            </w:tabs>
            <w:spacing w:before="119"/>
          </w:pPr>
          <w:r>
            <w:lastRenderedPageBreak/>
            <w:t>PART</w:t>
          </w:r>
          <w:r>
            <w:rPr>
              <w:spacing w:val="-2"/>
            </w:rPr>
            <w:t xml:space="preserve"> </w:t>
          </w:r>
          <w:r>
            <w:t>VI:</w:t>
          </w:r>
          <w:r>
            <w:tab/>
            <w:t>SELECTION OF PBV</w:t>
          </w:r>
          <w:r>
            <w:rPr>
              <w:spacing w:val="-2"/>
            </w:rPr>
            <w:t xml:space="preserve"> </w:t>
          </w:r>
          <w:r>
            <w:t>PROGRAM</w:t>
          </w:r>
          <w:r>
            <w:rPr>
              <w:spacing w:val="-1"/>
            </w:rPr>
            <w:t xml:space="preserve"> </w:t>
          </w:r>
          <w:r>
            <w:t>PARTICIPANTS</w:t>
          </w:r>
          <w:r>
            <w:tab/>
            <w:t>387</w:t>
          </w:r>
        </w:p>
        <w:p w:rsidR="004E13A5" w:rsidRDefault="00681463">
          <w:pPr>
            <w:pStyle w:val="TOC4"/>
            <w:tabs>
              <w:tab w:val="right" w:leader="dot" w:pos="9461"/>
            </w:tabs>
          </w:pPr>
          <w:r>
            <w:t>17-VI.A.</w:t>
          </w:r>
          <w:r>
            <w:rPr>
              <w:spacing w:val="39"/>
            </w:rPr>
            <w:t xml:space="preserve"> </w:t>
          </w:r>
          <w:r>
            <w:t>Overview</w:t>
          </w:r>
          <w:r>
            <w:tab/>
            <w:t>387</w:t>
          </w:r>
        </w:p>
        <w:p w:rsidR="004E13A5" w:rsidRDefault="00BA59C9">
          <w:pPr>
            <w:pStyle w:val="TOC4"/>
            <w:tabs>
              <w:tab w:val="right" w:leader="dot" w:pos="9461"/>
            </w:tabs>
            <w:spacing w:before="1"/>
          </w:pPr>
          <w:hyperlink w:anchor="_TOC_250065" w:history="1">
            <w:r w:rsidR="00681463">
              <w:t>17-VI.B.  Eligibility for PBV Assistance [24 CFR 983.251(a)</w:t>
            </w:r>
            <w:r w:rsidR="00681463">
              <w:rPr>
                <w:spacing w:val="-16"/>
              </w:rPr>
              <w:t xml:space="preserve"> </w:t>
            </w:r>
            <w:r w:rsidR="00681463">
              <w:t>and</w:t>
            </w:r>
            <w:r w:rsidR="00681463">
              <w:rPr>
                <w:spacing w:val="-1"/>
              </w:rPr>
              <w:t xml:space="preserve"> </w:t>
            </w:r>
            <w:r w:rsidR="00681463">
              <w:t>(b)]</w:t>
            </w:r>
            <w:r w:rsidR="00681463">
              <w:tab/>
              <w:t>387</w:t>
            </w:r>
          </w:hyperlink>
        </w:p>
        <w:p w:rsidR="004E13A5" w:rsidRDefault="00BA59C9">
          <w:pPr>
            <w:pStyle w:val="TOC8"/>
            <w:tabs>
              <w:tab w:val="right" w:leader="dot" w:pos="9461"/>
            </w:tabs>
          </w:pPr>
          <w:hyperlink w:anchor="_TOC_250064" w:history="1">
            <w:r w:rsidR="00681463">
              <w:t>In-Place Families [24 CFR</w:t>
            </w:r>
            <w:r w:rsidR="00681463">
              <w:rPr>
                <w:spacing w:val="-1"/>
              </w:rPr>
              <w:t xml:space="preserve"> </w:t>
            </w:r>
            <w:r w:rsidR="00681463">
              <w:t>983.251(b)]</w:t>
            </w:r>
            <w:r w:rsidR="00681463">
              <w:tab/>
              <w:t>388</w:t>
            </w:r>
          </w:hyperlink>
        </w:p>
        <w:p w:rsidR="004E13A5" w:rsidRDefault="00681463">
          <w:pPr>
            <w:pStyle w:val="TOC4"/>
          </w:pPr>
          <w:r>
            <w:t>17-VI.C.  Organization of the Waiting List</w:t>
          </w:r>
        </w:p>
        <w:p w:rsidR="004E13A5" w:rsidRDefault="00681463">
          <w:pPr>
            <w:pStyle w:val="TOC7"/>
            <w:tabs>
              <w:tab w:val="right" w:leader="dot" w:pos="9461"/>
            </w:tabs>
          </w:pPr>
          <w:r>
            <w:t>[24</w:t>
          </w:r>
          <w:r>
            <w:rPr>
              <w:spacing w:val="-1"/>
            </w:rPr>
            <w:t xml:space="preserve"> </w:t>
          </w:r>
          <w:r>
            <w:t>CFR</w:t>
          </w:r>
          <w:r>
            <w:rPr>
              <w:spacing w:val="-1"/>
            </w:rPr>
            <w:t xml:space="preserve"> </w:t>
          </w:r>
          <w:r>
            <w:t>983.251(c)]</w:t>
          </w:r>
          <w:r>
            <w:tab/>
            <w:t>388</w:t>
          </w:r>
        </w:p>
        <w:p w:rsidR="004E13A5" w:rsidRDefault="00681463">
          <w:pPr>
            <w:pStyle w:val="TOC4"/>
          </w:pPr>
          <w:r>
            <w:t>17-VI.D.  Selection From the Waiting List</w:t>
          </w:r>
        </w:p>
        <w:p w:rsidR="004E13A5" w:rsidRDefault="00681463">
          <w:pPr>
            <w:pStyle w:val="TOC7"/>
            <w:tabs>
              <w:tab w:val="right" w:leader="dot" w:pos="9461"/>
            </w:tabs>
          </w:pPr>
          <w:r>
            <w:t>[24</w:t>
          </w:r>
          <w:r>
            <w:rPr>
              <w:spacing w:val="-1"/>
            </w:rPr>
            <w:t xml:space="preserve"> </w:t>
          </w:r>
          <w:r>
            <w:t>CFR</w:t>
          </w:r>
          <w:r>
            <w:rPr>
              <w:spacing w:val="-1"/>
            </w:rPr>
            <w:t xml:space="preserve"> </w:t>
          </w:r>
          <w:r>
            <w:t>983.251(c)]</w:t>
          </w:r>
          <w:r>
            <w:tab/>
            <w:t>388</w:t>
          </w:r>
        </w:p>
        <w:p w:rsidR="004E13A5" w:rsidRDefault="00BA59C9">
          <w:pPr>
            <w:pStyle w:val="TOC8"/>
            <w:tabs>
              <w:tab w:val="right" w:leader="dot" w:pos="9461"/>
            </w:tabs>
          </w:pPr>
          <w:hyperlink w:anchor="_TOC_250063" w:history="1">
            <w:r w:rsidR="00681463">
              <w:t>Income Targeting [24</w:t>
            </w:r>
            <w:r w:rsidR="00681463">
              <w:rPr>
                <w:spacing w:val="-4"/>
              </w:rPr>
              <w:t xml:space="preserve"> </w:t>
            </w:r>
            <w:r w:rsidR="00681463">
              <w:t>CFR</w:t>
            </w:r>
            <w:r w:rsidR="00681463">
              <w:rPr>
                <w:spacing w:val="-1"/>
              </w:rPr>
              <w:t xml:space="preserve"> </w:t>
            </w:r>
            <w:r w:rsidR="00681463">
              <w:t>983.251(c)(6)]</w:t>
            </w:r>
            <w:r w:rsidR="00681463">
              <w:tab/>
              <w:t>388</w:t>
            </w:r>
          </w:hyperlink>
        </w:p>
        <w:p w:rsidR="004E13A5" w:rsidRDefault="00BA59C9">
          <w:pPr>
            <w:pStyle w:val="TOC8"/>
            <w:tabs>
              <w:tab w:val="right" w:leader="dot" w:pos="9461"/>
            </w:tabs>
          </w:pPr>
          <w:hyperlink w:anchor="_TOC_250062" w:history="1">
            <w:r w:rsidR="00681463">
              <w:t>Units with Accessibility Features [24</w:t>
            </w:r>
            <w:r w:rsidR="00681463">
              <w:rPr>
                <w:spacing w:val="-5"/>
              </w:rPr>
              <w:t xml:space="preserve"> </w:t>
            </w:r>
            <w:r w:rsidR="00681463">
              <w:t>CFR</w:t>
            </w:r>
            <w:r w:rsidR="00681463">
              <w:rPr>
                <w:spacing w:val="-1"/>
              </w:rPr>
              <w:t xml:space="preserve"> </w:t>
            </w:r>
            <w:r w:rsidR="00681463">
              <w:t>983.251(c)(7)]</w:t>
            </w:r>
            <w:r w:rsidR="00681463">
              <w:tab/>
              <w:t>389</w:t>
            </w:r>
          </w:hyperlink>
        </w:p>
        <w:p w:rsidR="004E13A5" w:rsidRDefault="00BA59C9">
          <w:pPr>
            <w:pStyle w:val="TOC8"/>
            <w:tabs>
              <w:tab w:val="right" w:leader="dot" w:pos="9461"/>
            </w:tabs>
          </w:pPr>
          <w:hyperlink w:anchor="_TOC_250061" w:history="1">
            <w:r w:rsidR="00681463">
              <w:t>Preferences [24 CFR 983.251(d), FR</w:t>
            </w:r>
            <w:r w:rsidR="00681463">
              <w:rPr>
                <w:spacing w:val="-2"/>
              </w:rPr>
              <w:t xml:space="preserve"> </w:t>
            </w:r>
            <w:r w:rsidR="00681463">
              <w:t>Notice</w:t>
            </w:r>
            <w:r w:rsidR="00681463">
              <w:rPr>
                <w:spacing w:val="-2"/>
              </w:rPr>
              <w:t xml:space="preserve"> </w:t>
            </w:r>
            <w:r w:rsidR="00681463">
              <w:t>11/24/08]</w:t>
            </w:r>
            <w:r w:rsidR="00681463">
              <w:tab/>
              <w:t>389</w:t>
            </w:r>
          </w:hyperlink>
        </w:p>
        <w:p w:rsidR="004E13A5" w:rsidRDefault="00BA59C9">
          <w:pPr>
            <w:pStyle w:val="TOC4"/>
            <w:tabs>
              <w:tab w:val="right" w:leader="dot" w:pos="9461"/>
            </w:tabs>
          </w:pPr>
          <w:hyperlink w:anchor="_TOC_250060" w:history="1">
            <w:r w:rsidR="00681463">
              <w:t>17-VI.E.  Offer of</w:t>
            </w:r>
            <w:r w:rsidR="00681463">
              <w:rPr>
                <w:spacing w:val="6"/>
              </w:rPr>
              <w:t xml:space="preserve"> </w:t>
            </w:r>
            <w:r w:rsidR="00681463">
              <w:t>PBV Assistance</w:t>
            </w:r>
            <w:r w:rsidR="00681463">
              <w:tab/>
              <w:t>389</w:t>
            </w:r>
          </w:hyperlink>
        </w:p>
        <w:p w:rsidR="004E13A5" w:rsidRDefault="00BA59C9">
          <w:pPr>
            <w:pStyle w:val="TOC8"/>
            <w:tabs>
              <w:tab w:val="right" w:leader="dot" w:pos="9461"/>
            </w:tabs>
          </w:pPr>
          <w:hyperlink w:anchor="_TOC_250059" w:history="1">
            <w:r w:rsidR="00681463">
              <w:t>Refusal of Offer [24</w:t>
            </w:r>
            <w:r w:rsidR="00681463">
              <w:rPr>
                <w:spacing w:val="-1"/>
              </w:rPr>
              <w:t xml:space="preserve"> </w:t>
            </w:r>
            <w:r w:rsidR="00681463">
              <w:t>CFR</w:t>
            </w:r>
            <w:r w:rsidR="00681463">
              <w:rPr>
                <w:spacing w:val="-1"/>
              </w:rPr>
              <w:t xml:space="preserve"> </w:t>
            </w:r>
            <w:r w:rsidR="00681463">
              <w:t>983.251(e)(3)]</w:t>
            </w:r>
            <w:r w:rsidR="00681463">
              <w:tab/>
              <w:t>389</w:t>
            </w:r>
          </w:hyperlink>
        </w:p>
        <w:p w:rsidR="004E13A5" w:rsidRDefault="00BA59C9">
          <w:pPr>
            <w:pStyle w:val="TOC8"/>
            <w:tabs>
              <w:tab w:val="right" w:leader="dot" w:pos="9461"/>
            </w:tabs>
          </w:pPr>
          <w:hyperlink w:anchor="_TOC_250058" w:history="1">
            <w:r w:rsidR="00681463">
              <w:t xml:space="preserve">Disapproval </w:t>
            </w:r>
            <w:r w:rsidR="00681463">
              <w:rPr>
                <w:spacing w:val="2"/>
              </w:rPr>
              <w:t xml:space="preserve">by </w:t>
            </w:r>
            <w:r w:rsidR="00681463">
              <w:t>Landlord [24</w:t>
            </w:r>
            <w:r w:rsidR="00681463">
              <w:rPr>
                <w:spacing w:val="-6"/>
              </w:rPr>
              <w:t xml:space="preserve"> </w:t>
            </w:r>
            <w:r w:rsidR="00681463">
              <w:t>CFR</w:t>
            </w:r>
            <w:r w:rsidR="00681463">
              <w:rPr>
                <w:spacing w:val="-1"/>
              </w:rPr>
              <w:t xml:space="preserve"> </w:t>
            </w:r>
            <w:r w:rsidR="00681463">
              <w:t>983.251(e)(2)]</w:t>
            </w:r>
            <w:r w:rsidR="00681463">
              <w:tab/>
              <w:t>389</w:t>
            </w:r>
          </w:hyperlink>
        </w:p>
        <w:p w:rsidR="004E13A5" w:rsidRDefault="00BA59C9">
          <w:pPr>
            <w:pStyle w:val="TOC8"/>
            <w:tabs>
              <w:tab w:val="right" w:leader="dot" w:pos="9461"/>
            </w:tabs>
          </w:pPr>
          <w:hyperlink w:anchor="_TOC_250057" w:history="1">
            <w:r w:rsidR="00681463">
              <w:t>Acceptance of Offer [24</w:t>
            </w:r>
            <w:r w:rsidR="00681463">
              <w:rPr>
                <w:spacing w:val="-2"/>
              </w:rPr>
              <w:t xml:space="preserve"> </w:t>
            </w:r>
            <w:r w:rsidR="00681463">
              <w:t>CFR</w:t>
            </w:r>
            <w:r w:rsidR="00681463">
              <w:rPr>
                <w:spacing w:val="-1"/>
              </w:rPr>
              <w:t xml:space="preserve"> </w:t>
            </w:r>
            <w:r w:rsidR="00681463">
              <w:t>983.252]</w:t>
            </w:r>
            <w:r w:rsidR="00681463">
              <w:tab/>
              <w:t>390</w:t>
            </w:r>
          </w:hyperlink>
        </w:p>
        <w:p w:rsidR="004E13A5" w:rsidRDefault="00BA59C9">
          <w:pPr>
            <w:pStyle w:val="TOC4"/>
            <w:tabs>
              <w:tab w:val="right" w:leader="dot" w:pos="9461"/>
            </w:tabs>
          </w:pPr>
          <w:hyperlink w:anchor="_TOC_250056" w:history="1">
            <w:r w:rsidR="00681463">
              <w:t>17-VI.F.  Owner Selection</w:t>
            </w:r>
            <w:r w:rsidR="00681463">
              <w:rPr>
                <w:spacing w:val="21"/>
              </w:rPr>
              <w:t xml:space="preserve"> </w:t>
            </w:r>
            <w:r w:rsidR="00681463">
              <w:t>of</w:t>
            </w:r>
            <w:r w:rsidR="00681463">
              <w:rPr>
                <w:spacing w:val="-1"/>
              </w:rPr>
              <w:t xml:space="preserve"> </w:t>
            </w:r>
            <w:r w:rsidR="00681463">
              <w:t>Tenants</w:t>
            </w:r>
            <w:r w:rsidR="00681463">
              <w:tab/>
              <w:t>390</w:t>
            </w:r>
          </w:hyperlink>
        </w:p>
        <w:p w:rsidR="004E13A5" w:rsidRDefault="00BA59C9">
          <w:pPr>
            <w:pStyle w:val="TOC8"/>
            <w:tabs>
              <w:tab w:val="right" w:leader="dot" w:pos="9461"/>
            </w:tabs>
          </w:pPr>
          <w:hyperlink w:anchor="_TOC_250055" w:history="1">
            <w:r w:rsidR="00681463">
              <w:t>Leasing [24</w:t>
            </w:r>
            <w:r w:rsidR="00681463">
              <w:rPr>
                <w:spacing w:val="-4"/>
              </w:rPr>
              <w:t xml:space="preserve"> </w:t>
            </w:r>
            <w:r w:rsidR="00681463">
              <w:t>CFR</w:t>
            </w:r>
            <w:r w:rsidR="00681463">
              <w:rPr>
                <w:spacing w:val="-1"/>
              </w:rPr>
              <w:t xml:space="preserve"> </w:t>
            </w:r>
            <w:r w:rsidR="00681463">
              <w:t>983.253(a)]</w:t>
            </w:r>
            <w:r w:rsidR="00681463">
              <w:tab/>
              <w:t>390</w:t>
            </w:r>
          </w:hyperlink>
        </w:p>
        <w:p w:rsidR="004E13A5" w:rsidRDefault="00BA59C9">
          <w:pPr>
            <w:pStyle w:val="TOC8"/>
            <w:tabs>
              <w:tab w:val="right" w:leader="dot" w:pos="9461"/>
            </w:tabs>
          </w:pPr>
          <w:hyperlink w:anchor="_TOC_250054" w:history="1">
            <w:r w:rsidR="00681463">
              <w:t>Filling Vacancies [24</w:t>
            </w:r>
            <w:r w:rsidR="00681463">
              <w:rPr>
                <w:spacing w:val="-4"/>
              </w:rPr>
              <w:t xml:space="preserve"> </w:t>
            </w:r>
            <w:r w:rsidR="00681463">
              <w:t>CFR</w:t>
            </w:r>
            <w:r w:rsidR="00681463">
              <w:rPr>
                <w:spacing w:val="-1"/>
              </w:rPr>
              <w:t xml:space="preserve"> </w:t>
            </w:r>
            <w:r w:rsidR="00681463">
              <w:t>983.254(a)]</w:t>
            </w:r>
            <w:r w:rsidR="00681463">
              <w:tab/>
              <w:t>390</w:t>
            </w:r>
          </w:hyperlink>
        </w:p>
        <w:p w:rsidR="004E13A5" w:rsidRDefault="00681463">
          <w:pPr>
            <w:pStyle w:val="TOC8"/>
          </w:pPr>
          <w:r>
            <w:t>Reduction in HAP Contract Units Due to Vacancies</w:t>
          </w:r>
        </w:p>
        <w:p w:rsidR="004E13A5" w:rsidRDefault="00681463">
          <w:pPr>
            <w:pStyle w:val="TOC8"/>
            <w:tabs>
              <w:tab w:val="right" w:leader="dot" w:pos="9461"/>
            </w:tabs>
          </w:pPr>
          <w:r>
            <w:t>[24</w:t>
          </w:r>
          <w:r>
            <w:rPr>
              <w:spacing w:val="-1"/>
            </w:rPr>
            <w:t xml:space="preserve"> </w:t>
          </w:r>
          <w:r>
            <w:t>CFR</w:t>
          </w:r>
          <w:r>
            <w:rPr>
              <w:spacing w:val="-1"/>
            </w:rPr>
            <w:t xml:space="preserve"> </w:t>
          </w:r>
          <w:r>
            <w:t>983.254(b)]</w:t>
          </w:r>
          <w:r>
            <w:tab/>
            <w:t>391</w:t>
          </w:r>
        </w:p>
        <w:p w:rsidR="004E13A5" w:rsidRDefault="00BA59C9">
          <w:pPr>
            <w:pStyle w:val="TOC4"/>
            <w:tabs>
              <w:tab w:val="right" w:leader="dot" w:pos="9461"/>
            </w:tabs>
          </w:pPr>
          <w:hyperlink w:anchor="_TOC_250053" w:history="1">
            <w:r w:rsidR="00681463">
              <w:t>17-VI.G.  Tenant Screening [24</w:t>
            </w:r>
            <w:r w:rsidR="00681463">
              <w:rPr>
                <w:spacing w:val="-24"/>
              </w:rPr>
              <w:t xml:space="preserve"> </w:t>
            </w:r>
            <w:r w:rsidR="00681463">
              <w:t>CFR</w:t>
            </w:r>
            <w:r w:rsidR="00681463">
              <w:rPr>
                <w:spacing w:val="-1"/>
              </w:rPr>
              <w:t xml:space="preserve"> </w:t>
            </w:r>
            <w:r w:rsidR="00681463">
              <w:t>983.255]</w:t>
            </w:r>
            <w:r w:rsidR="00681463">
              <w:tab/>
              <w:t>391</w:t>
            </w:r>
          </w:hyperlink>
        </w:p>
        <w:p w:rsidR="004E13A5" w:rsidRDefault="00BA59C9">
          <w:pPr>
            <w:pStyle w:val="TOC8"/>
            <w:tabs>
              <w:tab w:val="right" w:leader="dot" w:pos="9461"/>
            </w:tabs>
          </w:pPr>
          <w:hyperlink w:anchor="_TOC_250052" w:history="1">
            <w:r w:rsidR="00681463">
              <w:t>PHA</w:t>
            </w:r>
            <w:r w:rsidR="00681463">
              <w:rPr>
                <w:spacing w:val="-1"/>
              </w:rPr>
              <w:t xml:space="preserve"> </w:t>
            </w:r>
            <w:r w:rsidR="00681463">
              <w:t>Responsibility</w:t>
            </w:r>
            <w:r w:rsidR="00681463">
              <w:tab/>
              <w:t>391</w:t>
            </w:r>
          </w:hyperlink>
        </w:p>
        <w:p w:rsidR="004E13A5" w:rsidRDefault="00BA59C9">
          <w:pPr>
            <w:pStyle w:val="TOC8"/>
            <w:tabs>
              <w:tab w:val="right" w:leader="dot" w:pos="9461"/>
            </w:tabs>
          </w:pPr>
          <w:hyperlink w:anchor="_TOC_250051" w:history="1">
            <w:r w:rsidR="00681463">
              <w:t>Owner Responsibility</w:t>
            </w:r>
            <w:r w:rsidR="00681463">
              <w:tab/>
              <w:t>392</w:t>
            </w:r>
          </w:hyperlink>
        </w:p>
        <w:p w:rsidR="004E13A5" w:rsidRDefault="00BA59C9">
          <w:pPr>
            <w:pStyle w:val="TOC3"/>
            <w:tabs>
              <w:tab w:val="right" w:leader="dot" w:pos="9461"/>
            </w:tabs>
          </w:pPr>
          <w:hyperlink w:anchor="_TOC_250050" w:history="1">
            <w:r w:rsidR="00681463">
              <w:t>PART</w:t>
            </w:r>
            <w:r w:rsidR="00681463">
              <w:rPr>
                <w:spacing w:val="-1"/>
              </w:rPr>
              <w:t xml:space="preserve"> </w:t>
            </w:r>
            <w:r w:rsidR="00681463">
              <w:t xml:space="preserve">VII:  </w:t>
            </w:r>
            <w:r w:rsidR="00681463">
              <w:rPr>
                <w:spacing w:val="9"/>
              </w:rPr>
              <w:t xml:space="preserve"> </w:t>
            </w:r>
            <w:r w:rsidR="00681463">
              <w:t>OCCUPANCY</w:t>
            </w:r>
            <w:r w:rsidR="00681463">
              <w:tab/>
              <w:t>392</w:t>
            </w:r>
          </w:hyperlink>
        </w:p>
        <w:p w:rsidR="004E13A5" w:rsidRDefault="00BA59C9">
          <w:pPr>
            <w:pStyle w:val="TOC4"/>
            <w:tabs>
              <w:tab w:val="right" w:leader="dot" w:pos="9461"/>
            </w:tabs>
          </w:pPr>
          <w:hyperlink w:anchor="_TOC_250049" w:history="1">
            <w:r w:rsidR="00681463">
              <w:t>17-VII.A.</w:t>
            </w:r>
            <w:r w:rsidR="00681463">
              <w:rPr>
                <w:spacing w:val="-39"/>
              </w:rPr>
              <w:t xml:space="preserve"> </w:t>
            </w:r>
            <w:r w:rsidR="00681463">
              <w:t>Overview</w:t>
            </w:r>
            <w:r w:rsidR="00681463">
              <w:tab/>
              <w:t>392</w:t>
            </w:r>
          </w:hyperlink>
        </w:p>
        <w:p w:rsidR="004E13A5" w:rsidRDefault="00BA59C9">
          <w:pPr>
            <w:pStyle w:val="TOC4"/>
            <w:tabs>
              <w:tab w:val="right" w:leader="dot" w:pos="9461"/>
            </w:tabs>
          </w:pPr>
          <w:hyperlink w:anchor="_TOC_250048" w:history="1">
            <w:r w:rsidR="00681463">
              <w:t>17-VII.B. Lease [24</w:t>
            </w:r>
            <w:r w:rsidR="00681463">
              <w:rPr>
                <w:spacing w:val="-29"/>
              </w:rPr>
              <w:t xml:space="preserve"> </w:t>
            </w:r>
            <w:r w:rsidR="00681463">
              <w:t>CFR</w:t>
            </w:r>
            <w:r w:rsidR="00681463">
              <w:rPr>
                <w:spacing w:val="-1"/>
              </w:rPr>
              <w:t xml:space="preserve"> </w:t>
            </w:r>
            <w:r w:rsidR="00681463">
              <w:t>983.256]</w:t>
            </w:r>
            <w:r w:rsidR="00681463">
              <w:tab/>
              <w:t>392</w:t>
            </w:r>
          </w:hyperlink>
        </w:p>
        <w:p w:rsidR="004E13A5" w:rsidRDefault="00BA59C9">
          <w:pPr>
            <w:pStyle w:val="TOC8"/>
            <w:tabs>
              <w:tab w:val="right" w:leader="dot" w:pos="9461"/>
            </w:tabs>
          </w:pPr>
          <w:hyperlink w:anchor="_TOC_250047" w:history="1">
            <w:r w:rsidR="00681463">
              <w:t>Form of Lease [24</w:t>
            </w:r>
            <w:r w:rsidR="00681463">
              <w:rPr>
                <w:spacing w:val="-1"/>
              </w:rPr>
              <w:t xml:space="preserve"> </w:t>
            </w:r>
            <w:r w:rsidR="00681463">
              <w:t>CFR</w:t>
            </w:r>
            <w:r w:rsidR="00681463">
              <w:rPr>
                <w:spacing w:val="1"/>
              </w:rPr>
              <w:t xml:space="preserve"> </w:t>
            </w:r>
            <w:r w:rsidR="00681463">
              <w:t>983.256(b)]</w:t>
            </w:r>
            <w:r w:rsidR="00681463">
              <w:tab/>
              <w:t>392</w:t>
            </w:r>
          </w:hyperlink>
        </w:p>
        <w:p w:rsidR="004E13A5" w:rsidRDefault="00BA59C9">
          <w:pPr>
            <w:pStyle w:val="TOC8"/>
            <w:tabs>
              <w:tab w:val="right" w:leader="dot" w:pos="9461"/>
            </w:tabs>
            <w:spacing w:before="1"/>
          </w:pPr>
          <w:hyperlink w:anchor="_TOC_250046" w:history="1">
            <w:r w:rsidR="00681463">
              <w:t>Lease Requirements [24</w:t>
            </w:r>
            <w:r w:rsidR="00681463">
              <w:rPr>
                <w:spacing w:val="-3"/>
              </w:rPr>
              <w:t xml:space="preserve"> </w:t>
            </w:r>
            <w:r w:rsidR="00681463">
              <w:t>CFR</w:t>
            </w:r>
            <w:r w:rsidR="00681463">
              <w:rPr>
                <w:spacing w:val="-1"/>
              </w:rPr>
              <w:t xml:space="preserve"> </w:t>
            </w:r>
            <w:r w:rsidR="00681463">
              <w:t>983.256(c)]</w:t>
            </w:r>
            <w:r w:rsidR="00681463">
              <w:tab/>
              <w:t>393</w:t>
            </w:r>
          </w:hyperlink>
        </w:p>
        <w:p w:rsidR="004E13A5" w:rsidRDefault="00BA59C9">
          <w:pPr>
            <w:pStyle w:val="TOC8"/>
            <w:tabs>
              <w:tab w:val="right" w:leader="dot" w:pos="9461"/>
            </w:tabs>
          </w:pPr>
          <w:hyperlink w:anchor="_TOC_250045" w:history="1">
            <w:r w:rsidR="00681463">
              <w:t>Tenancy Addendum [24</w:t>
            </w:r>
            <w:r w:rsidR="00681463">
              <w:rPr>
                <w:spacing w:val="-6"/>
              </w:rPr>
              <w:t xml:space="preserve"> </w:t>
            </w:r>
            <w:r w:rsidR="00681463">
              <w:t>CFR</w:t>
            </w:r>
            <w:r w:rsidR="00681463">
              <w:rPr>
                <w:spacing w:val="-1"/>
              </w:rPr>
              <w:t xml:space="preserve"> </w:t>
            </w:r>
            <w:r w:rsidR="00681463">
              <w:t>983.256(d)]</w:t>
            </w:r>
            <w:r w:rsidR="00681463">
              <w:tab/>
              <w:t>393</w:t>
            </w:r>
          </w:hyperlink>
        </w:p>
        <w:p w:rsidR="004E13A5" w:rsidRDefault="00BA59C9">
          <w:pPr>
            <w:pStyle w:val="TOC8"/>
            <w:tabs>
              <w:tab w:val="right" w:leader="dot" w:pos="9461"/>
            </w:tabs>
          </w:pPr>
          <w:hyperlink w:anchor="_TOC_250044" w:history="1">
            <w:r w:rsidR="00681463">
              <w:t>Initial Term and Lease Renewal [24</w:t>
            </w:r>
            <w:r w:rsidR="00681463">
              <w:rPr>
                <w:spacing w:val="-2"/>
              </w:rPr>
              <w:t xml:space="preserve"> </w:t>
            </w:r>
            <w:r w:rsidR="00681463">
              <w:t>CFR</w:t>
            </w:r>
            <w:r w:rsidR="00681463">
              <w:rPr>
                <w:spacing w:val="-1"/>
              </w:rPr>
              <w:t xml:space="preserve"> </w:t>
            </w:r>
            <w:r w:rsidR="00681463">
              <w:t>983.256(f)]</w:t>
            </w:r>
            <w:r w:rsidR="00681463">
              <w:tab/>
              <w:t>393</w:t>
            </w:r>
          </w:hyperlink>
        </w:p>
        <w:p w:rsidR="004E13A5" w:rsidRDefault="00BA59C9">
          <w:pPr>
            <w:pStyle w:val="TOC8"/>
            <w:tabs>
              <w:tab w:val="right" w:leader="dot" w:pos="9461"/>
            </w:tabs>
          </w:pPr>
          <w:hyperlink w:anchor="_TOC_250043" w:history="1">
            <w:r w:rsidR="00681463">
              <w:t>Changes in the Lease [24</w:t>
            </w:r>
            <w:r w:rsidR="00681463">
              <w:rPr>
                <w:spacing w:val="-1"/>
              </w:rPr>
              <w:t xml:space="preserve"> </w:t>
            </w:r>
            <w:r w:rsidR="00681463">
              <w:t>CFR</w:t>
            </w:r>
            <w:r w:rsidR="00681463">
              <w:rPr>
                <w:spacing w:val="-1"/>
              </w:rPr>
              <w:t xml:space="preserve"> </w:t>
            </w:r>
            <w:r w:rsidR="00681463">
              <w:t>983.256(e)]</w:t>
            </w:r>
            <w:r w:rsidR="00681463">
              <w:tab/>
              <w:t>393</w:t>
            </w:r>
          </w:hyperlink>
        </w:p>
        <w:p w:rsidR="004E13A5" w:rsidRDefault="00BA59C9">
          <w:pPr>
            <w:pStyle w:val="TOC8"/>
            <w:tabs>
              <w:tab w:val="right" w:leader="dot" w:pos="9461"/>
            </w:tabs>
          </w:pPr>
          <w:hyperlink w:anchor="_TOC_250042" w:history="1">
            <w:r w:rsidR="00681463">
              <w:t>Owner Termination of Tenancy [24</w:t>
            </w:r>
            <w:r w:rsidR="00681463">
              <w:rPr>
                <w:spacing w:val="-6"/>
              </w:rPr>
              <w:t xml:space="preserve"> </w:t>
            </w:r>
            <w:r w:rsidR="00681463">
              <w:t>CFR 983.257]</w:t>
            </w:r>
            <w:r w:rsidR="00681463">
              <w:tab/>
              <w:t>394</w:t>
            </w:r>
          </w:hyperlink>
        </w:p>
        <w:p w:rsidR="004E13A5" w:rsidRDefault="00681463">
          <w:pPr>
            <w:pStyle w:val="TOC8"/>
          </w:pPr>
          <w:r>
            <w:t>Continuation of Housing Assistance Payments</w:t>
          </w:r>
        </w:p>
        <w:p w:rsidR="004E13A5" w:rsidRDefault="00681463">
          <w:pPr>
            <w:pStyle w:val="TOC8"/>
            <w:tabs>
              <w:tab w:val="right" w:leader="dot" w:pos="9461"/>
            </w:tabs>
          </w:pPr>
          <w:r>
            <w:t>[24 CFR 983.258]</w:t>
          </w:r>
          <w:r>
            <w:tab/>
            <w:t>394</w:t>
          </w:r>
        </w:p>
        <w:p w:rsidR="004E13A5" w:rsidRDefault="00BA59C9">
          <w:pPr>
            <w:pStyle w:val="TOC8"/>
            <w:tabs>
              <w:tab w:val="right" w:leader="dot" w:pos="9461"/>
            </w:tabs>
          </w:pPr>
          <w:hyperlink w:anchor="_TOC_250041" w:history="1">
            <w:r w:rsidR="00681463">
              <w:t>Security Deposits [24</w:t>
            </w:r>
            <w:r w:rsidR="00681463">
              <w:rPr>
                <w:spacing w:val="-3"/>
              </w:rPr>
              <w:t xml:space="preserve"> </w:t>
            </w:r>
            <w:r w:rsidR="00681463">
              <w:t>CFR 983.259]</w:t>
            </w:r>
            <w:r w:rsidR="00681463">
              <w:tab/>
              <w:t>394</w:t>
            </w:r>
          </w:hyperlink>
        </w:p>
        <w:p w:rsidR="004E13A5" w:rsidRDefault="00BA59C9">
          <w:pPr>
            <w:pStyle w:val="TOC4"/>
            <w:tabs>
              <w:tab w:val="right" w:leader="dot" w:pos="9461"/>
            </w:tabs>
          </w:pPr>
          <w:hyperlink w:anchor="_TOC_250040" w:history="1">
            <w:r w:rsidR="00681463">
              <w:t>17-VII.C.</w:t>
            </w:r>
            <w:r w:rsidR="00681463">
              <w:rPr>
                <w:spacing w:val="-28"/>
              </w:rPr>
              <w:t xml:space="preserve"> </w:t>
            </w:r>
            <w:r w:rsidR="00681463">
              <w:t>Moves</w:t>
            </w:r>
            <w:r w:rsidR="00681463">
              <w:tab/>
              <w:t>395</w:t>
            </w:r>
          </w:hyperlink>
        </w:p>
        <w:p w:rsidR="004E13A5" w:rsidRDefault="00681463">
          <w:pPr>
            <w:pStyle w:val="TOC8"/>
            <w:spacing w:before="79"/>
          </w:pPr>
          <w:r>
            <w:t>Overcrowded, Under-Occupied, and Accessible Units</w:t>
          </w:r>
        </w:p>
        <w:p w:rsidR="004E13A5" w:rsidRDefault="00681463">
          <w:pPr>
            <w:pStyle w:val="TOC8"/>
            <w:tabs>
              <w:tab w:val="left" w:leader="dot" w:pos="9101"/>
            </w:tabs>
          </w:pPr>
          <w:r>
            <w:t>[24</w:t>
          </w:r>
          <w:r>
            <w:rPr>
              <w:spacing w:val="-1"/>
            </w:rPr>
            <w:t xml:space="preserve"> </w:t>
          </w:r>
          <w:r>
            <w:t>CFR</w:t>
          </w:r>
          <w:r>
            <w:rPr>
              <w:spacing w:val="-1"/>
            </w:rPr>
            <w:t xml:space="preserve"> </w:t>
          </w:r>
          <w:r>
            <w:t>983.260]</w:t>
          </w:r>
          <w:r>
            <w:tab/>
            <w:t>395</w:t>
          </w:r>
        </w:p>
        <w:p w:rsidR="004E13A5" w:rsidRDefault="00BA59C9">
          <w:pPr>
            <w:pStyle w:val="TOC8"/>
            <w:tabs>
              <w:tab w:val="left" w:leader="dot" w:pos="9101"/>
            </w:tabs>
          </w:pPr>
          <w:hyperlink w:anchor="_TOC_250039" w:history="1">
            <w:r w:rsidR="00681463">
              <w:t>Family Right to Move [24</w:t>
            </w:r>
            <w:r w:rsidR="00681463">
              <w:rPr>
                <w:spacing w:val="-7"/>
              </w:rPr>
              <w:t xml:space="preserve"> </w:t>
            </w:r>
            <w:r w:rsidR="00681463">
              <w:t>CFR</w:t>
            </w:r>
            <w:r w:rsidR="00681463">
              <w:rPr>
                <w:spacing w:val="-1"/>
              </w:rPr>
              <w:t xml:space="preserve"> </w:t>
            </w:r>
            <w:r w:rsidR="00681463">
              <w:t>983.261]</w:t>
            </w:r>
            <w:r w:rsidR="00681463">
              <w:tab/>
              <w:t>395</w:t>
            </w:r>
          </w:hyperlink>
        </w:p>
        <w:p w:rsidR="004E13A5" w:rsidRDefault="00681463">
          <w:pPr>
            <w:pStyle w:val="TOC8"/>
            <w:tabs>
              <w:tab w:val="left" w:leader="dot" w:pos="9101"/>
            </w:tabs>
            <w:ind w:left="1367" w:right="117" w:firstLine="1325"/>
          </w:pPr>
          <w:r>
            <w:t>Emergency Transfers under VAWA [Notice PIH 2017-08]………396 17-VII.D.</w:t>
          </w:r>
          <w:r>
            <w:rPr>
              <w:spacing w:val="-49"/>
            </w:rPr>
            <w:t xml:space="preserve"> </w:t>
          </w:r>
          <w:r>
            <w:t>Exceptions to the Occupancy Cap [24 CFR</w:t>
          </w:r>
          <w:r>
            <w:rPr>
              <w:spacing w:val="-1"/>
            </w:rPr>
            <w:t xml:space="preserve"> </w:t>
          </w:r>
          <w:r>
            <w:t>983.262]</w:t>
          </w:r>
          <w:r>
            <w:tab/>
            <w:t>396</w:t>
          </w:r>
        </w:p>
        <w:p w:rsidR="004E13A5" w:rsidRDefault="00BA59C9">
          <w:pPr>
            <w:pStyle w:val="TOC2"/>
            <w:tabs>
              <w:tab w:val="left" w:leader="dot" w:pos="9001"/>
            </w:tabs>
          </w:pPr>
          <w:hyperlink w:anchor="_TOC_250038" w:history="1">
            <w:r w:rsidR="00681463">
              <w:t>PART VIII:  DETERMINING RENT</w:t>
            </w:r>
            <w:r w:rsidR="00681463">
              <w:rPr>
                <w:spacing w:val="-19"/>
              </w:rPr>
              <w:t xml:space="preserve"> </w:t>
            </w:r>
            <w:r w:rsidR="00681463">
              <w:t>TO</w:t>
            </w:r>
            <w:r w:rsidR="00681463">
              <w:rPr>
                <w:spacing w:val="-3"/>
              </w:rPr>
              <w:t xml:space="preserve"> </w:t>
            </w:r>
            <w:r w:rsidR="00681463">
              <w:t>OWNER</w:t>
            </w:r>
            <w:r w:rsidR="00681463">
              <w:tab/>
              <w:t>398</w:t>
            </w:r>
          </w:hyperlink>
        </w:p>
        <w:p w:rsidR="004E13A5" w:rsidRDefault="00BA59C9">
          <w:pPr>
            <w:pStyle w:val="TOC4"/>
            <w:tabs>
              <w:tab w:val="left" w:leader="dot" w:pos="9101"/>
            </w:tabs>
          </w:pPr>
          <w:hyperlink w:anchor="_TOC_250037" w:history="1">
            <w:r w:rsidR="00681463">
              <w:t>17-VIII.A.</w:t>
            </w:r>
            <w:r w:rsidR="00681463">
              <w:rPr>
                <w:spacing w:val="-15"/>
              </w:rPr>
              <w:t xml:space="preserve"> </w:t>
            </w:r>
            <w:r w:rsidR="00681463">
              <w:t>Overview</w:t>
            </w:r>
            <w:r w:rsidR="00681463">
              <w:tab/>
              <w:t>398</w:t>
            </w:r>
          </w:hyperlink>
        </w:p>
        <w:p w:rsidR="004E13A5" w:rsidRDefault="00BA59C9">
          <w:pPr>
            <w:pStyle w:val="TOC4"/>
            <w:tabs>
              <w:tab w:val="left" w:leader="dot" w:pos="9101"/>
            </w:tabs>
          </w:pPr>
          <w:hyperlink w:anchor="_TOC_250036" w:history="1">
            <w:r w:rsidR="00681463">
              <w:t>17-VIII.B. Rent Limits [24</w:t>
            </w:r>
            <w:r w:rsidR="00681463">
              <w:rPr>
                <w:spacing w:val="-5"/>
              </w:rPr>
              <w:t xml:space="preserve"> </w:t>
            </w:r>
            <w:r w:rsidR="00681463">
              <w:t>CFR</w:t>
            </w:r>
            <w:r w:rsidR="00681463">
              <w:rPr>
                <w:spacing w:val="-3"/>
              </w:rPr>
              <w:t xml:space="preserve"> </w:t>
            </w:r>
            <w:r w:rsidR="00681463">
              <w:t>983.301]</w:t>
            </w:r>
            <w:r w:rsidR="00681463">
              <w:tab/>
              <w:t>398</w:t>
            </w:r>
          </w:hyperlink>
        </w:p>
        <w:p w:rsidR="004E13A5" w:rsidRDefault="00BA59C9">
          <w:pPr>
            <w:pStyle w:val="TOC8"/>
            <w:tabs>
              <w:tab w:val="left" w:leader="dot" w:pos="9101"/>
            </w:tabs>
          </w:pPr>
          <w:hyperlink w:anchor="_TOC_250035" w:history="1">
            <w:r w:rsidR="00681463">
              <w:t>Certain Tax Credit Units [24</w:t>
            </w:r>
            <w:r w:rsidR="00681463">
              <w:rPr>
                <w:spacing w:val="-4"/>
              </w:rPr>
              <w:t xml:space="preserve"> </w:t>
            </w:r>
            <w:r w:rsidR="00681463">
              <w:t>CFR</w:t>
            </w:r>
            <w:r w:rsidR="00681463">
              <w:rPr>
                <w:spacing w:val="-2"/>
              </w:rPr>
              <w:t xml:space="preserve"> </w:t>
            </w:r>
            <w:r w:rsidR="00681463">
              <w:t>983.301(c)]</w:t>
            </w:r>
            <w:r w:rsidR="00681463">
              <w:tab/>
              <w:t>398</w:t>
            </w:r>
          </w:hyperlink>
        </w:p>
        <w:p w:rsidR="004E13A5" w:rsidRDefault="00BA59C9">
          <w:pPr>
            <w:pStyle w:val="TOC8"/>
            <w:tabs>
              <w:tab w:val="left" w:leader="dot" w:pos="9101"/>
            </w:tabs>
          </w:pPr>
          <w:hyperlink w:anchor="_TOC_250034" w:history="1">
            <w:r w:rsidR="00681463">
              <w:t>Reasonable Rent [24 CFR 983.301(e)</w:t>
            </w:r>
            <w:r w:rsidR="00681463">
              <w:rPr>
                <w:spacing w:val="-6"/>
              </w:rPr>
              <w:t xml:space="preserve"> </w:t>
            </w:r>
            <w:r w:rsidR="00681463">
              <w:t>and</w:t>
            </w:r>
            <w:r w:rsidR="00681463">
              <w:rPr>
                <w:spacing w:val="-2"/>
              </w:rPr>
              <w:t xml:space="preserve"> </w:t>
            </w:r>
            <w:r w:rsidR="00681463">
              <w:t>983.302(c)(2)]</w:t>
            </w:r>
            <w:r w:rsidR="00681463">
              <w:tab/>
              <w:t>399</w:t>
            </w:r>
          </w:hyperlink>
        </w:p>
        <w:p w:rsidR="004E13A5" w:rsidRDefault="00681463">
          <w:pPr>
            <w:pStyle w:val="TOC8"/>
          </w:pPr>
          <w:r>
            <w:t>Use of FMRs, Exception Payment Standards,</w:t>
          </w:r>
        </w:p>
        <w:p w:rsidR="004E13A5" w:rsidRDefault="00681463">
          <w:pPr>
            <w:pStyle w:val="TOC8"/>
            <w:tabs>
              <w:tab w:val="left" w:leader="dot" w:pos="9101"/>
            </w:tabs>
          </w:pPr>
          <w:r>
            <w:lastRenderedPageBreak/>
            <w:t>and Utility Allowances [24</w:t>
          </w:r>
          <w:r>
            <w:rPr>
              <w:spacing w:val="-7"/>
            </w:rPr>
            <w:t xml:space="preserve"> </w:t>
          </w:r>
          <w:r>
            <w:t>CFR</w:t>
          </w:r>
          <w:r>
            <w:rPr>
              <w:spacing w:val="-1"/>
            </w:rPr>
            <w:t xml:space="preserve"> </w:t>
          </w:r>
          <w:r>
            <w:t>983.301(f)]</w:t>
          </w:r>
          <w:r>
            <w:tab/>
            <w:t>399</w:t>
          </w:r>
        </w:p>
        <w:p w:rsidR="004E13A5" w:rsidRDefault="00681463">
          <w:pPr>
            <w:pStyle w:val="TOC8"/>
            <w:tabs>
              <w:tab w:val="left" w:leader="dot" w:pos="9075"/>
            </w:tabs>
          </w:pPr>
          <w:r>
            <w:t>Use of Small Area FMRs (SAMFRs)[24</w:t>
          </w:r>
          <w:r>
            <w:rPr>
              <w:spacing w:val="-7"/>
            </w:rPr>
            <w:t xml:space="preserve"> </w:t>
          </w:r>
          <w:r>
            <w:t>CFR</w:t>
          </w:r>
          <w:r>
            <w:rPr>
              <w:spacing w:val="-1"/>
            </w:rPr>
            <w:t xml:space="preserve"> </w:t>
          </w:r>
          <w:r>
            <w:t>888.113(h)]</w:t>
          </w:r>
          <w:r>
            <w:tab/>
            <w:t>400</w:t>
          </w:r>
        </w:p>
        <w:p w:rsidR="004E13A5" w:rsidRDefault="00BA59C9">
          <w:pPr>
            <w:pStyle w:val="TOC8"/>
            <w:tabs>
              <w:tab w:val="left" w:leader="dot" w:pos="9101"/>
            </w:tabs>
          </w:pPr>
          <w:hyperlink w:anchor="_TOC_250033" w:history="1">
            <w:r w:rsidR="00681463">
              <w:t>Redetermination of Rent [24</w:t>
            </w:r>
            <w:r w:rsidR="00681463">
              <w:rPr>
                <w:spacing w:val="-3"/>
              </w:rPr>
              <w:t xml:space="preserve"> </w:t>
            </w:r>
            <w:r w:rsidR="00681463">
              <w:t>CFR</w:t>
            </w:r>
            <w:r w:rsidR="00681463">
              <w:rPr>
                <w:spacing w:val="-1"/>
              </w:rPr>
              <w:t xml:space="preserve"> </w:t>
            </w:r>
            <w:r w:rsidR="00681463">
              <w:t>983.302]</w:t>
            </w:r>
            <w:r w:rsidR="00681463">
              <w:tab/>
              <w:t>400</w:t>
            </w:r>
          </w:hyperlink>
        </w:p>
        <w:p w:rsidR="004E13A5" w:rsidRDefault="00BA59C9">
          <w:pPr>
            <w:pStyle w:val="TOC8"/>
            <w:tabs>
              <w:tab w:val="left" w:leader="dot" w:pos="9101"/>
            </w:tabs>
          </w:pPr>
          <w:hyperlink w:anchor="_TOC_250032" w:history="1">
            <w:r w:rsidR="00681463">
              <w:t>PHA-Owned Units [24</w:t>
            </w:r>
            <w:r w:rsidR="00681463">
              <w:rPr>
                <w:spacing w:val="-4"/>
              </w:rPr>
              <w:t xml:space="preserve"> </w:t>
            </w:r>
            <w:r w:rsidR="00681463">
              <w:t>CFR</w:t>
            </w:r>
            <w:r w:rsidR="00681463">
              <w:rPr>
                <w:spacing w:val="-2"/>
              </w:rPr>
              <w:t xml:space="preserve"> </w:t>
            </w:r>
            <w:r w:rsidR="00681463">
              <w:t>983.301(g)]</w:t>
            </w:r>
            <w:r w:rsidR="00681463">
              <w:tab/>
              <w:t>401</w:t>
            </w:r>
          </w:hyperlink>
        </w:p>
        <w:p w:rsidR="004E13A5" w:rsidRDefault="00BA59C9">
          <w:pPr>
            <w:pStyle w:val="TOC4"/>
            <w:tabs>
              <w:tab w:val="left" w:leader="dot" w:pos="9101"/>
            </w:tabs>
          </w:pPr>
          <w:hyperlink w:anchor="_TOC_250031" w:history="1">
            <w:r w:rsidR="00681463">
              <w:t>17-VIII.C. Reasonable Rent [24</w:t>
            </w:r>
            <w:r w:rsidR="00681463">
              <w:rPr>
                <w:spacing w:val="-5"/>
              </w:rPr>
              <w:t xml:space="preserve"> </w:t>
            </w:r>
            <w:r w:rsidR="00681463">
              <w:t>CFR 983.303]</w:t>
            </w:r>
            <w:r w:rsidR="00681463">
              <w:tab/>
              <w:t>401</w:t>
            </w:r>
          </w:hyperlink>
        </w:p>
        <w:p w:rsidR="004E13A5" w:rsidRDefault="00BA59C9">
          <w:pPr>
            <w:pStyle w:val="TOC8"/>
            <w:tabs>
              <w:tab w:val="left" w:leader="dot" w:pos="9101"/>
            </w:tabs>
          </w:pPr>
          <w:hyperlink w:anchor="_TOC_250030" w:history="1">
            <w:r w:rsidR="00681463">
              <w:t>When Rent Reasonable Determinations</w:t>
            </w:r>
            <w:r w:rsidR="00681463">
              <w:rPr>
                <w:spacing w:val="-3"/>
              </w:rPr>
              <w:t xml:space="preserve"> </w:t>
            </w:r>
            <w:r w:rsidR="00681463">
              <w:t>Are</w:t>
            </w:r>
            <w:r w:rsidR="00681463">
              <w:rPr>
                <w:spacing w:val="-4"/>
              </w:rPr>
              <w:t xml:space="preserve"> </w:t>
            </w:r>
            <w:r w:rsidR="00681463">
              <w:t>Required</w:t>
            </w:r>
            <w:r w:rsidR="00681463">
              <w:tab/>
              <w:t>401</w:t>
            </w:r>
          </w:hyperlink>
        </w:p>
        <w:p w:rsidR="004E13A5" w:rsidRDefault="00BA59C9">
          <w:pPr>
            <w:pStyle w:val="TOC8"/>
            <w:tabs>
              <w:tab w:val="left" w:leader="dot" w:pos="9101"/>
            </w:tabs>
          </w:pPr>
          <w:hyperlink w:anchor="_TOC_250029" w:history="1">
            <w:r w:rsidR="00681463">
              <w:t>How to Determine</w:t>
            </w:r>
            <w:r w:rsidR="00681463">
              <w:rPr>
                <w:spacing w:val="-4"/>
              </w:rPr>
              <w:t xml:space="preserve"> </w:t>
            </w:r>
            <w:r w:rsidR="00681463">
              <w:t>Reasonable</w:t>
            </w:r>
            <w:r w:rsidR="00681463">
              <w:rPr>
                <w:spacing w:val="-1"/>
              </w:rPr>
              <w:t xml:space="preserve"> </w:t>
            </w:r>
            <w:r w:rsidR="00681463">
              <w:t>Rent</w:t>
            </w:r>
            <w:r w:rsidR="00681463">
              <w:tab/>
              <w:t>401</w:t>
            </w:r>
          </w:hyperlink>
        </w:p>
        <w:p w:rsidR="004E13A5" w:rsidRDefault="00BA59C9">
          <w:pPr>
            <w:pStyle w:val="TOC8"/>
            <w:tabs>
              <w:tab w:val="left" w:leader="dot" w:pos="9101"/>
            </w:tabs>
          </w:pPr>
          <w:hyperlink w:anchor="_TOC_250028" w:history="1">
            <w:r w:rsidR="00681463">
              <w:t>PHA-Owned</w:t>
            </w:r>
            <w:r w:rsidR="00681463">
              <w:rPr>
                <w:spacing w:val="-2"/>
              </w:rPr>
              <w:t xml:space="preserve"> </w:t>
            </w:r>
            <w:r w:rsidR="00681463">
              <w:t>Units</w:t>
            </w:r>
            <w:r w:rsidR="00681463">
              <w:tab/>
              <w:t>402</w:t>
            </w:r>
          </w:hyperlink>
        </w:p>
        <w:p w:rsidR="004E13A5" w:rsidRDefault="00BA59C9">
          <w:pPr>
            <w:pStyle w:val="TOC8"/>
            <w:tabs>
              <w:tab w:val="left" w:leader="dot" w:pos="9101"/>
            </w:tabs>
          </w:pPr>
          <w:hyperlink w:anchor="_TOC_250027" w:history="1">
            <w:r w:rsidR="00681463">
              <w:t>Owner Certification of</w:t>
            </w:r>
            <w:r w:rsidR="00681463">
              <w:rPr>
                <w:spacing w:val="-4"/>
              </w:rPr>
              <w:t xml:space="preserve"> </w:t>
            </w:r>
            <w:r w:rsidR="00681463">
              <w:t>Reasonable</w:t>
            </w:r>
            <w:r w:rsidR="00681463">
              <w:rPr>
                <w:spacing w:val="-1"/>
              </w:rPr>
              <w:t xml:space="preserve"> </w:t>
            </w:r>
            <w:r w:rsidR="00681463">
              <w:t>Rent</w:t>
            </w:r>
            <w:r w:rsidR="00681463">
              <w:tab/>
              <w:t>402</w:t>
            </w:r>
          </w:hyperlink>
        </w:p>
        <w:p w:rsidR="004E13A5" w:rsidRDefault="00BA59C9">
          <w:pPr>
            <w:pStyle w:val="TOC4"/>
            <w:tabs>
              <w:tab w:val="left" w:leader="dot" w:pos="9101"/>
            </w:tabs>
          </w:pPr>
          <w:hyperlink w:anchor="_TOC_250026" w:history="1">
            <w:r w:rsidR="00681463">
              <w:t>17-VIII.D. Effect of Other Subsidy and</w:t>
            </w:r>
            <w:r w:rsidR="00681463">
              <w:rPr>
                <w:spacing w:val="-19"/>
              </w:rPr>
              <w:t xml:space="preserve"> </w:t>
            </w:r>
            <w:r w:rsidR="00681463">
              <w:t>Rent</w:t>
            </w:r>
            <w:r w:rsidR="00681463">
              <w:rPr>
                <w:spacing w:val="-1"/>
              </w:rPr>
              <w:t xml:space="preserve"> </w:t>
            </w:r>
            <w:r w:rsidR="00681463">
              <w:t>Control</w:t>
            </w:r>
            <w:r w:rsidR="00681463">
              <w:tab/>
              <w:t>402</w:t>
            </w:r>
          </w:hyperlink>
        </w:p>
        <w:p w:rsidR="004E13A5" w:rsidRDefault="00BA59C9">
          <w:pPr>
            <w:pStyle w:val="TOC8"/>
            <w:tabs>
              <w:tab w:val="left" w:leader="dot" w:pos="9101"/>
            </w:tabs>
          </w:pPr>
          <w:hyperlink w:anchor="_TOC_250025" w:history="1">
            <w:r w:rsidR="00681463">
              <w:t>Other Subsidy [24</w:t>
            </w:r>
            <w:r w:rsidR="00681463">
              <w:rPr>
                <w:spacing w:val="-6"/>
              </w:rPr>
              <w:t xml:space="preserve"> </w:t>
            </w:r>
            <w:r w:rsidR="00681463">
              <w:t>CFR</w:t>
            </w:r>
            <w:r w:rsidR="00681463">
              <w:rPr>
                <w:spacing w:val="-1"/>
              </w:rPr>
              <w:t xml:space="preserve"> </w:t>
            </w:r>
            <w:r w:rsidR="00681463">
              <w:t>983.304]</w:t>
            </w:r>
            <w:r w:rsidR="00681463">
              <w:tab/>
              <w:t>402</w:t>
            </w:r>
          </w:hyperlink>
        </w:p>
        <w:p w:rsidR="004E13A5" w:rsidRDefault="00BA59C9">
          <w:pPr>
            <w:pStyle w:val="TOC8"/>
            <w:tabs>
              <w:tab w:val="left" w:leader="dot" w:pos="9101"/>
            </w:tabs>
          </w:pPr>
          <w:hyperlink w:anchor="_TOC_250024" w:history="1">
            <w:r w:rsidR="00681463">
              <w:t>Rent Control [24</w:t>
            </w:r>
            <w:r w:rsidR="00681463">
              <w:rPr>
                <w:spacing w:val="-4"/>
              </w:rPr>
              <w:t xml:space="preserve"> </w:t>
            </w:r>
            <w:r w:rsidR="00681463">
              <w:t>CFR</w:t>
            </w:r>
            <w:r w:rsidR="00681463">
              <w:rPr>
                <w:spacing w:val="-1"/>
              </w:rPr>
              <w:t xml:space="preserve"> </w:t>
            </w:r>
            <w:r w:rsidR="00681463">
              <w:t>983.305]</w:t>
            </w:r>
            <w:r w:rsidR="00681463">
              <w:tab/>
              <w:t>403</w:t>
            </w:r>
          </w:hyperlink>
        </w:p>
        <w:p w:rsidR="004E13A5" w:rsidRDefault="00681463">
          <w:pPr>
            <w:pStyle w:val="TOC2"/>
            <w:tabs>
              <w:tab w:val="left" w:pos="1259"/>
              <w:tab w:val="left" w:leader="dot" w:pos="9001"/>
            </w:tabs>
          </w:pPr>
          <w:r>
            <w:t>PART IX:</w:t>
          </w:r>
          <w:r>
            <w:tab/>
            <w:t>PAYMENTS</w:t>
          </w:r>
          <w:r>
            <w:rPr>
              <w:spacing w:val="-1"/>
            </w:rPr>
            <w:t xml:space="preserve"> </w:t>
          </w:r>
          <w:r>
            <w:t>TO</w:t>
          </w:r>
          <w:r>
            <w:rPr>
              <w:spacing w:val="-2"/>
            </w:rPr>
            <w:t xml:space="preserve"> </w:t>
          </w:r>
          <w:r>
            <w:t>OWNER</w:t>
          </w:r>
          <w:r>
            <w:tab/>
            <w:t>403</w:t>
          </w:r>
        </w:p>
        <w:p w:rsidR="004E13A5" w:rsidRDefault="00681463">
          <w:pPr>
            <w:pStyle w:val="TOC4"/>
            <w:tabs>
              <w:tab w:val="left" w:leader="dot" w:pos="9101"/>
            </w:tabs>
          </w:pPr>
          <w:r>
            <w:t>17-IX.A.  Housing Assistance Payments [24</w:t>
          </w:r>
          <w:r>
            <w:rPr>
              <w:spacing w:val="-29"/>
            </w:rPr>
            <w:t xml:space="preserve"> </w:t>
          </w:r>
          <w:r>
            <w:t>CFR</w:t>
          </w:r>
          <w:r>
            <w:rPr>
              <w:spacing w:val="-1"/>
            </w:rPr>
            <w:t xml:space="preserve"> </w:t>
          </w:r>
          <w:r>
            <w:t>983.351]</w:t>
          </w:r>
          <w:r>
            <w:tab/>
            <w:t>403</w:t>
          </w:r>
        </w:p>
        <w:p w:rsidR="004E13A5" w:rsidRDefault="00BA59C9">
          <w:pPr>
            <w:pStyle w:val="TOC4"/>
            <w:tabs>
              <w:tab w:val="left" w:leader="dot" w:pos="9101"/>
            </w:tabs>
          </w:pPr>
          <w:hyperlink w:anchor="_TOC_250023" w:history="1">
            <w:r w:rsidR="00681463">
              <w:t>17-IX.B.  Vacancy Payments [24</w:t>
            </w:r>
            <w:r w:rsidR="00681463">
              <w:rPr>
                <w:spacing w:val="-17"/>
              </w:rPr>
              <w:t xml:space="preserve"> </w:t>
            </w:r>
            <w:r w:rsidR="00681463">
              <w:t>CFR</w:t>
            </w:r>
            <w:r w:rsidR="00681463">
              <w:rPr>
                <w:spacing w:val="-1"/>
              </w:rPr>
              <w:t xml:space="preserve"> </w:t>
            </w:r>
            <w:r w:rsidR="00681463">
              <w:t>983.352]</w:t>
            </w:r>
            <w:r w:rsidR="00681463">
              <w:tab/>
              <w:t>403</w:t>
            </w:r>
          </w:hyperlink>
        </w:p>
        <w:p w:rsidR="004E13A5" w:rsidRDefault="00BA59C9">
          <w:pPr>
            <w:pStyle w:val="TOC4"/>
            <w:tabs>
              <w:tab w:val="left" w:leader="dot" w:pos="9101"/>
            </w:tabs>
          </w:pPr>
          <w:hyperlink w:anchor="_TOC_250022" w:history="1">
            <w:r w:rsidR="00681463">
              <w:t>17-IX.C.  Tenant Rent to Owner [24</w:t>
            </w:r>
            <w:r w:rsidR="00681463">
              <w:rPr>
                <w:spacing w:val="-13"/>
              </w:rPr>
              <w:t xml:space="preserve"> </w:t>
            </w:r>
            <w:r w:rsidR="00681463">
              <w:t>CFR</w:t>
            </w:r>
            <w:r w:rsidR="00681463">
              <w:rPr>
                <w:spacing w:val="-1"/>
              </w:rPr>
              <w:t xml:space="preserve"> </w:t>
            </w:r>
            <w:r w:rsidR="00681463">
              <w:t>983.353]</w:t>
            </w:r>
            <w:r w:rsidR="00681463">
              <w:tab/>
              <w:t>404</w:t>
            </w:r>
          </w:hyperlink>
        </w:p>
        <w:p w:rsidR="004E13A5" w:rsidRDefault="00BA59C9">
          <w:pPr>
            <w:pStyle w:val="TOC8"/>
            <w:tabs>
              <w:tab w:val="left" w:leader="dot" w:pos="9101"/>
            </w:tabs>
          </w:pPr>
          <w:hyperlink w:anchor="_TOC_250021" w:history="1">
            <w:r w:rsidR="00681463">
              <w:t>Tenant and</w:t>
            </w:r>
            <w:r w:rsidR="00681463">
              <w:rPr>
                <w:spacing w:val="-2"/>
              </w:rPr>
              <w:t xml:space="preserve"> </w:t>
            </w:r>
            <w:r w:rsidR="00681463">
              <w:t>PHA</w:t>
            </w:r>
            <w:r w:rsidR="00681463">
              <w:rPr>
                <w:spacing w:val="-1"/>
              </w:rPr>
              <w:t xml:space="preserve"> </w:t>
            </w:r>
            <w:r w:rsidR="00681463">
              <w:t>Responsibilities</w:t>
            </w:r>
            <w:r w:rsidR="00681463">
              <w:tab/>
              <w:t>404</w:t>
            </w:r>
          </w:hyperlink>
        </w:p>
        <w:p w:rsidR="004E13A5" w:rsidRDefault="00BA59C9">
          <w:pPr>
            <w:pStyle w:val="TOC8"/>
            <w:tabs>
              <w:tab w:val="left" w:leader="dot" w:pos="9101"/>
            </w:tabs>
          </w:pPr>
          <w:hyperlink w:anchor="_TOC_250020" w:history="1">
            <w:r w:rsidR="00681463">
              <w:t>Utility</w:t>
            </w:r>
            <w:r w:rsidR="00681463">
              <w:rPr>
                <w:spacing w:val="-8"/>
              </w:rPr>
              <w:t xml:space="preserve"> </w:t>
            </w:r>
            <w:r w:rsidR="00681463">
              <w:t>Reimbursements</w:t>
            </w:r>
            <w:r w:rsidR="00681463">
              <w:tab/>
              <w:t>404</w:t>
            </w:r>
          </w:hyperlink>
        </w:p>
        <w:p w:rsidR="004E13A5" w:rsidRDefault="00BA59C9">
          <w:pPr>
            <w:pStyle w:val="TOC4"/>
            <w:tabs>
              <w:tab w:val="left" w:leader="dot" w:pos="9101"/>
            </w:tabs>
          </w:pPr>
          <w:hyperlink w:anchor="_TOC_250019" w:history="1">
            <w:r w:rsidR="00681463">
              <w:t>17-IX.D.  Other Fees and Charges [24</w:t>
            </w:r>
            <w:r w:rsidR="00681463">
              <w:rPr>
                <w:spacing w:val="-28"/>
              </w:rPr>
              <w:t xml:space="preserve"> </w:t>
            </w:r>
            <w:r w:rsidR="00681463">
              <w:t>CFR</w:t>
            </w:r>
            <w:r w:rsidR="00681463">
              <w:rPr>
                <w:spacing w:val="-2"/>
              </w:rPr>
              <w:t xml:space="preserve"> </w:t>
            </w:r>
            <w:r w:rsidR="00681463">
              <w:t>983.354]</w:t>
            </w:r>
            <w:r w:rsidR="00681463">
              <w:tab/>
              <w:t>405</w:t>
            </w:r>
          </w:hyperlink>
        </w:p>
        <w:p w:rsidR="004E13A5" w:rsidRDefault="00BA59C9">
          <w:pPr>
            <w:pStyle w:val="TOC8"/>
            <w:tabs>
              <w:tab w:val="left" w:leader="dot" w:pos="9101"/>
            </w:tabs>
          </w:pPr>
          <w:hyperlink w:anchor="_TOC_250018" w:history="1">
            <w:r w:rsidR="00681463">
              <w:t>Meals and</w:t>
            </w:r>
            <w:r w:rsidR="00681463">
              <w:rPr>
                <w:spacing w:val="-3"/>
              </w:rPr>
              <w:t xml:space="preserve"> </w:t>
            </w:r>
            <w:r w:rsidR="00681463">
              <w:t>Supportive</w:t>
            </w:r>
            <w:r w:rsidR="00681463">
              <w:rPr>
                <w:spacing w:val="-2"/>
              </w:rPr>
              <w:t xml:space="preserve"> </w:t>
            </w:r>
            <w:r w:rsidR="00681463">
              <w:t>Services</w:t>
            </w:r>
            <w:r w:rsidR="00681463">
              <w:tab/>
              <w:t>405</w:t>
            </w:r>
          </w:hyperlink>
        </w:p>
        <w:p w:rsidR="004E13A5" w:rsidRDefault="00BA59C9">
          <w:pPr>
            <w:pStyle w:val="TOC8"/>
            <w:tabs>
              <w:tab w:val="left" w:leader="dot" w:pos="9101"/>
            </w:tabs>
          </w:pPr>
          <w:hyperlink w:anchor="_TOC_250017" w:history="1">
            <w:r w:rsidR="00681463">
              <w:t>Other Charges</w:t>
            </w:r>
            <w:r w:rsidR="00681463">
              <w:rPr>
                <w:spacing w:val="-1"/>
              </w:rPr>
              <w:t xml:space="preserve"> </w:t>
            </w:r>
            <w:r w:rsidR="00681463">
              <w:t>by</w:t>
            </w:r>
            <w:r w:rsidR="00681463">
              <w:rPr>
                <w:spacing w:val="-4"/>
              </w:rPr>
              <w:t xml:space="preserve"> </w:t>
            </w:r>
            <w:r w:rsidR="00681463">
              <w:t>Owner</w:t>
            </w:r>
            <w:r w:rsidR="00681463">
              <w:tab/>
              <w:t>405</w:t>
            </w:r>
          </w:hyperlink>
        </w:p>
        <w:p w:rsidR="004E13A5" w:rsidRDefault="00BA59C9">
          <w:pPr>
            <w:pStyle w:val="TOC2"/>
            <w:tabs>
              <w:tab w:val="left" w:leader="dot" w:pos="9001"/>
            </w:tabs>
            <w:spacing w:before="119"/>
          </w:pPr>
          <w:hyperlink w:anchor="_TOC_250016" w:history="1">
            <w:r w:rsidR="00681463">
              <w:t>Exhibit 17-1: PBV</w:t>
            </w:r>
            <w:r w:rsidR="00681463">
              <w:rPr>
                <w:spacing w:val="-5"/>
              </w:rPr>
              <w:t xml:space="preserve"> </w:t>
            </w:r>
            <w:r w:rsidR="00681463">
              <w:t>Development Information</w:t>
            </w:r>
            <w:r w:rsidR="00681463">
              <w:tab/>
              <w:t>406</w:t>
            </w:r>
          </w:hyperlink>
        </w:p>
        <w:p w:rsidR="004E13A5" w:rsidRDefault="00681463">
          <w:pPr>
            <w:pStyle w:val="TOC1"/>
            <w:spacing w:before="515"/>
          </w:pPr>
          <w:r>
            <w:t>Chapter 18</w:t>
          </w:r>
        </w:p>
        <w:p w:rsidR="004E13A5" w:rsidRDefault="00BA59C9">
          <w:pPr>
            <w:pStyle w:val="TOC1"/>
            <w:spacing w:before="120"/>
          </w:pPr>
          <w:hyperlink w:anchor="_TOC_250015" w:history="1">
            <w:r w:rsidR="00681463">
              <w:t>EMERGENCY HOUSING VOUCHERS (EHVS)</w:t>
            </w:r>
          </w:hyperlink>
        </w:p>
        <w:p w:rsidR="004E13A5" w:rsidRDefault="00BA59C9">
          <w:pPr>
            <w:pStyle w:val="TOC2"/>
            <w:tabs>
              <w:tab w:val="left" w:leader="dot" w:pos="9001"/>
            </w:tabs>
            <w:spacing w:before="119"/>
          </w:pPr>
          <w:hyperlink w:anchor="_TOC_250014" w:history="1">
            <w:r w:rsidR="00681463">
              <w:t>PART</w:t>
            </w:r>
            <w:r w:rsidR="00681463">
              <w:rPr>
                <w:spacing w:val="1"/>
              </w:rPr>
              <w:t xml:space="preserve"> </w:t>
            </w:r>
            <w:r w:rsidR="00681463">
              <w:rPr>
                <w:spacing w:val="-3"/>
              </w:rPr>
              <w:t>I:</w:t>
            </w:r>
            <w:r w:rsidR="00681463">
              <w:rPr>
                <w:spacing w:val="-1"/>
              </w:rPr>
              <w:t xml:space="preserve"> </w:t>
            </w:r>
            <w:r w:rsidR="00681463">
              <w:t>FUNDING</w:t>
            </w:r>
            <w:r w:rsidR="00681463">
              <w:tab/>
              <w:t>409</w:t>
            </w:r>
          </w:hyperlink>
        </w:p>
        <w:p w:rsidR="004E13A5" w:rsidRDefault="00681463">
          <w:pPr>
            <w:pStyle w:val="TOC4"/>
            <w:tabs>
              <w:tab w:val="left" w:leader="dot" w:pos="9101"/>
            </w:tabs>
            <w:spacing w:before="119"/>
            <w:ind w:left="1360"/>
          </w:pPr>
          <w:r>
            <w:t>18-I.A.</w:t>
          </w:r>
          <w:r>
            <w:rPr>
              <w:spacing w:val="-2"/>
            </w:rPr>
            <w:t xml:space="preserve"> </w:t>
          </w:r>
          <w:r>
            <w:t>Overview</w:t>
          </w:r>
          <w:r>
            <w:tab/>
            <w:t>409</w:t>
          </w:r>
        </w:p>
        <w:p w:rsidR="004E13A5" w:rsidRDefault="00BA59C9">
          <w:pPr>
            <w:pStyle w:val="TOC9"/>
            <w:tabs>
              <w:tab w:val="left" w:leader="dot" w:pos="9101"/>
            </w:tabs>
          </w:pPr>
          <w:hyperlink w:anchor="_TOC_250013" w:history="1">
            <w:r w:rsidR="00681463">
              <w:t>Housing Assistance Payments</w:t>
            </w:r>
            <w:r w:rsidR="00681463">
              <w:rPr>
                <w:spacing w:val="-6"/>
              </w:rPr>
              <w:t xml:space="preserve"> </w:t>
            </w:r>
            <w:r w:rsidR="00681463">
              <w:t>(HAP)</w:t>
            </w:r>
            <w:r w:rsidR="00681463">
              <w:rPr>
                <w:spacing w:val="-1"/>
              </w:rPr>
              <w:t xml:space="preserve"> </w:t>
            </w:r>
            <w:r w:rsidR="00681463">
              <w:t>Funding</w:t>
            </w:r>
            <w:r w:rsidR="00681463">
              <w:tab/>
              <w:t>410</w:t>
            </w:r>
          </w:hyperlink>
        </w:p>
        <w:p w:rsidR="004E13A5" w:rsidRDefault="00BA59C9">
          <w:pPr>
            <w:pStyle w:val="TOC9"/>
            <w:tabs>
              <w:tab w:val="left" w:leader="dot" w:pos="9101"/>
            </w:tabs>
          </w:pPr>
          <w:hyperlink w:anchor="_TOC_250012" w:history="1">
            <w:r w:rsidR="00681463">
              <w:t>Administrative Fee</w:t>
            </w:r>
            <w:r w:rsidR="00681463">
              <w:rPr>
                <w:spacing w:val="-2"/>
              </w:rPr>
              <w:t xml:space="preserve"> </w:t>
            </w:r>
            <w:r w:rsidR="00681463">
              <w:t>and</w:t>
            </w:r>
            <w:r w:rsidR="00681463">
              <w:rPr>
                <w:spacing w:val="-1"/>
              </w:rPr>
              <w:t xml:space="preserve"> </w:t>
            </w:r>
            <w:r w:rsidR="00681463">
              <w:t>Funding</w:t>
            </w:r>
            <w:r w:rsidR="00681463">
              <w:tab/>
              <w:t>410</w:t>
            </w:r>
          </w:hyperlink>
        </w:p>
        <w:p w:rsidR="004E13A5" w:rsidRDefault="00681463">
          <w:pPr>
            <w:pStyle w:val="TOC4"/>
            <w:tabs>
              <w:tab w:val="left" w:leader="dot" w:pos="9101"/>
            </w:tabs>
            <w:spacing w:before="119"/>
            <w:ind w:left="1360"/>
          </w:pPr>
          <w:r>
            <w:t>18-I.B.</w:t>
          </w:r>
          <w:r>
            <w:rPr>
              <w:spacing w:val="-2"/>
            </w:rPr>
            <w:t xml:space="preserve"> </w:t>
          </w:r>
          <w:r>
            <w:t>Service Fees</w:t>
          </w:r>
          <w:r>
            <w:tab/>
            <w:t>411</w:t>
          </w:r>
        </w:p>
        <w:p w:rsidR="004E13A5" w:rsidRDefault="00BA59C9">
          <w:pPr>
            <w:pStyle w:val="TOC2"/>
            <w:tabs>
              <w:tab w:val="left" w:leader="dot" w:pos="9001"/>
            </w:tabs>
            <w:spacing w:before="119"/>
          </w:pPr>
          <w:hyperlink w:anchor="_TOC_250011" w:history="1">
            <w:r w:rsidR="00681463">
              <w:t xml:space="preserve">PART </w:t>
            </w:r>
            <w:r w:rsidR="00681463">
              <w:rPr>
                <w:spacing w:val="-3"/>
              </w:rPr>
              <w:t>II:</w:t>
            </w:r>
            <w:r w:rsidR="00681463">
              <w:t xml:space="preserve"> PARTNERING</w:t>
            </w:r>
            <w:r w:rsidR="00681463">
              <w:rPr>
                <w:spacing w:val="-1"/>
              </w:rPr>
              <w:t xml:space="preserve"> </w:t>
            </w:r>
            <w:r w:rsidR="00681463">
              <w:t>AGENCIES</w:t>
            </w:r>
            <w:r w:rsidR="00681463">
              <w:tab/>
              <w:t>413</w:t>
            </w:r>
          </w:hyperlink>
        </w:p>
        <w:p w:rsidR="004E13A5" w:rsidRDefault="00681463">
          <w:pPr>
            <w:pStyle w:val="TOC6"/>
            <w:tabs>
              <w:tab w:val="right" w:leader="dot" w:pos="9461"/>
            </w:tabs>
            <w:spacing w:before="79"/>
          </w:pPr>
          <w:r>
            <w:t>18-II.A. Continuum of</w:t>
          </w:r>
          <w:r>
            <w:rPr>
              <w:spacing w:val="-1"/>
            </w:rPr>
            <w:t xml:space="preserve"> </w:t>
          </w:r>
          <w:r>
            <w:t>Care</w:t>
          </w:r>
          <w:r>
            <w:rPr>
              <w:spacing w:val="-2"/>
            </w:rPr>
            <w:t xml:space="preserve"> </w:t>
          </w:r>
          <w:r>
            <w:t>(CoC)</w:t>
          </w:r>
          <w:r>
            <w:tab/>
            <w:t>413</w:t>
          </w:r>
        </w:p>
        <w:p w:rsidR="004E13A5" w:rsidRDefault="00681463">
          <w:pPr>
            <w:pStyle w:val="TOC6"/>
            <w:tabs>
              <w:tab w:val="right" w:leader="dot" w:pos="9461"/>
            </w:tabs>
          </w:pPr>
          <w:r>
            <w:t>18-II.B. Other</w:t>
          </w:r>
          <w:r>
            <w:rPr>
              <w:spacing w:val="-2"/>
            </w:rPr>
            <w:t xml:space="preserve"> </w:t>
          </w:r>
          <w:r>
            <w:t>Partnering</w:t>
          </w:r>
          <w:r>
            <w:rPr>
              <w:spacing w:val="-1"/>
            </w:rPr>
            <w:t xml:space="preserve"> </w:t>
          </w:r>
          <w:r>
            <w:t>Organizations</w:t>
          </w:r>
          <w:r>
            <w:tab/>
            <w:t>413</w:t>
          </w:r>
        </w:p>
        <w:p w:rsidR="004E13A5" w:rsidRDefault="00681463">
          <w:pPr>
            <w:pStyle w:val="TOC6"/>
            <w:tabs>
              <w:tab w:val="right" w:leader="dot" w:pos="9461"/>
            </w:tabs>
          </w:pPr>
          <w:r>
            <w:t>18-II.C.</w:t>
          </w:r>
          <w:r>
            <w:rPr>
              <w:spacing w:val="-1"/>
            </w:rPr>
            <w:t xml:space="preserve"> </w:t>
          </w:r>
          <w:r>
            <w:t>Referrals</w:t>
          </w:r>
          <w:r>
            <w:tab/>
            <w:t>413</w:t>
          </w:r>
        </w:p>
        <w:p w:rsidR="004E13A5" w:rsidRDefault="00BA59C9">
          <w:pPr>
            <w:pStyle w:val="TOC9"/>
            <w:tabs>
              <w:tab w:val="right" w:leader="dot" w:pos="9461"/>
            </w:tabs>
          </w:pPr>
          <w:hyperlink w:anchor="_TOC_250010" w:history="1">
            <w:r w:rsidR="00681463">
              <w:t>CoC and Partnering</w:t>
            </w:r>
            <w:r w:rsidR="00681463">
              <w:rPr>
                <w:spacing w:val="-2"/>
              </w:rPr>
              <w:t xml:space="preserve"> </w:t>
            </w:r>
            <w:r w:rsidR="00681463">
              <w:t>Agency</w:t>
            </w:r>
            <w:r w:rsidR="00681463">
              <w:rPr>
                <w:spacing w:val="-6"/>
              </w:rPr>
              <w:t xml:space="preserve"> </w:t>
            </w:r>
            <w:r w:rsidR="00681463">
              <w:t>Referrals</w:t>
            </w:r>
            <w:r w:rsidR="00681463">
              <w:tab/>
              <w:t>413</w:t>
            </w:r>
          </w:hyperlink>
        </w:p>
        <w:p w:rsidR="004E13A5" w:rsidRDefault="00BA59C9">
          <w:pPr>
            <w:pStyle w:val="TOC9"/>
            <w:tabs>
              <w:tab w:val="right" w:leader="dot" w:pos="9461"/>
            </w:tabs>
          </w:pPr>
          <w:hyperlink w:anchor="_TOC_250009" w:history="1">
            <w:r w:rsidR="00681463">
              <w:t>Offers of Assistance with</w:t>
            </w:r>
            <w:r w:rsidR="00681463">
              <w:rPr>
                <w:spacing w:val="-2"/>
              </w:rPr>
              <w:t xml:space="preserve"> </w:t>
            </w:r>
            <w:r w:rsidR="00681463">
              <w:t>CoC</w:t>
            </w:r>
            <w:r w:rsidR="00681463">
              <w:rPr>
                <w:spacing w:val="-1"/>
              </w:rPr>
              <w:t xml:space="preserve"> </w:t>
            </w:r>
            <w:r w:rsidR="00681463">
              <w:t>Referral</w:t>
            </w:r>
            <w:r w:rsidR="00681463">
              <w:tab/>
              <w:t>414</w:t>
            </w:r>
          </w:hyperlink>
        </w:p>
        <w:p w:rsidR="004E13A5" w:rsidRDefault="00BA59C9">
          <w:pPr>
            <w:pStyle w:val="TOC3"/>
            <w:tabs>
              <w:tab w:val="right" w:leader="dot" w:pos="9461"/>
            </w:tabs>
            <w:spacing w:before="119"/>
          </w:pPr>
          <w:hyperlink w:anchor="_TOC_250008" w:history="1">
            <w:r w:rsidR="00681463">
              <w:t>PART III: WAITING</w:t>
            </w:r>
            <w:r w:rsidR="00681463">
              <w:rPr>
                <w:spacing w:val="2"/>
              </w:rPr>
              <w:t xml:space="preserve"> </w:t>
            </w:r>
            <w:r w:rsidR="00681463">
              <w:t>LIST</w:t>
            </w:r>
            <w:r w:rsidR="00681463">
              <w:rPr>
                <w:spacing w:val="-1"/>
              </w:rPr>
              <w:t xml:space="preserve"> </w:t>
            </w:r>
            <w:r w:rsidR="00681463">
              <w:t>MANAGEMENT</w:t>
            </w:r>
            <w:r w:rsidR="00681463">
              <w:tab/>
              <w:t>414</w:t>
            </w:r>
          </w:hyperlink>
        </w:p>
        <w:p w:rsidR="004E13A5" w:rsidRDefault="00681463">
          <w:pPr>
            <w:pStyle w:val="TOC4"/>
            <w:tabs>
              <w:tab w:val="right" w:leader="dot" w:pos="9461"/>
            </w:tabs>
            <w:spacing w:before="119"/>
            <w:ind w:left="1360"/>
          </w:pPr>
          <w:r>
            <w:t>18-III.A. HVC Waiting</w:t>
          </w:r>
          <w:r>
            <w:rPr>
              <w:spacing w:val="-1"/>
            </w:rPr>
            <w:t xml:space="preserve"> </w:t>
          </w:r>
          <w:r>
            <w:t>List</w:t>
          </w:r>
          <w:r>
            <w:tab/>
            <w:t>414</w:t>
          </w:r>
        </w:p>
        <w:p w:rsidR="004E13A5" w:rsidRDefault="00681463">
          <w:pPr>
            <w:pStyle w:val="TOC4"/>
            <w:tabs>
              <w:tab w:val="right" w:leader="dot" w:pos="9461"/>
            </w:tabs>
            <w:spacing w:before="119"/>
            <w:ind w:left="1360"/>
          </w:pPr>
          <w:r>
            <w:t>18-III.B. EHV</w:t>
          </w:r>
          <w:r>
            <w:rPr>
              <w:spacing w:val="-1"/>
            </w:rPr>
            <w:t xml:space="preserve"> </w:t>
          </w:r>
          <w:r>
            <w:t>Waiting</w:t>
          </w:r>
          <w:r>
            <w:rPr>
              <w:spacing w:val="-2"/>
            </w:rPr>
            <w:t xml:space="preserve"> </w:t>
          </w:r>
          <w:r>
            <w:t>List</w:t>
          </w:r>
          <w:r>
            <w:tab/>
            <w:t>415</w:t>
          </w:r>
        </w:p>
        <w:p w:rsidR="004E13A5" w:rsidRDefault="00681463">
          <w:pPr>
            <w:pStyle w:val="TOC4"/>
            <w:tabs>
              <w:tab w:val="right" w:leader="dot" w:pos="9461"/>
            </w:tabs>
            <w:spacing w:before="119"/>
            <w:ind w:left="1360"/>
          </w:pPr>
          <w:r>
            <w:t>18-III.C.</w:t>
          </w:r>
          <w:r>
            <w:rPr>
              <w:spacing w:val="-1"/>
            </w:rPr>
            <w:t xml:space="preserve"> </w:t>
          </w:r>
          <w:r>
            <w:t>Preference</w:t>
          </w:r>
          <w:r>
            <w:tab/>
            <w:t>415</w:t>
          </w:r>
        </w:p>
        <w:p w:rsidR="004E13A5" w:rsidRDefault="00BA59C9">
          <w:pPr>
            <w:pStyle w:val="TOC9"/>
            <w:tabs>
              <w:tab w:val="right" w:leader="dot" w:pos="9461"/>
            </w:tabs>
            <w:spacing w:before="120"/>
          </w:pPr>
          <w:hyperlink w:anchor="_TOC_250007" w:history="1">
            <w:r w:rsidR="00681463">
              <w:t>HCV Waiting</w:t>
            </w:r>
            <w:r w:rsidR="00681463">
              <w:rPr>
                <w:spacing w:val="-1"/>
              </w:rPr>
              <w:t xml:space="preserve"> </w:t>
            </w:r>
            <w:r w:rsidR="00681463">
              <w:t>List Preferences</w:t>
            </w:r>
            <w:r w:rsidR="00681463">
              <w:tab/>
              <w:t>415</w:t>
            </w:r>
          </w:hyperlink>
        </w:p>
        <w:p w:rsidR="004E13A5" w:rsidRDefault="00BA59C9">
          <w:pPr>
            <w:pStyle w:val="TOC9"/>
            <w:tabs>
              <w:tab w:val="right" w:leader="dot" w:pos="9461"/>
            </w:tabs>
            <w:spacing w:before="120"/>
          </w:pPr>
          <w:hyperlink w:anchor="_TOC_250006" w:history="1">
            <w:r w:rsidR="00681463">
              <w:t>EHV Waiting</w:t>
            </w:r>
            <w:r w:rsidR="00681463">
              <w:rPr>
                <w:spacing w:val="-1"/>
              </w:rPr>
              <w:t xml:space="preserve"> </w:t>
            </w:r>
            <w:r w:rsidR="00681463">
              <w:t>List Preferences</w:t>
            </w:r>
            <w:r w:rsidR="00681463">
              <w:tab/>
              <w:t>415</w:t>
            </w:r>
          </w:hyperlink>
        </w:p>
        <w:p w:rsidR="004E13A5" w:rsidRDefault="00681463">
          <w:pPr>
            <w:pStyle w:val="TOC3"/>
            <w:tabs>
              <w:tab w:val="right" w:leader="dot" w:pos="9461"/>
            </w:tabs>
          </w:pPr>
          <w:r>
            <w:t>PART IV:</w:t>
          </w:r>
          <w:r>
            <w:rPr>
              <w:spacing w:val="3"/>
            </w:rPr>
            <w:t xml:space="preserve"> </w:t>
          </w:r>
          <w:r>
            <w:t>FAMLY</w:t>
          </w:r>
          <w:r>
            <w:rPr>
              <w:spacing w:val="-1"/>
            </w:rPr>
            <w:t xml:space="preserve"> </w:t>
          </w:r>
          <w:r>
            <w:t>ELIGIBILITY</w:t>
          </w:r>
          <w:r>
            <w:tab/>
            <w:t>416</w:t>
          </w:r>
        </w:p>
        <w:p w:rsidR="004E13A5" w:rsidRDefault="00681463">
          <w:pPr>
            <w:pStyle w:val="TOC4"/>
            <w:tabs>
              <w:tab w:val="right" w:leader="dot" w:pos="9461"/>
            </w:tabs>
            <w:spacing w:before="120"/>
            <w:ind w:left="1360"/>
          </w:pPr>
          <w:r>
            <w:t>18-IV.A.</w:t>
          </w:r>
          <w:r>
            <w:rPr>
              <w:spacing w:val="-1"/>
            </w:rPr>
            <w:t xml:space="preserve"> </w:t>
          </w:r>
          <w:r>
            <w:t>Overview</w:t>
          </w:r>
          <w:r>
            <w:tab/>
            <w:t>416</w:t>
          </w:r>
        </w:p>
        <w:p w:rsidR="004E13A5" w:rsidRDefault="00681463">
          <w:pPr>
            <w:pStyle w:val="TOC4"/>
            <w:tabs>
              <w:tab w:val="right" w:leader="dot" w:pos="9461"/>
            </w:tabs>
            <w:spacing w:before="120"/>
            <w:ind w:left="1360"/>
          </w:pPr>
          <w:r>
            <w:t>18-IV.B. Referring Agency Determination</w:t>
          </w:r>
          <w:r>
            <w:rPr>
              <w:spacing w:val="-5"/>
            </w:rPr>
            <w:t xml:space="preserve"> </w:t>
          </w:r>
          <w:r>
            <w:t>of</w:t>
          </w:r>
          <w:r>
            <w:rPr>
              <w:spacing w:val="-1"/>
            </w:rPr>
            <w:t xml:space="preserve"> </w:t>
          </w:r>
          <w:r>
            <w:t>Eligibility</w:t>
          </w:r>
          <w:r>
            <w:tab/>
            <w:t>416</w:t>
          </w:r>
        </w:p>
        <w:p w:rsidR="004E13A5" w:rsidRDefault="00681463">
          <w:pPr>
            <w:pStyle w:val="TOC4"/>
            <w:tabs>
              <w:tab w:val="right" w:leader="dot" w:pos="9461"/>
            </w:tabs>
            <w:spacing w:before="120"/>
            <w:ind w:left="1360"/>
          </w:pPr>
          <w:r>
            <w:t>18-IV.C.</w:t>
          </w:r>
          <w:r>
            <w:rPr>
              <w:spacing w:val="-1"/>
            </w:rPr>
            <w:t xml:space="preserve"> </w:t>
          </w:r>
          <w:r>
            <w:t>PHA</w:t>
          </w:r>
          <w:r>
            <w:rPr>
              <w:spacing w:val="-2"/>
            </w:rPr>
            <w:t xml:space="preserve"> </w:t>
          </w:r>
          <w:r>
            <w:t>Screening</w:t>
          </w:r>
          <w:r>
            <w:tab/>
            <w:t>416</w:t>
          </w:r>
        </w:p>
        <w:p w:rsidR="004E13A5" w:rsidRDefault="00681463">
          <w:pPr>
            <w:pStyle w:val="TOC9"/>
            <w:tabs>
              <w:tab w:val="right" w:leader="dot" w:pos="9461"/>
            </w:tabs>
            <w:spacing w:before="120"/>
          </w:pPr>
          <w:r>
            <w:t>Overview</w:t>
          </w:r>
          <w:r>
            <w:tab/>
            <w:t>416</w:t>
          </w:r>
        </w:p>
        <w:p w:rsidR="004E13A5" w:rsidRDefault="00BA59C9">
          <w:pPr>
            <w:pStyle w:val="TOC9"/>
            <w:tabs>
              <w:tab w:val="right" w:leader="dot" w:pos="9461"/>
            </w:tabs>
            <w:spacing w:before="120"/>
          </w:pPr>
          <w:hyperlink w:anchor="_TOC_250005" w:history="1">
            <w:r w:rsidR="00681463">
              <w:t>Mandatory</w:t>
            </w:r>
            <w:r w:rsidR="00681463">
              <w:rPr>
                <w:spacing w:val="-5"/>
              </w:rPr>
              <w:t xml:space="preserve"> </w:t>
            </w:r>
            <w:r w:rsidR="00681463">
              <w:t>Denials</w:t>
            </w:r>
            <w:r w:rsidR="00681463">
              <w:tab/>
              <w:t>417</w:t>
            </w:r>
          </w:hyperlink>
        </w:p>
        <w:p w:rsidR="004E13A5" w:rsidRDefault="00681463">
          <w:pPr>
            <w:pStyle w:val="TOC9"/>
            <w:tabs>
              <w:tab w:val="right" w:leader="dot" w:pos="9461"/>
            </w:tabs>
            <w:spacing w:before="120"/>
          </w:pPr>
          <w:r>
            <w:t>Permissive</w:t>
          </w:r>
          <w:r>
            <w:rPr>
              <w:spacing w:val="-1"/>
            </w:rPr>
            <w:t xml:space="preserve"> </w:t>
          </w:r>
          <w:r>
            <w:t>Denials</w:t>
          </w:r>
          <w:r>
            <w:tab/>
            <w:t>418</w:t>
          </w:r>
        </w:p>
        <w:p w:rsidR="004E13A5" w:rsidRDefault="00681463">
          <w:pPr>
            <w:pStyle w:val="TOC4"/>
            <w:tabs>
              <w:tab w:val="right" w:leader="dot" w:pos="9461"/>
            </w:tabs>
            <w:spacing w:before="120"/>
            <w:ind w:left="1360"/>
          </w:pPr>
          <w:r>
            <w:t>18-IV.D. Income Verification at</w:t>
          </w:r>
          <w:r>
            <w:rPr>
              <w:spacing w:val="1"/>
            </w:rPr>
            <w:t xml:space="preserve"> </w:t>
          </w:r>
          <w:r>
            <w:t>Admission</w:t>
          </w:r>
          <w:r>
            <w:tab/>
            <w:t>419</w:t>
          </w:r>
        </w:p>
        <w:p w:rsidR="004E13A5" w:rsidRDefault="00681463">
          <w:pPr>
            <w:pStyle w:val="TOC9"/>
            <w:tabs>
              <w:tab w:val="right" w:leader="dot" w:pos="9461"/>
            </w:tabs>
          </w:pPr>
          <w:r>
            <w:t>Self-Certification</w:t>
          </w:r>
          <w:r>
            <w:rPr>
              <w:spacing w:val="-1"/>
            </w:rPr>
            <w:t xml:space="preserve"> </w:t>
          </w:r>
          <w:r>
            <w:t>at</w:t>
          </w:r>
          <w:r>
            <w:rPr>
              <w:spacing w:val="-1"/>
            </w:rPr>
            <w:t xml:space="preserve"> </w:t>
          </w:r>
          <w:r>
            <w:t>Admission</w:t>
          </w:r>
          <w:r>
            <w:tab/>
            <w:t>419</w:t>
          </w:r>
        </w:p>
        <w:p w:rsidR="004E13A5" w:rsidRDefault="00BA59C9">
          <w:pPr>
            <w:pStyle w:val="TOC9"/>
            <w:tabs>
              <w:tab w:val="right" w:leader="dot" w:pos="9461"/>
            </w:tabs>
          </w:pPr>
          <w:hyperlink w:anchor="_TOC_250004" w:history="1">
            <w:r w:rsidR="00681463">
              <w:t>Recently Conducted</w:t>
            </w:r>
            <w:r w:rsidR="00681463">
              <w:rPr>
                <w:spacing w:val="-5"/>
              </w:rPr>
              <w:t xml:space="preserve"> </w:t>
            </w:r>
            <w:r w:rsidR="00681463">
              <w:t>Income</w:t>
            </w:r>
            <w:r w:rsidR="00681463">
              <w:rPr>
                <w:spacing w:val="-1"/>
              </w:rPr>
              <w:t xml:space="preserve"> </w:t>
            </w:r>
            <w:r w:rsidR="00681463">
              <w:t>Determinations</w:t>
            </w:r>
            <w:r w:rsidR="00681463">
              <w:tab/>
              <w:t>420</w:t>
            </w:r>
          </w:hyperlink>
        </w:p>
        <w:p w:rsidR="004E13A5" w:rsidRDefault="00BA59C9">
          <w:pPr>
            <w:pStyle w:val="TOC9"/>
            <w:tabs>
              <w:tab w:val="right" w:leader="dot" w:pos="9461"/>
            </w:tabs>
          </w:pPr>
          <w:hyperlink w:anchor="_TOC_250003" w:history="1">
            <w:r w:rsidR="00681463">
              <w:t>EIV Income Validation</w:t>
            </w:r>
            <w:r w:rsidR="00681463">
              <w:tab/>
              <w:t>420</w:t>
            </w:r>
          </w:hyperlink>
        </w:p>
        <w:p w:rsidR="004E13A5" w:rsidRDefault="00681463">
          <w:pPr>
            <w:pStyle w:val="TOC5"/>
            <w:tabs>
              <w:tab w:val="right" w:leader="dot" w:pos="9461"/>
            </w:tabs>
          </w:pPr>
          <w:r>
            <w:t>18-IV.E. Social Security Number and Citizenship</w:t>
          </w:r>
          <w:r>
            <w:rPr>
              <w:spacing w:val="-7"/>
            </w:rPr>
            <w:t xml:space="preserve"> </w:t>
          </w:r>
          <w:r>
            <w:t>Status</w:t>
          </w:r>
          <w:r>
            <w:rPr>
              <w:spacing w:val="-1"/>
            </w:rPr>
            <w:t xml:space="preserve"> </w:t>
          </w:r>
          <w:r>
            <w:t>Verification</w:t>
          </w:r>
          <w:r>
            <w:tab/>
            <w:t>421</w:t>
          </w:r>
        </w:p>
        <w:p w:rsidR="004E13A5" w:rsidRDefault="00681463">
          <w:pPr>
            <w:pStyle w:val="TOC5"/>
            <w:tabs>
              <w:tab w:val="right" w:leader="dot" w:pos="9461"/>
            </w:tabs>
          </w:pPr>
          <w:r>
            <w:t>18-IV.F. Age and</w:t>
          </w:r>
          <w:r>
            <w:rPr>
              <w:spacing w:val="2"/>
            </w:rPr>
            <w:t xml:space="preserve"> </w:t>
          </w:r>
          <w:r>
            <w:t>Disability</w:t>
          </w:r>
          <w:r>
            <w:rPr>
              <w:spacing w:val="-5"/>
            </w:rPr>
            <w:t xml:space="preserve"> </w:t>
          </w:r>
          <w:r>
            <w:t>Verification</w:t>
          </w:r>
          <w:r>
            <w:tab/>
            <w:t>421</w:t>
          </w:r>
        </w:p>
        <w:p w:rsidR="004E13A5" w:rsidRDefault="00681463">
          <w:pPr>
            <w:pStyle w:val="TOC5"/>
            <w:tabs>
              <w:tab w:val="right" w:leader="dot" w:pos="9461"/>
            </w:tabs>
          </w:pPr>
          <w:r>
            <w:t>18-IV.G.</w:t>
          </w:r>
          <w:r>
            <w:rPr>
              <w:spacing w:val="1"/>
            </w:rPr>
            <w:t xml:space="preserve"> </w:t>
          </w:r>
          <w:r>
            <w:t>Income</w:t>
          </w:r>
          <w:r>
            <w:rPr>
              <w:spacing w:val="-1"/>
            </w:rPr>
            <w:t xml:space="preserve"> </w:t>
          </w:r>
          <w:r>
            <w:t>Targeting</w:t>
          </w:r>
          <w:r>
            <w:tab/>
            <w:t>422</w:t>
          </w:r>
        </w:p>
        <w:p w:rsidR="004E13A5" w:rsidRDefault="00BA59C9">
          <w:pPr>
            <w:pStyle w:val="TOC3"/>
            <w:tabs>
              <w:tab w:val="right" w:leader="dot" w:pos="9461"/>
            </w:tabs>
            <w:spacing w:before="119"/>
          </w:pPr>
          <w:hyperlink w:anchor="_TOC_250002" w:history="1">
            <w:r w:rsidR="00681463">
              <w:t>PART V: HOUSING SEARCH</w:t>
            </w:r>
            <w:r w:rsidR="00681463">
              <w:rPr>
                <w:spacing w:val="-1"/>
              </w:rPr>
              <w:t xml:space="preserve"> </w:t>
            </w:r>
            <w:r w:rsidR="00681463">
              <w:t>AND LEASING</w:t>
            </w:r>
            <w:r w:rsidR="00681463">
              <w:tab/>
              <w:t>422</w:t>
            </w:r>
          </w:hyperlink>
        </w:p>
        <w:p w:rsidR="004E13A5" w:rsidRDefault="00681463">
          <w:pPr>
            <w:pStyle w:val="TOC4"/>
            <w:tabs>
              <w:tab w:val="right" w:leader="dot" w:pos="9461"/>
            </w:tabs>
            <w:spacing w:before="119"/>
            <w:ind w:left="1360"/>
          </w:pPr>
          <w:r>
            <w:t>18-V.A. Initial Voucher Term</w:t>
          </w:r>
          <w:r>
            <w:tab/>
            <w:t>422</w:t>
          </w:r>
        </w:p>
        <w:p w:rsidR="004E13A5" w:rsidRDefault="00681463">
          <w:pPr>
            <w:pStyle w:val="TOC4"/>
            <w:tabs>
              <w:tab w:val="right" w:leader="dot" w:pos="9461"/>
            </w:tabs>
            <w:spacing w:before="120"/>
            <w:ind w:left="1360"/>
          </w:pPr>
          <w:r>
            <w:t>18-V.B. Housing</w:t>
          </w:r>
          <w:r>
            <w:rPr>
              <w:spacing w:val="-4"/>
            </w:rPr>
            <w:t xml:space="preserve"> </w:t>
          </w:r>
          <w:r>
            <w:t>Search</w:t>
          </w:r>
          <w:r>
            <w:rPr>
              <w:spacing w:val="1"/>
            </w:rPr>
            <w:t xml:space="preserve"> </w:t>
          </w:r>
          <w:r>
            <w:t>Assistance</w:t>
          </w:r>
          <w:r>
            <w:tab/>
            <w:t>422</w:t>
          </w:r>
        </w:p>
        <w:p w:rsidR="004E13A5" w:rsidRDefault="00681463">
          <w:pPr>
            <w:pStyle w:val="TOC4"/>
            <w:tabs>
              <w:tab w:val="right" w:leader="dot" w:pos="9461"/>
            </w:tabs>
            <w:spacing w:before="119"/>
            <w:ind w:left="1360"/>
          </w:pPr>
          <w:r>
            <w:t>18-V.C.</w:t>
          </w:r>
          <w:r>
            <w:rPr>
              <w:spacing w:val="-1"/>
            </w:rPr>
            <w:t xml:space="preserve"> </w:t>
          </w:r>
          <w:r w:rsidR="002C4221">
            <w:t>NSPIRE</w:t>
          </w:r>
          <w:r>
            <w:rPr>
              <w:spacing w:val="-1"/>
            </w:rPr>
            <w:t xml:space="preserve"> </w:t>
          </w:r>
          <w:r>
            <w:t>Pre-Inspections</w:t>
          </w:r>
          <w:r>
            <w:tab/>
            <w:t>423</w:t>
          </w:r>
        </w:p>
        <w:p w:rsidR="004E13A5" w:rsidRDefault="00681463">
          <w:pPr>
            <w:pStyle w:val="TOC4"/>
            <w:tabs>
              <w:tab w:val="right" w:leader="dot" w:pos="9461"/>
            </w:tabs>
            <w:spacing w:before="119"/>
            <w:ind w:left="1360"/>
          </w:pPr>
          <w:r>
            <w:t>18-V.D. Initial</w:t>
          </w:r>
          <w:r>
            <w:rPr>
              <w:spacing w:val="3"/>
            </w:rPr>
            <w:t xml:space="preserve"> </w:t>
          </w:r>
          <w:r>
            <w:t>Lease</w:t>
          </w:r>
          <w:r>
            <w:rPr>
              <w:spacing w:val="-2"/>
            </w:rPr>
            <w:t xml:space="preserve"> </w:t>
          </w:r>
          <w:r>
            <w:t>Term</w:t>
          </w:r>
          <w:r>
            <w:tab/>
            <w:t>423</w:t>
          </w:r>
        </w:p>
        <w:p w:rsidR="004E13A5" w:rsidRDefault="00681463">
          <w:pPr>
            <w:pStyle w:val="TOC4"/>
            <w:tabs>
              <w:tab w:val="right" w:leader="dot" w:pos="9461"/>
            </w:tabs>
            <w:spacing w:before="119"/>
            <w:ind w:left="1360"/>
          </w:pPr>
          <w:r>
            <w:t>18-V.E. Portability</w:t>
          </w:r>
          <w:r>
            <w:tab/>
            <w:t>423</w:t>
          </w:r>
        </w:p>
        <w:p w:rsidR="004E13A5" w:rsidRDefault="00BA59C9">
          <w:pPr>
            <w:pStyle w:val="TOC9"/>
            <w:tabs>
              <w:tab w:val="right" w:leader="dot" w:pos="9461"/>
            </w:tabs>
          </w:pPr>
          <w:hyperlink w:anchor="_TOC_250001" w:history="1">
            <w:r w:rsidR="00681463">
              <w:t>Nonresident</w:t>
            </w:r>
            <w:r w:rsidR="00681463">
              <w:rPr>
                <w:spacing w:val="-1"/>
              </w:rPr>
              <w:t xml:space="preserve"> </w:t>
            </w:r>
            <w:r w:rsidR="00681463">
              <w:t>Applicants</w:t>
            </w:r>
            <w:r w:rsidR="00681463">
              <w:tab/>
              <w:t>424</w:t>
            </w:r>
          </w:hyperlink>
        </w:p>
        <w:p w:rsidR="004E13A5" w:rsidRDefault="00BA59C9">
          <w:pPr>
            <w:pStyle w:val="TOC9"/>
            <w:tabs>
              <w:tab w:val="right" w:leader="dot" w:pos="9461"/>
            </w:tabs>
            <w:spacing w:before="120"/>
          </w:pPr>
          <w:hyperlink w:anchor="_TOC_250000" w:history="1">
            <w:r w:rsidR="00681463">
              <w:t>Billing</w:t>
            </w:r>
            <w:r w:rsidR="00681463">
              <w:rPr>
                <w:spacing w:val="-3"/>
              </w:rPr>
              <w:t xml:space="preserve"> </w:t>
            </w:r>
            <w:r w:rsidR="00681463">
              <w:t>and</w:t>
            </w:r>
            <w:r w:rsidR="00681463">
              <w:rPr>
                <w:spacing w:val="-1"/>
              </w:rPr>
              <w:t xml:space="preserve"> </w:t>
            </w:r>
            <w:r w:rsidR="00681463">
              <w:t>Absorption</w:t>
            </w:r>
            <w:r w:rsidR="00681463">
              <w:tab/>
              <w:t>424</w:t>
            </w:r>
          </w:hyperlink>
        </w:p>
      </w:sdtContent>
    </w:sdt>
    <w:p w:rsidR="004E13A5" w:rsidRDefault="004E13A5">
      <w:pPr>
        <w:sectPr w:rsidR="004E13A5">
          <w:pgSz w:w="12240" w:h="15840"/>
          <w:pgMar w:top="1360" w:right="1320" w:bottom="1082" w:left="1340" w:header="0" w:footer="381" w:gutter="0"/>
          <w:cols w:space="720"/>
        </w:sectPr>
      </w:pPr>
    </w:p>
    <w:p w:rsidR="004E13A5" w:rsidRDefault="00681463">
      <w:pPr>
        <w:pStyle w:val="BodyText"/>
        <w:tabs>
          <w:tab w:val="right" w:leader="dot" w:pos="9461"/>
        </w:tabs>
        <w:spacing w:before="79"/>
        <w:ind w:left="2712"/>
      </w:pPr>
      <w:r>
        <w:lastRenderedPageBreak/>
        <w:t>Family</w:t>
      </w:r>
      <w:r>
        <w:rPr>
          <w:spacing w:val="-3"/>
        </w:rPr>
        <w:t xml:space="preserve"> </w:t>
      </w:r>
      <w:r>
        <w:t>Briefing</w:t>
      </w:r>
      <w:r>
        <w:tab/>
        <w:t>424</w:t>
      </w:r>
    </w:p>
    <w:p w:rsidR="004E13A5" w:rsidRDefault="00681463">
      <w:pPr>
        <w:pStyle w:val="BodyText"/>
        <w:tabs>
          <w:tab w:val="right" w:leader="dot" w:pos="9461"/>
        </w:tabs>
        <w:ind w:left="2712"/>
      </w:pPr>
      <w:r>
        <w:t>Coordination</w:t>
      </w:r>
      <w:r>
        <w:rPr>
          <w:spacing w:val="-1"/>
        </w:rPr>
        <w:t xml:space="preserve"> </w:t>
      </w:r>
      <w:r>
        <w:t>of</w:t>
      </w:r>
      <w:r>
        <w:rPr>
          <w:spacing w:val="-2"/>
        </w:rPr>
        <w:t xml:space="preserve"> </w:t>
      </w:r>
      <w:r>
        <w:t>Services</w:t>
      </w:r>
      <w:r>
        <w:tab/>
        <w:t>424</w:t>
      </w:r>
    </w:p>
    <w:p w:rsidR="004E13A5" w:rsidRDefault="00681463">
      <w:pPr>
        <w:pStyle w:val="BodyText"/>
        <w:tabs>
          <w:tab w:val="right" w:leader="dot" w:pos="9461"/>
        </w:tabs>
        <w:ind w:left="2712"/>
      </w:pPr>
      <w:r>
        <w:t>Service</w:t>
      </w:r>
      <w:r>
        <w:rPr>
          <w:spacing w:val="-2"/>
        </w:rPr>
        <w:t xml:space="preserve"> </w:t>
      </w:r>
      <w:r>
        <w:t>Fee</w:t>
      </w:r>
      <w:r>
        <w:tab/>
        <w:t>425</w:t>
      </w:r>
    </w:p>
    <w:p w:rsidR="004E13A5" w:rsidRDefault="00681463">
      <w:pPr>
        <w:pStyle w:val="BodyText"/>
        <w:tabs>
          <w:tab w:val="right" w:leader="dot" w:pos="9461"/>
        </w:tabs>
        <w:ind w:left="2712"/>
      </w:pPr>
      <w:r>
        <w:t>Placement Fee/Issuance Reporting</w:t>
      </w:r>
      <w:r>
        <w:rPr>
          <w:spacing w:val="-1"/>
        </w:rPr>
        <w:t xml:space="preserve"> </w:t>
      </w:r>
      <w:r>
        <w:t>Fee</w:t>
      </w:r>
      <w:r>
        <w:tab/>
        <w:t>425</w:t>
      </w:r>
    </w:p>
    <w:p w:rsidR="004E13A5" w:rsidRDefault="00681463">
      <w:pPr>
        <w:pStyle w:val="BodyText"/>
        <w:tabs>
          <w:tab w:val="right" w:leader="dot" w:pos="9461"/>
        </w:tabs>
        <w:ind w:left="1360"/>
      </w:pPr>
      <w:r>
        <w:t>18-V.F.</w:t>
      </w:r>
      <w:r>
        <w:rPr>
          <w:spacing w:val="-1"/>
        </w:rPr>
        <w:t xml:space="preserve"> </w:t>
      </w:r>
      <w:r>
        <w:t>Payment</w:t>
      </w:r>
      <w:r>
        <w:rPr>
          <w:spacing w:val="-1"/>
        </w:rPr>
        <w:t xml:space="preserve"> </w:t>
      </w:r>
      <w:r>
        <w:t>Standards</w:t>
      </w:r>
      <w:r>
        <w:tab/>
        <w:t>425</w:t>
      </w:r>
    </w:p>
    <w:p w:rsidR="004E13A5" w:rsidRDefault="00681463">
      <w:pPr>
        <w:pStyle w:val="BodyText"/>
        <w:tabs>
          <w:tab w:val="right" w:leader="dot" w:pos="9461"/>
        </w:tabs>
        <w:ind w:left="2712"/>
      </w:pPr>
      <w:r>
        <w:t>Payment</w:t>
      </w:r>
      <w:r>
        <w:rPr>
          <w:spacing w:val="-1"/>
        </w:rPr>
        <w:t xml:space="preserve"> </w:t>
      </w:r>
      <w:r>
        <w:t>Standard</w:t>
      </w:r>
      <w:r>
        <w:rPr>
          <w:spacing w:val="-1"/>
        </w:rPr>
        <w:t xml:space="preserve"> </w:t>
      </w:r>
      <w:r>
        <w:t>Schedule</w:t>
      </w:r>
      <w:r>
        <w:tab/>
        <w:t>425</w:t>
      </w:r>
    </w:p>
    <w:p w:rsidR="004E13A5" w:rsidRDefault="00681463">
      <w:pPr>
        <w:pStyle w:val="BodyText"/>
        <w:tabs>
          <w:tab w:val="right" w:leader="dot" w:pos="9461"/>
        </w:tabs>
        <w:ind w:left="2712"/>
      </w:pPr>
      <w:r>
        <w:t>Rent</w:t>
      </w:r>
      <w:r>
        <w:rPr>
          <w:spacing w:val="-1"/>
        </w:rPr>
        <w:t xml:space="preserve"> </w:t>
      </w:r>
      <w:r>
        <w:t>Reasonableness</w:t>
      </w:r>
      <w:r>
        <w:tab/>
        <w:t>426</w:t>
      </w:r>
    </w:p>
    <w:p w:rsidR="004E13A5" w:rsidRDefault="00681463">
      <w:pPr>
        <w:pStyle w:val="BodyText"/>
        <w:tabs>
          <w:tab w:val="right" w:leader="dot" w:pos="9461"/>
        </w:tabs>
        <w:ind w:left="2712"/>
      </w:pPr>
      <w:r>
        <w:t>Increases in</w:t>
      </w:r>
      <w:r>
        <w:rPr>
          <w:spacing w:val="-1"/>
        </w:rPr>
        <w:t xml:space="preserve"> </w:t>
      </w:r>
      <w:r>
        <w:t>Payment</w:t>
      </w:r>
      <w:r>
        <w:rPr>
          <w:spacing w:val="-1"/>
        </w:rPr>
        <w:t xml:space="preserve"> </w:t>
      </w:r>
      <w:r>
        <w:t>Standards</w:t>
      </w:r>
      <w:r>
        <w:tab/>
        <w:t>426</w:t>
      </w:r>
    </w:p>
    <w:p w:rsidR="004E13A5" w:rsidRDefault="00681463">
      <w:pPr>
        <w:pStyle w:val="BodyText"/>
        <w:tabs>
          <w:tab w:val="right" w:leader="dot" w:pos="9461"/>
        </w:tabs>
        <w:ind w:left="1360"/>
      </w:pPr>
      <w:r>
        <w:t>18-V.G. Termination</w:t>
      </w:r>
      <w:r>
        <w:rPr>
          <w:spacing w:val="-1"/>
        </w:rPr>
        <w:t xml:space="preserve"> </w:t>
      </w:r>
      <w:r>
        <w:t>of</w:t>
      </w:r>
      <w:r>
        <w:rPr>
          <w:spacing w:val="-2"/>
        </w:rPr>
        <w:t xml:space="preserve"> </w:t>
      </w:r>
      <w:r>
        <w:t>Vouchers</w:t>
      </w:r>
      <w:r>
        <w:tab/>
        <w:t>426</w:t>
      </w:r>
    </w:p>
    <w:p w:rsidR="004E13A5" w:rsidRDefault="00681463">
      <w:pPr>
        <w:pStyle w:val="BodyText"/>
        <w:tabs>
          <w:tab w:val="right" w:leader="dot" w:pos="9461"/>
        </w:tabs>
        <w:spacing w:before="120"/>
      </w:pPr>
      <w:r>
        <w:t>PART VI: USE OF FUNDS, REPORTING, AND</w:t>
      </w:r>
      <w:r>
        <w:rPr>
          <w:spacing w:val="-4"/>
        </w:rPr>
        <w:t xml:space="preserve"> </w:t>
      </w:r>
      <w:r>
        <w:t>FINANCIAL</w:t>
      </w:r>
      <w:r>
        <w:rPr>
          <w:spacing w:val="-4"/>
        </w:rPr>
        <w:t xml:space="preserve"> </w:t>
      </w:r>
      <w:r>
        <w:t>RECORDS</w:t>
      </w:r>
      <w:r>
        <w:tab/>
        <w:t>427</w:t>
      </w:r>
    </w:p>
    <w:p w:rsidR="004E13A5" w:rsidRDefault="00681463">
      <w:pPr>
        <w:pStyle w:val="BodyText"/>
        <w:tabs>
          <w:tab w:val="right" w:leader="dot" w:pos="9461"/>
        </w:tabs>
        <w:spacing w:before="120"/>
      </w:pPr>
      <w:r>
        <w:t>EXHIBIT TPS-2: HOMELESS</w:t>
      </w:r>
      <w:r>
        <w:rPr>
          <w:spacing w:val="-2"/>
        </w:rPr>
        <w:t xml:space="preserve"> </w:t>
      </w:r>
      <w:r>
        <w:t>PROVIDER’S</w:t>
      </w:r>
      <w:r>
        <w:rPr>
          <w:spacing w:val="-1"/>
        </w:rPr>
        <w:t xml:space="preserve"> </w:t>
      </w:r>
      <w:r>
        <w:t>CERTIFICATION</w:t>
      </w:r>
      <w:r>
        <w:tab/>
        <w:t>428</w:t>
      </w:r>
    </w:p>
    <w:p w:rsidR="004E13A5" w:rsidRDefault="00681463">
      <w:pPr>
        <w:pStyle w:val="BodyText"/>
        <w:spacing w:before="120"/>
        <w:ind w:left="82" w:right="90"/>
        <w:jc w:val="center"/>
      </w:pPr>
      <w:r>
        <w:t>EXHIBIT TPS-3: EXAMPLE OF A VICTIM SERVICES PROVIDER’S CERTIFICATION..432</w:t>
      </w:r>
    </w:p>
    <w:p w:rsidR="004E13A5" w:rsidRDefault="004E13A5">
      <w:pPr>
        <w:pStyle w:val="BodyText"/>
        <w:spacing w:before="4"/>
        <w:ind w:left="0"/>
        <w:rPr>
          <w:sz w:val="34"/>
        </w:rPr>
      </w:pPr>
    </w:p>
    <w:p w:rsidR="004E13A5" w:rsidRDefault="00681463">
      <w:pPr>
        <w:pStyle w:val="Heading4"/>
        <w:spacing w:before="1"/>
        <w:ind w:left="10" w:right="90"/>
        <w:jc w:val="center"/>
      </w:pPr>
      <w:r>
        <w:t>Chapter 19</w:t>
      </w:r>
    </w:p>
    <w:p w:rsidR="004E13A5" w:rsidRDefault="00681463">
      <w:pPr>
        <w:ind w:left="10" w:right="90"/>
        <w:jc w:val="center"/>
        <w:rPr>
          <w:b/>
          <w:sz w:val="24"/>
        </w:rPr>
      </w:pPr>
      <w:r>
        <w:rPr>
          <w:b/>
          <w:sz w:val="24"/>
        </w:rPr>
        <w:t>SPECIAL PURPOSE VOUCHERS</w:t>
      </w:r>
    </w:p>
    <w:p w:rsidR="004E13A5" w:rsidRDefault="00681463">
      <w:pPr>
        <w:pStyle w:val="BodyText"/>
        <w:tabs>
          <w:tab w:val="left" w:pos="1360"/>
          <w:tab w:val="right" w:leader="dot" w:pos="9461"/>
        </w:tabs>
        <w:spacing w:before="120"/>
      </w:pPr>
      <w:r>
        <w:t>PART</w:t>
      </w:r>
      <w:r>
        <w:rPr>
          <w:spacing w:val="1"/>
        </w:rPr>
        <w:t xml:space="preserve"> </w:t>
      </w:r>
      <w:r>
        <w:rPr>
          <w:spacing w:val="-3"/>
        </w:rPr>
        <w:t>I:</w:t>
      </w:r>
      <w:r>
        <w:rPr>
          <w:spacing w:val="-3"/>
        </w:rPr>
        <w:tab/>
      </w:r>
      <w:r>
        <w:t>VETERANS AFFAIRS SUPPORTIVE HOUSING</w:t>
      </w:r>
      <w:r>
        <w:rPr>
          <w:spacing w:val="-3"/>
        </w:rPr>
        <w:t xml:space="preserve"> </w:t>
      </w:r>
      <w:r>
        <w:t>(VASH)</w:t>
      </w:r>
      <w:r>
        <w:rPr>
          <w:spacing w:val="-3"/>
        </w:rPr>
        <w:t xml:space="preserve"> </w:t>
      </w:r>
      <w:r>
        <w:t>PROGRAM</w:t>
      </w:r>
      <w:r>
        <w:tab/>
        <w:t>434</w:t>
      </w:r>
    </w:p>
    <w:p w:rsidR="004E13A5" w:rsidRDefault="00681463">
      <w:pPr>
        <w:pStyle w:val="BodyText"/>
        <w:tabs>
          <w:tab w:val="left" w:pos="2332"/>
          <w:tab w:val="right" w:leader="dot" w:pos="9461"/>
        </w:tabs>
        <w:spacing w:before="0"/>
        <w:ind w:left="1367"/>
      </w:pPr>
      <w:r>
        <w:t>19-I.A.</w:t>
      </w:r>
      <w:r>
        <w:tab/>
        <w:t>Overview</w:t>
      </w:r>
      <w:r>
        <w:tab/>
        <w:t>434</w:t>
      </w:r>
    </w:p>
    <w:p w:rsidR="004E13A5" w:rsidRDefault="00681463">
      <w:pPr>
        <w:pStyle w:val="BodyText"/>
        <w:tabs>
          <w:tab w:val="left" w:pos="2332"/>
          <w:tab w:val="right" w:leader="dot" w:pos="9461"/>
        </w:tabs>
        <w:spacing w:before="0"/>
        <w:ind w:left="1367"/>
      </w:pPr>
      <w:r>
        <w:t>19-I.B.</w:t>
      </w:r>
      <w:r>
        <w:tab/>
        <w:t>Referrals [FR Notice 3/23/12 and HUD-VASH Qs</w:t>
      </w:r>
      <w:r>
        <w:rPr>
          <w:spacing w:val="-4"/>
        </w:rPr>
        <w:t xml:space="preserve"> </w:t>
      </w:r>
      <w:r>
        <w:t>and</w:t>
      </w:r>
      <w:r>
        <w:rPr>
          <w:spacing w:val="-1"/>
        </w:rPr>
        <w:t xml:space="preserve"> </w:t>
      </w:r>
      <w:r>
        <w:t>As]</w:t>
      </w:r>
      <w:r>
        <w:tab/>
        <w:t>435</w:t>
      </w:r>
    </w:p>
    <w:p w:rsidR="004E13A5" w:rsidRDefault="00681463">
      <w:pPr>
        <w:pStyle w:val="BodyText"/>
        <w:tabs>
          <w:tab w:val="left" w:pos="2332"/>
          <w:tab w:val="right" w:leader="dot" w:pos="9461"/>
        </w:tabs>
        <w:spacing w:before="0"/>
        <w:ind w:left="1367"/>
      </w:pPr>
      <w:r>
        <w:t>19-I.C.</w:t>
      </w:r>
      <w:r>
        <w:tab/>
        <w:t>HCV Program Eligibility [FR</w:t>
      </w:r>
      <w:r>
        <w:rPr>
          <w:spacing w:val="-4"/>
        </w:rPr>
        <w:t xml:space="preserve"> </w:t>
      </w:r>
      <w:r>
        <w:t>Notice</w:t>
      </w:r>
      <w:r>
        <w:rPr>
          <w:spacing w:val="-3"/>
        </w:rPr>
        <w:t xml:space="preserve"> </w:t>
      </w:r>
      <w:r>
        <w:t>3/23/12]</w:t>
      </w:r>
      <w:r>
        <w:tab/>
        <w:t>436</w:t>
      </w:r>
    </w:p>
    <w:p w:rsidR="004E13A5" w:rsidRDefault="00681463">
      <w:pPr>
        <w:pStyle w:val="BodyText"/>
        <w:tabs>
          <w:tab w:val="right" w:leader="dot" w:pos="9461"/>
        </w:tabs>
        <w:spacing w:before="0"/>
        <w:ind w:left="2693"/>
      </w:pPr>
      <w:r>
        <w:t>Social Security</w:t>
      </w:r>
      <w:r>
        <w:rPr>
          <w:spacing w:val="-5"/>
        </w:rPr>
        <w:t xml:space="preserve"> </w:t>
      </w:r>
      <w:r>
        <w:t>Numbers</w:t>
      </w:r>
      <w:r>
        <w:tab/>
        <w:t>436</w:t>
      </w:r>
    </w:p>
    <w:p w:rsidR="004E13A5" w:rsidRDefault="00681463">
      <w:pPr>
        <w:pStyle w:val="BodyText"/>
        <w:tabs>
          <w:tab w:val="right" w:leader="dot" w:pos="9461"/>
        </w:tabs>
        <w:spacing w:before="0"/>
        <w:ind w:left="2693"/>
      </w:pPr>
      <w:r>
        <w:t>Proof</w:t>
      </w:r>
      <w:r>
        <w:rPr>
          <w:spacing w:val="-3"/>
        </w:rPr>
        <w:t xml:space="preserve"> </w:t>
      </w:r>
      <w:r>
        <w:t>of</w:t>
      </w:r>
      <w:r>
        <w:rPr>
          <w:spacing w:val="-1"/>
        </w:rPr>
        <w:t xml:space="preserve"> </w:t>
      </w:r>
      <w:r>
        <w:t>Age</w:t>
      </w:r>
      <w:r>
        <w:tab/>
        <w:t>436</w:t>
      </w:r>
    </w:p>
    <w:p w:rsidR="004E13A5" w:rsidRDefault="00681463">
      <w:pPr>
        <w:pStyle w:val="BodyText"/>
        <w:tabs>
          <w:tab w:val="right" w:leader="dot" w:pos="9461"/>
        </w:tabs>
        <w:spacing w:before="0"/>
        <w:ind w:left="2693"/>
      </w:pPr>
      <w:r>
        <w:t>Photo</w:t>
      </w:r>
      <w:r>
        <w:rPr>
          <w:spacing w:val="1"/>
        </w:rPr>
        <w:t xml:space="preserve"> </w:t>
      </w:r>
      <w:r>
        <w:t>Identification</w:t>
      </w:r>
      <w:r>
        <w:tab/>
        <w:t>437</w:t>
      </w:r>
    </w:p>
    <w:p w:rsidR="004E13A5" w:rsidRDefault="00681463">
      <w:pPr>
        <w:pStyle w:val="BodyText"/>
        <w:tabs>
          <w:tab w:val="right" w:leader="dot" w:pos="9461"/>
        </w:tabs>
        <w:spacing w:before="0"/>
        <w:ind w:left="2693"/>
      </w:pPr>
      <w:r>
        <w:t>Income</w:t>
      </w:r>
      <w:r>
        <w:rPr>
          <w:spacing w:val="-1"/>
        </w:rPr>
        <w:t xml:space="preserve"> </w:t>
      </w:r>
      <w:r>
        <w:t>Eligibility</w:t>
      </w:r>
      <w:r>
        <w:tab/>
        <w:t>437</w:t>
      </w:r>
    </w:p>
    <w:p w:rsidR="004E13A5" w:rsidRDefault="00681463">
      <w:pPr>
        <w:pStyle w:val="BodyText"/>
        <w:tabs>
          <w:tab w:val="right" w:leader="dot" w:pos="9461"/>
        </w:tabs>
        <w:spacing w:before="0"/>
        <w:ind w:left="2693"/>
      </w:pPr>
      <w:r>
        <w:t>Screening</w:t>
      </w:r>
      <w:r>
        <w:tab/>
        <w:t>437</w:t>
      </w:r>
    </w:p>
    <w:p w:rsidR="004E13A5" w:rsidRDefault="00681463">
      <w:pPr>
        <w:pStyle w:val="BodyText"/>
        <w:tabs>
          <w:tab w:val="right" w:leader="dot" w:pos="9461"/>
        </w:tabs>
        <w:spacing w:before="0"/>
        <w:ind w:left="2693"/>
      </w:pPr>
      <w:r>
        <w:t>Denial of Assistance [Notice</w:t>
      </w:r>
      <w:r>
        <w:rPr>
          <w:spacing w:val="-5"/>
        </w:rPr>
        <w:t xml:space="preserve"> </w:t>
      </w:r>
      <w:r>
        <w:t>PIH 2008-37]</w:t>
      </w:r>
      <w:r>
        <w:tab/>
        <w:t>437</w:t>
      </w:r>
    </w:p>
    <w:p w:rsidR="004E13A5" w:rsidRDefault="00681463">
      <w:pPr>
        <w:pStyle w:val="BodyText"/>
        <w:tabs>
          <w:tab w:val="left" w:pos="2332"/>
          <w:tab w:val="right" w:leader="dot" w:pos="9461"/>
        </w:tabs>
        <w:spacing w:before="0"/>
        <w:ind w:left="1367"/>
      </w:pPr>
      <w:r>
        <w:t>19-I.D.</w:t>
      </w:r>
      <w:r>
        <w:tab/>
        <w:t>Changes in</w:t>
      </w:r>
      <w:r>
        <w:rPr>
          <w:spacing w:val="2"/>
        </w:rPr>
        <w:t xml:space="preserve"> </w:t>
      </w:r>
      <w:r>
        <w:t>Family</w:t>
      </w:r>
      <w:r>
        <w:rPr>
          <w:spacing w:val="-6"/>
        </w:rPr>
        <w:t xml:space="preserve"> </w:t>
      </w:r>
      <w:r>
        <w:t>Composition</w:t>
      </w:r>
      <w:r>
        <w:tab/>
        <w:t>438</w:t>
      </w:r>
    </w:p>
    <w:p w:rsidR="004E13A5" w:rsidRDefault="00681463">
      <w:pPr>
        <w:pStyle w:val="BodyText"/>
        <w:tabs>
          <w:tab w:val="right" w:leader="dot" w:pos="9461"/>
        </w:tabs>
        <w:spacing w:before="0"/>
        <w:ind w:left="2693"/>
      </w:pPr>
      <w:r>
        <w:t>Adding Family Members [FR</w:t>
      </w:r>
      <w:r>
        <w:rPr>
          <w:spacing w:val="-5"/>
        </w:rPr>
        <w:t xml:space="preserve"> </w:t>
      </w:r>
      <w:r>
        <w:t>Notice</w:t>
      </w:r>
      <w:r>
        <w:rPr>
          <w:spacing w:val="-3"/>
        </w:rPr>
        <w:t xml:space="preserve"> </w:t>
      </w:r>
      <w:r>
        <w:t>3/23/12]</w:t>
      </w:r>
      <w:r>
        <w:tab/>
        <w:t>438</w:t>
      </w:r>
    </w:p>
    <w:p w:rsidR="004E13A5" w:rsidRDefault="00681463">
      <w:pPr>
        <w:pStyle w:val="BodyText"/>
        <w:tabs>
          <w:tab w:val="right" w:leader="dot" w:pos="9461"/>
        </w:tabs>
        <w:spacing w:before="0"/>
        <w:ind w:left="2693"/>
      </w:pPr>
      <w:r>
        <w:t>Remaining Family Members [HUD-VASH Qs</w:t>
      </w:r>
      <w:r>
        <w:rPr>
          <w:spacing w:val="-5"/>
        </w:rPr>
        <w:t xml:space="preserve"> </w:t>
      </w:r>
      <w:r>
        <w:t>and</w:t>
      </w:r>
      <w:r>
        <w:rPr>
          <w:spacing w:val="-1"/>
        </w:rPr>
        <w:t xml:space="preserve"> </w:t>
      </w:r>
      <w:r>
        <w:t>As]</w:t>
      </w:r>
      <w:r>
        <w:tab/>
        <w:t>438</w:t>
      </w:r>
    </w:p>
    <w:p w:rsidR="004E13A5" w:rsidRDefault="00681463">
      <w:pPr>
        <w:pStyle w:val="BodyText"/>
        <w:tabs>
          <w:tab w:val="right" w:leader="dot" w:pos="9461"/>
        </w:tabs>
        <w:spacing w:before="0"/>
        <w:ind w:left="2693"/>
      </w:pPr>
      <w:r>
        <w:t>Family Break Up [HUD-VASH Qs</w:t>
      </w:r>
      <w:r>
        <w:rPr>
          <w:spacing w:val="-4"/>
        </w:rPr>
        <w:t xml:space="preserve"> </w:t>
      </w:r>
      <w:r>
        <w:t>and</w:t>
      </w:r>
      <w:r>
        <w:rPr>
          <w:spacing w:val="-1"/>
        </w:rPr>
        <w:t xml:space="preserve"> </w:t>
      </w:r>
      <w:r>
        <w:t>As]</w:t>
      </w:r>
      <w:r>
        <w:tab/>
        <w:t>438</w:t>
      </w:r>
    </w:p>
    <w:p w:rsidR="004E13A5" w:rsidRDefault="00681463">
      <w:pPr>
        <w:pStyle w:val="BodyText"/>
        <w:tabs>
          <w:tab w:val="left" w:pos="2332"/>
          <w:tab w:val="right" w:leader="dot" w:pos="9461"/>
        </w:tabs>
        <w:spacing w:before="0"/>
        <w:ind w:left="1367"/>
      </w:pPr>
      <w:r>
        <w:t>19-I.E.</w:t>
      </w:r>
      <w:r>
        <w:tab/>
        <w:t>Leasing [FR</w:t>
      </w:r>
      <w:r>
        <w:rPr>
          <w:spacing w:val="-4"/>
        </w:rPr>
        <w:t xml:space="preserve"> </w:t>
      </w:r>
      <w:r>
        <w:t>Notice</w:t>
      </w:r>
      <w:r>
        <w:rPr>
          <w:spacing w:val="-3"/>
        </w:rPr>
        <w:t xml:space="preserve"> </w:t>
      </w:r>
      <w:r>
        <w:t>3/23/12]</w:t>
      </w:r>
      <w:r>
        <w:tab/>
        <w:t>438</w:t>
      </w:r>
    </w:p>
    <w:p w:rsidR="004E13A5" w:rsidRDefault="00681463">
      <w:pPr>
        <w:pStyle w:val="BodyText"/>
        <w:tabs>
          <w:tab w:val="right" w:leader="dot" w:pos="9461"/>
        </w:tabs>
        <w:spacing w:before="0"/>
        <w:ind w:left="2693"/>
      </w:pPr>
      <w:r>
        <w:t>Waiting</w:t>
      </w:r>
      <w:r>
        <w:rPr>
          <w:spacing w:val="-1"/>
        </w:rPr>
        <w:t xml:space="preserve"> </w:t>
      </w:r>
      <w:r>
        <w:t>List</w:t>
      </w:r>
      <w:r>
        <w:tab/>
        <w:t>438</w:t>
      </w:r>
    </w:p>
    <w:p w:rsidR="004E13A5" w:rsidRDefault="00681463">
      <w:pPr>
        <w:pStyle w:val="BodyText"/>
        <w:tabs>
          <w:tab w:val="right" w:leader="dot" w:pos="9461"/>
        </w:tabs>
        <w:spacing w:before="0"/>
        <w:ind w:left="2693"/>
      </w:pPr>
      <w:r>
        <w:t>Voucher</w:t>
      </w:r>
      <w:r>
        <w:rPr>
          <w:spacing w:val="2"/>
        </w:rPr>
        <w:t xml:space="preserve"> </w:t>
      </w:r>
      <w:r>
        <w:t>Issuance</w:t>
      </w:r>
      <w:r>
        <w:tab/>
        <w:t>439</w:t>
      </w:r>
    </w:p>
    <w:p w:rsidR="004E13A5" w:rsidRDefault="00681463">
      <w:pPr>
        <w:pStyle w:val="BodyText"/>
        <w:tabs>
          <w:tab w:val="right" w:leader="dot" w:pos="9461"/>
        </w:tabs>
        <w:spacing w:before="1"/>
        <w:ind w:left="2693"/>
      </w:pPr>
      <w:r>
        <w:t>Initial</w:t>
      </w:r>
      <w:r>
        <w:rPr>
          <w:spacing w:val="1"/>
        </w:rPr>
        <w:t xml:space="preserve"> </w:t>
      </w:r>
      <w:r>
        <w:t>Lease</w:t>
      </w:r>
      <w:r>
        <w:rPr>
          <w:spacing w:val="-2"/>
        </w:rPr>
        <w:t xml:space="preserve"> </w:t>
      </w:r>
      <w:r>
        <w:t>Term</w:t>
      </w:r>
      <w:r>
        <w:tab/>
        <w:t>439</w:t>
      </w:r>
    </w:p>
    <w:p w:rsidR="004E13A5" w:rsidRDefault="00681463">
      <w:pPr>
        <w:pStyle w:val="BodyText"/>
        <w:tabs>
          <w:tab w:val="right" w:leader="dot" w:pos="9461"/>
        </w:tabs>
        <w:spacing w:before="0"/>
        <w:ind w:left="2693"/>
      </w:pPr>
      <w:r>
        <w:t>Ineligible Housing [FR</w:t>
      </w:r>
      <w:r>
        <w:rPr>
          <w:spacing w:val="-3"/>
        </w:rPr>
        <w:t xml:space="preserve"> </w:t>
      </w:r>
      <w:r>
        <w:t>Notice</w:t>
      </w:r>
      <w:r>
        <w:rPr>
          <w:spacing w:val="-3"/>
        </w:rPr>
        <w:t xml:space="preserve"> </w:t>
      </w:r>
      <w:r>
        <w:t>6/18/14]</w:t>
      </w:r>
      <w:r>
        <w:tab/>
        <w:t>439</w:t>
      </w:r>
    </w:p>
    <w:p w:rsidR="004E13A5" w:rsidRDefault="002C4221">
      <w:pPr>
        <w:pStyle w:val="BodyText"/>
        <w:tabs>
          <w:tab w:val="right" w:leader="dot" w:pos="9461"/>
        </w:tabs>
        <w:spacing w:before="0"/>
        <w:ind w:left="2693"/>
      </w:pPr>
      <w:r>
        <w:t>NSPIRE</w:t>
      </w:r>
      <w:r w:rsidR="00681463">
        <w:rPr>
          <w:spacing w:val="-1"/>
        </w:rPr>
        <w:t xml:space="preserve"> </w:t>
      </w:r>
      <w:r w:rsidR="00681463">
        <w:t>Pre-Inspections</w:t>
      </w:r>
      <w:r w:rsidR="00681463">
        <w:tab/>
        <w:t>439</w:t>
      </w:r>
    </w:p>
    <w:p w:rsidR="004E13A5" w:rsidRDefault="00681463">
      <w:pPr>
        <w:pStyle w:val="BodyText"/>
        <w:tabs>
          <w:tab w:val="left" w:pos="2332"/>
          <w:tab w:val="right" w:leader="dot" w:pos="9461"/>
        </w:tabs>
        <w:spacing w:before="0"/>
        <w:ind w:left="1367"/>
      </w:pPr>
      <w:r>
        <w:t>19-I.F.</w:t>
      </w:r>
      <w:r>
        <w:tab/>
        <w:t>Portability [FR Notice 3/23/12 and Notice</w:t>
      </w:r>
      <w:r>
        <w:rPr>
          <w:spacing w:val="-12"/>
        </w:rPr>
        <w:t xml:space="preserve"> </w:t>
      </w:r>
      <w:r>
        <w:t>PIH 2011-53]</w:t>
      </w:r>
      <w:r>
        <w:tab/>
        <w:t>440</w:t>
      </w:r>
    </w:p>
    <w:p w:rsidR="004E13A5" w:rsidRDefault="00681463">
      <w:pPr>
        <w:pStyle w:val="BodyText"/>
        <w:tabs>
          <w:tab w:val="right" w:leader="dot" w:pos="9461"/>
        </w:tabs>
        <w:spacing w:before="0"/>
        <w:ind w:left="2693"/>
      </w:pPr>
      <w:r>
        <w:t>General</w:t>
      </w:r>
      <w:r>
        <w:rPr>
          <w:spacing w:val="-1"/>
        </w:rPr>
        <w:t xml:space="preserve"> </w:t>
      </w:r>
      <w:r>
        <w:t>Requirements</w:t>
      </w:r>
      <w:r>
        <w:tab/>
        <w:t>440</w:t>
      </w:r>
    </w:p>
    <w:p w:rsidR="004E13A5" w:rsidRDefault="00681463">
      <w:pPr>
        <w:pStyle w:val="BodyText"/>
        <w:tabs>
          <w:tab w:val="right" w:leader="dot" w:pos="9461"/>
        </w:tabs>
        <w:spacing w:before="0"/>
        <w:ind w:left="2693"/>
      </w:pPr>
      <w:r>
        <w:t>Portability within the Initial VAMC’s</w:t>
      </w:r>
      <w:r>
        <w:rPr>
          <w:spacing w:val="-8"/>
        </w:rPr>
        <w:t xml:space="preserve"> </w:t>
      </w:r>
      <w:r>
        <w:t>Catchment</w:t>
      </w:r>
      <w:r>
        <w:rPr>
          <w:spacing w:val="-1"/>
        </w:rPr>
        <w:t xml:space="preserve"> </w:t>
      </w:r>
      <w:r>
        <w:t>Area</w:t>
      </w:r>
      <w:r>
        <w:tab/>
        <w:t>440</w:t>
      </w:r>
    </w:p>
    <w:p w:rsidR="004E13A5" w:rsidRDefault="00681463">
      <w:pPr>
        <w:pStyle w:val="BodyText"/>
        <w:tabs>
          <w:tab w:val="right" w:leader="dot" w:pos="9461"/>
        </w:tabs>
        <w:spacing w:before="0"/>
        <w:ind w:left="2693"/>
      </w:pPr>
      <w:r>
        <w:t>Portability Outside of the Initial VAMC’s</w:t>
      </w:r>
      <w:r>
        <w:rPr>
          <w:spacing w:val="-8"/>
        </w:rPr>
        <w:t xml:space="preserve"> </w:t>
      </w:r>
      <w:r>
        <w:t>Catchment</w:t>
      </w:r>
      <w:r>
        <w:rPr>
          <w:spacing w:val="-1"/>
        </w:rPr>
        <w:t xml:space="preserve"> </w:t>
      </w:r>
      <w:r>
        <w:t>Area</w:t>
      </w:r>
      <w:r>
        <w:tab/>
        <w:t>440</w:t>
      </w:r>
    </w:p>
    <w:p w:rsidR="004E13A5" w:rsidRDefault="00681463">
      <w:pPr>
        <w:pStyle w:val="BodyText"/>
        <w:tabs>
          <w:tab w:val="left" w:pos="2332"/>
          <w:tab w:val="right" w:leader="dot" w:pos="9461"/>
        </w:tabs>
        <w:spacing w:before="0"/>
        <w:ind w:left="1367"/>
      </w:pPr>
      <w:r>
        <w:t>19-I.G.</w:t>
      </w:r>
      <w:r>
        <w:tab/>
        <w:t>Termination of Assistance [FR</w:t>
      </w:r>
      <w:r>
        <w:rPr>
          <w:spacing w:val="-2"/>
        </w:rPr>
        <w:t xml:space="preserve"> </w:t>
      </w:r>
      <w:r>
        <w:t>Notice</w:t>
      </w:r>
      <w:r>
        <w:rPr>
          <w:spacing w:val="-3"/>
        </w:rPr>
        <w:t xml:space="preserve"> </w:t>
      </w:r>
      <w:r>
        <w:t>3/23/12]</w:t>
      </w:r>
      <w:r>
        <w:tab/>
        <w:t>441</w:t>
      </w:r>
    </w:p>
    <w:p w:rsidR="004E13A5" w:rsidRDefault="00681463">
      <w:pPr>
        <w:pStyle w:val="BodyText"/>
        <w:tabs>
          <w:tab w:val="right" w:leader="dot" w:pos="9461"/>
        </w:tabs>
        <w:spacing w:before="0"/>
        <w:ind w:left="2693"/>
      </w:pPr>
      <w:r>
        <w:t>Cessation of</w:t>
      </w:r>
      <w:r>
        <w:rPr>
          <w:spacing w:val="-1"/>
        </w:rPr>
        <w:t xml:space="preserve"> </w:t>
      </w:r>
      <w:r>
        <w:t>Case</w:t>
      </w:r>
      <w:r>
        <w:rPr>
          <w:spacing w:val="-3"/>
        </w:rPr>
        <w:t xml:space="preserve"> </w:t>
      </w:r>
      <w:r>
        <w:t>Management</w:t>
      </w:r>
      <w:r>
        <w:tab/>
        <w:t>441</w:t>
      </w:r>
    </w:p>
    <w:p w:rsidR="004E13A5" w:rsidRDefault="00681463">
      <w:pPr>
        <w:pStyle w:val="BodyText"/>
        <w:tabs>
          <w:tab w:val="right" w:leader="dot" w:pos="9461"/>
        </w:tabs>
        <w:spacing w:before="0"/>
        <w:ind w:left="2693"/>
      </w:pPr>
      <w:r>
        <w:t>VAWA [HUD VASH Qs and As and Notice</w:t>
      </w:r>
      <w:r>
        <w:rPr>
          <w:spacing w:val="-4"/>
        </w:rPr>
        <w:t xml:space="preserve"> </w:t>
      </w:r>
      <w:r>
        <w:t>PIH 2017-08]</w:t>
      </w:r>
      <w:r>
        <w:tab/>
        <w:t>441</w:t>
      </w:r>
    </w:p>
    <w:p w:rsidR="004E13A5" w:rsidRDefault="004E13A5">
      <w:pPr>
        <w:sectPr w:rsidR="004E13A5">
          <w:pgSz w:w="12240" w:h="15840"/>
          <w:pgMar w:top="1360" w:right="1260" w:bottom="640" w:left="1340" w:header="0" w:footer="381" w:gutter="0"/>
          <w:cols w:space="720"/>
        </w:sectPr>
      </w:pPr>
    </w:p>
    <w:p w:rsidR="004E13A5" w:rsidRDefault="00681463">
      <w:pPr>
        <w:pStyle w:val="BodyText"/>
        <w:tabs>
          <w:tab w:val="left" w:pos="2332"/>
          <w:tab w:val="left" w:leader="dot" w:pos="9101"/>
        </w:tabs>
        <w:spacing w:before="79"/>
        <w:ind w:left="1367"/>
      </w:pPr>
      <w:r>
        <w:lastRenderedPageBreak/>
        <w:t>19-I.H.</w:t>
      </w:r>
      <w:r>
        <w:tab/>
        <w:t>Project-Basing</w:t>
      </w:r>
      <w:r>
        <w:rPr>
          <w:spacing w:val="-2"/>
        </w:rPr>
        <w:t xml:space="preserve"> </w:t>
      </w:r>
      <w:r>
        <w:t>VASH</w:t>
      </w:r>
      <w:r>
        <w:rPr>
          <w:spacing w:val="-2"/>
        </w:rPr>
        <w:t xml:space="preserve"> </w:t>
      </w:r>
      <w:r>
        <w:t>Vouchers</w:t>
      </w:r>
      <w:r>
        <w:tab/>
        <w:t>442</w:t>
      </w:r>
    </w:p>
    <w:p w:rsidR="004E13A5" w:rsidRDefault="00681463">
      <w:pPr>
        <w:pStyle w:val="BodyText"/>
        <w:tabs>
          <w:tab w:val="left" w:leader="dot" w:pos="9101"/>
        </w:tabs>
        <w:spacing w:before="0"/>
        <w:ind w:left="2693"/>
      </w:pPr>
      <w:r>
        <w:t>General Requirements [Notice</w:t>
      </w:r>
      <w:r>
        <w:rPr>
          <w:spacing w:val="-7"/>
        </w:rPr>
        <w:t xml:space="preserve"> </w:t>
      </w:r>
      <w:r>
        <w:t>PIH</w:t>
      </w:r>
      <w:r>
        <w:rPr>
          <w:spacing w:val="-2"/>
        </w:rPr>
        <w:t xml:space="preserve"> </w:t>
      </w:r>
      <w:r>
        <w:t>2017-21]</w:t>
      </w:r>
      <w:r>
        <w:tab/>
        <w:t>442</w:t>
      </w:r>
    </w:p>
    <w:p w:rsidR="004E13A5" w:rsidRDefault="00681463">
      <w:pPr>
        <w:pStyle w:val="BodyText"/>
        <w:tabs>
          <w:tab w:val="left" w:leader="dot" w:pos="9101"/>
        </w:tabs>
        <w:spacing w:before="0"/>
        <w:ind w:left="2693"/>
      </w:pPr>
      <w:r>
        <w:t>Moves [HUD-VASH Qs</w:t>
      </w:r>
      <w:r>
        <w:rPr>
          <w:spacing w:val="-2"/>
        </w:rPr>
        <w:t xml:space="preserve"> </w:t>
      </w:r>
      <w:r>
        <w:t>and</w:t>
      </w:r>
      <w:r>
        <w:rPr>
          <w:spacing w:val="-2"/>
        </w:rPr>
        <w:t xml:space="preserve"> </w:t>
      </w:r>
      <w:r>
        <w:t>As]</w:t>
      </w:r>
      <w:r>
        <w:tab/>
        <w:t>443</w:t>
      </w:r>
    </w:p>
    <w:p w:rsidR="004E13A5" w:rsidRDefault="00681463">
      <w:pPr>
        <w:pStyle w:val="BodyText"/>
        <w:tabs>
          <w:tab w:val="left" w:pos="1360"/>
          <w:tab w:val="left" w:leader="dot" w:pos="9101"/>
        </w:tabs>
      </w:pPr>
      <w:r>
        <w:t>PART</w:t>
      </w:r>
      <w:r>
        <w:rPr>
          <w:spacing w:val="2"/>
        </w:rPr>
        <w:t xml:space="preserve"> </w:t>
      </w:r>
      <w:r>
        <w:rPr>
          <w:spacing w:val="-3"/>
        </w:rPr>
        <w:t>II:</w:t>
      </w:r>
      <w:r>
        <w:rPr>
          <w:spacing w:val="-3"/>
        </w:rPr>
        <w:tab/>
      </w:r>
      <w:r>
        <w:t>MAINSTREAM</w:t>
      </w:r>
      <w:r>
        <w:rPr>
          <w:spacing w:val="-2"/>
        </w:rPr>
        <w:t xml:space="preserve"> </w:t>
      </w:r>
      <w:r>
        <w:t>VOUCHER</w:t>
      </w:r>
      <w:r>
        <w:rPr>
          <w:spacing w:val="-2"/>
        </w:rPr>
        <w:t xml:space="preserve"> </w:t>
      </w:r>
      <w:r>
        <w:t>PROGRAM</w:t>
      </w:r>
      <w:r>
        <w:tab/>
        <w:t>443</w:t>
      </w:r>
    </w:p>
    <w:p w:rsidR="004E13A5" w:rsidRDefault="00681463">
      <w:pPr>
        <w:pStyle w:val="BodyText"/>
        <w:tabs>
          <w:tab w:val="left" w:leader="dot" w:pos="9101"/>
        </w:tabs>
        <w:spacing w:before="0"/>
        <w:ind w:left="1367"/>
      </w:pPr>
      <w:r>
        <w:t>19-II.A.   Program Overview [Notice</w:t>
      </w:r>
      <w:r>
        <w:rPr>
          <w:spacing w:val="5"/>
        </w:rPr>
        <w:t xml:space="preserve"> </w:t>
      </w:r>
      <w:r>
        <w:t>PIH</w:t>
      </w:r>
      <w:r>
        <w:rPr>
          <w:spacing w:val="-2"/>
        </w:rPr>
        <w:t xml:space="preserve"> </w:t>
      </w:r>
      <w:r>
        <w:t>2020-01]</w:t>
      </w:r>
      <w:r>
        <w:tab/>
        <w:t>443</w:t>
      </w:r>
    </w:p>
    <w:p w:rsidR="004E13A5" w:rsidRDefault="00681463">
      <w:pPr>
        <w:pStyle w:val="BodyText"/>
        <w:tabs>
          <w:tab w:val="left" w:pos="2332"/>
        </w:tabs>
        <w:spacing w:before="0"/>
        <w:ind w:left="1367"/>
      </w:pPr>
      <w:r>
        <w:t>19-II.B.</w:t>
      </w:r>
      <w:r>
        <w:tab/>
        <w:t>Eligible Population [Notice PIH 2020-01</w:t>
      </w:r>
      <w:r>
        <w:rPr>
          <w:spacing w:val="-7"/>
        </w:rPr>
        <w:t xml:space="preserve"> </w:t>
      </w:r>
      <w:r>
        <w:t>and</w:t>
      </w:r>
    </w:p>
    <w:p w:rsidR="004E13A5" w:rsidRDefault="00681463">
      <w:pPr>
        <w:pStyle w:val="BodyText"/>
        <w:tabs>
          <w:tab w:val="left" w:leader="dot" w:pos="9101"/>
        </w:tabs>
        <w:spacing w:before="0"/>
        <w:ind w:left="2332"/>
      </w:pPr>
      <w:r>
        <w:t>Notice</w:t>
      </w:r>
      <w:r>
        <w:rPr>
          <w:spacing w:val="-3"/>
        </w:rPr>
        <w:t xml:space="preserve"> </w:t>
      </w:r>
      <w:r>
        <w:t>PIH</w:t>
      </w:r>
      <w:r>
        <w:rPr>
          <w:spacing w:val="-1"/>
        </w:rPr>
        <w:t xml:space="preserve"> </w:t>
      </w:r>
      <w:r>
        <w:t>2020-22]</w:t>
      </w:r>
      <w:r>
        <w:tab/>
        <w:t>444</w:t>
      </w:r>
    </w:p>
    <w:p w:rsidR="004E13A5" w:rsidRDefault="00681463">
      <w:pPr>
        <w:pStyle w:val="BodyText"/>
        <w:tabs>
          <w:tab w:val="left" w:pos="2332"/>
          <w:tab w:val="left" w:leader="dot" w:pos="9101"/>
        </w:tabs>
        <w:spacing w:before="0"/>
        <w:ind w:left="1367"/>
      </w:pPr>
      <w:r>
        <w:t>19-II.C.</w:t>
      </w:r>
      <w:r>
        <w:tab/>
        <w:t>Partnership And Supportive Services [Notice</w:t>
      </w:r>
      <w:r>
        <w:rPr>
          <w:spacing w:val="-7"/>
        </w:rPr>
        <w:t xml:space="preserve"> </w:t>
      </w:r>
      <w:r>
        <w:t>PIH 2020-01]</w:t>
      </w:r>
      <w:r>
        <w:tab/>
        <w:t>444</w:t>
      </w:r>
    </w:p>
    <w:p w:rsidR="004E13A5" w:rsidRDefault="00681463">
      <w:pPr>
        <w:pStyle w:val="BodyText"/>
        <w:tabs>
          <w:tab w:val="left" w:leader="dot" w:pos="9101"/>
        </w:tabs>
        <w:spacing w:before="0"/>
        <w:ind w:left="1367"/>
      </w:pPr>
      <w:r>
        <w:t>19-II.D.   Waiting</w:t>
      </w:r>
      <w:r>
        <w:rPr>
          <w:spacing w:val="7"/>
        </w:rPr>
        <w:t xml:space="preserve"> </w:t>
      </w:r>
      <w:r>
        <w:t>List Administration</w:t>
      </w:r>
      <w:r>
        <w:tab/>
        <w:t>445</w:t>
      </w:r>
    </w:p>
    <w:p w:rsidR="004E13A5" w:rsidRDefault="00681463">
      <w:pPr>
        <w:pStyle w:val="BodyText"/>
        <w:spacing w:before="0"/>
        <w:ind w:left="2693"/>
      </w:pPr>
      <w:r>
        <w:t>General Waiting List Requirements [Notice PIH 2020-01</w:t>
      </w:r>
    </w:p>
    <w:p w:rsidR="004E13A5" w:rsidRDefault="00681463">
      <w:pPr>
        <w:pStyle w:val="BodyText"/>
        <w:tabs>
          <w:tab w:val="left" w:leader="dot" w:pos="9101"/>
        </w:tabs>
        <w:spacing w:before="0"/>
        <w:ind w:left="2693"/>
      </w:pPr>
      <w:r>
        <w:t>and Mainstream Voucher Basics</w:t>
      </w:r>
      <w:r>
        <w:rPr>
          <w:spacing w:val="-2"/>
        </w:rPr>
        <w:t xml:space="preserve"> </w:t>
      </w:r>
      <w:r>
        <w:t>Webinar,</w:t>
      </w:r>
      <w:r>
        <w:rPr>
          <w:spacing w:val="-1"/>
        </w:rPr>
        <w:t xml:space="preserve"> </w:t>
      </w:r>
      <w:r>
        <w:t>10/15/20]</w:t>
      </w:r>
      <w:r>
        <w:tab/>
        <w:t>445</w:t>
      </w:r>
    </w:p>
    <w:p w:rsidR="004E13A5" w:rsidRDefault="00681463">
      <w:pPr>
        <w:pStyle w:val="BodyText"/>
        <w:spacing w:before="0"/>
        <w:ind w:left="2693"/>
      </w:pPr>
      <w:r>
        <w:t>Admission Preferences [Notice PIH 2020-01;</w:t>
      </w:r>
    </w:p>
    <w:p w:rsidR="004E13A5" w:rsidRDefault="00681463">
      <w:pPr>
        <w:pStyle w:val="BodyText"/>
        <w:tabs>
          <w:tab w:val="left" w:leader="dot" w:pos="9101"/>
        </w:tabs>
        <w:spacing w:before="0"/>
        <w:ind w:left="2693"/>
      </w:pPr>
      <w:r>
        <w:t>FY17 Mainstream NOFA; FY19</w:t>
      </w:r>
      <w:r>
        <w:rPr>
          <w:spacing w:val="-5"/>
        </w:rPr>
        <w:t xml:space="preserve"> </w:t>
      </w:r>
      <w:r>
        <w:t>Mainstream</w:t>
      </w:r>
      <w:r>
        <w:rPr>
          <w:spacing w:val="-2"/>
        </w:rPr>
        <w:t xml:space="preserve"> </w:t>
      </w:r>
      <w:r>
        <w:t>NOFA]</w:t>
      </w:r>
      <w:r>
        <w:tab/>
        <w:t>445</w:t>
      </w:r>
    </w:p>
    <w:p w:rsidR="004E13A5" w:rsidRDefault="00681463">
      <w:pPr>
        <w:pStyle w:val="BodyText"/>
        <w:spacing w:before="0"/>
        <w:ind w:left="1367"/>
      </w:pPr>
      <w:r>
        <w:t>19-IV.E.  Portability [Notice PIH 2020-01 and</w:t>
      </w:r>
    </w:p>
    <w:p w:rsidR="004E13A5" w:rsidRDefault="00681463">
      <w:pPr>
        <w:pStyle w:val="BodyText"/>
        <w:tabs>
          <w:tab w:val="left" w:leader="dot" w:pos="9101"/>
        </w:tabs>
        <w:spacing w:before="0"/>
        <w:ind w:left="2332"/>
      </w:pPr>
      <w:r>
        <w:t>Mainstream Voucher Basics</w:t>
      </w:r>
      <w:r>
        <w:rPr>
          <w:spacing w:val="-1"/>
        </w:rPr>
        <w:t xml:space="preserve"> </w:t>
      </w:r>
      <w:r>
        <w:t>Webinar,</w:t>
      </w:r>
      <w:r>
        <w:rPr>
          <w:spacing w:val="-1"/>
        </w:rPr>
        <w:t xml:space="preserve"> </w:t>
      </w:r>
      <w:r>
        <w:t>10/15/20]</w:t>
      </w:r>
      <w:r>
        <w:tab/>
        <w:t>445</w:t>
      </w:r>
    </w:p>
    <w:p w:rsidR="004E13A5" w:rsidRDefault="00681463">
      <w:pPr>
        <w:pStyle w:val="BodyText"/>
        <w:spacing w:before="0"/>
        <w:ind w:left="1367"/>
      </w:pPr>
      <w:r>
        <w:t>19-IV.F.  Project-Basing Mainstream Vouchers [FY19 Mainstream</w:t>
      </w:r>
    </w:p>
    <w:p w:rsidR="004E13A5" w:rsidRDefault="00681463">
      <w:pPr>
        <w:pStyle w:val="BodyText"/>
        <w:tabs>
          <w:tab w:val="left" w:leader="dot" w:pos="9101"/>
        </w:tabs>
        <w:spacing w:before="0"/>
        <w:ind w:left="2332"/>
      </w:pPr>
      <w:r>
        <w:t>Voucher</w:t>
      </w:r>
      <w:r>
        <w:rPr>
          <w:spacing w:val="-1"/>
        </w:rPr>
        <w:t xml:space="preserve"> </w:t>
      </w:r>
      <w:r>
        <w:t>NOFA</w:t>
      </w:r>
      <w:r>
        <w:rPr>
          <w:spacing w:val="-2"/>
        </w:rPr>
        <w:t xml:space="preserve"> </w:t>
      </w:r>
      <w:r>
        <w:t>Q&amp;A]</w:t>
      </w:r>
      <w:r>
        <w:tab/>
        <w:t>446</w:t>
      </w:r>
    </w:p>
    <w:p w:rsidR="004E13A5" w:rsidRDefault="00681463">
      <w:pPr>
        <w:pStyle w:val="BodyText"/>
        <w:tabs>
          <w:tab w:val="left" w:leader="dot" w:pos="9047"/>
        </w:tabs>
        <w:spacing w:before="396"/>
      </w:pPr>
      <w:r>
        <w:t>GLOSSARY</w:t>
      </w:r>
      <w:r>
        <w:tab/>
        <w:t>447</w:t>
      </w:r>
    </w:p>
    <w:p w:rsidR="004E13A5" w:rsidRDefault="004E13A5">
      <w:pPr>
        <w:sectPr w:rsidR="004E13A5">
          <w:pgSz w:w="12240" w:h="15840"/>
          <w:pgMar w:top="1360" w:right="1320" w:bottom="640" w:left="1340" w:header="0" w:footer="381" w:gutter="0"/>
          <w:cols w:space="720"/>
        </w:sectPr>
      </w:pPr>
    </w:p>
    <w:p w:rsidR="004E13A5" w:rsidRDefault="00681463">
      <w:pPr>
        <w:pStyle w:val="BodyText"/>
        <w:spacing w:before="79"/>
        <w:ind w:left="1541" w:right="1540"/>
        <w:jc w:val="center"/>
      </w:pPr>
      <w:bookmarkStart w:id="0" w:name="_Hlk184904208"/>
      <w:r>
        <w:lastRenderedPageBreak/>
        <w:t>Introduction</w:t>
      </w:r>
    </w:p>
    <w:p w:rsidR="004E13A5" w:rsidRDefault="00681463">
      <w:pPr>
        <w:pStyle w:val="Heading4"/>
        <w:spacing w:before="5" w:line="510" w:lineRule="atLeast"/>
        <w:ind w:right="262" w:firstLine="326"/>
      </w:pPr>
      <w:r>
        <w:t>ABOUT THE REFERENCES CITED IN THE MODEL ADMINISTRATIVE PLAN AUTHORITIES FOR POLICIES IN THE MODEL ADMINISTRATIVE PLAN</w:t>
      </w:r>
    </w:p>
    <w:p w:rsidR="004E13A5" w:rsidRDefault="00681463">
      <w:pPr>
        <w:pStyle w:val="BodyText"/>
        <w:ind w:right="262"/>
      </w:pPr>
      <w:r>
        <w:t>The authority for PHA policies is derived from many sources. Primary among these sources are federal statutes, federal regulations, and guidance issued by HUD. State law also directs PHA policy. State law must be followed where such law exists and does not conflict with federal regulations. Industry practice may also be used to develop policy as long as it does not conflict with federal requirements or prohibitions.</w:t>
      </w:r>
    </w:p>
    <w:p w:rsidR="004E13A5" w:rsidRDefault="004E13A5">
      <w:pPr>
        <w:pStyle w:val="BodyText"/>
        <w:spacing w:before="9"/>
        <w:ind w:left="0"/>
        <w:rPr>
          <w:sz w:val="20"/>
        </w:rPr>
      </w:pPr>
    </w:p>
    <w:p w:rsidR="004E13A5" w:rsidRDefault="00681463">
      <w:pPr>
        <w:pStyle w:val="Heading4"/>
      </w:pPr>
      <w:r>
        <w:t>HUD</w:t>
      </w:r>
    </w:p>
    <w:p w:rsidR="004E13A5" w:rsidRDefault="00681463">
      <w:pPr>
        <w:pStyle w:val="BodyText"/>
        <w:spacing w:before="120"/>
      </w:pPr>
      <w:r>
        <w:t>HUD provides the primary source of PHA policy through federal regulations, HUD notices, and handbooks. Compliance with federal regulations, current HUD notices, and current HUD handbooks is mandatory.</w:t>
      </w:r>
    </w:p>
    <w:p w:rsidR="004E13A5" w:rsidRDefault="00681463">
      <w:pPr>
        <w:pStyle w:val="BodyText"/>
        <w:spacing w:before="120"/>
        <w:ind w:right="155"/>
        <w:jc w:val="both"/>
      </w:pPr>
      <w:r>
        <w:t>HUD also provides guidance to PHAs through other means such as HUD-published guidebooks, expired HUD notices, and expired handbooks. Basing PHA policy on HUD guidance is</w:t>
      </w:r>
      <w:r>
        <w:rPr>
          <w:spacing w:val="-13"/>
        </w:rPr>
        <w:t xml:space="preserve"> </w:t>
      </w:r>
      <w:r>
        <w:t>optional, as long as PHA policies comply with federal law, federal regulations and mandatory</w:t>
      </w:r>
      <w:r>
        <w:rPr>
          <w:spacing w:val="-15"/>
        </w:rPr>
        <w:t xml:space="preserve"> </w:t>
      </w:r>
      <w:r>
        <w:t>policy.</w:t>
      </w:r>
    </w:p>
    <w:p w:rsidR="004E13A5" w:rsidRDefault="00681463">
      <w:pPr>
        <w:pStyle w:val="BodyText"/>
        <w:spacing w:before="0"/>
        <w:ind w:right="182"/>
      </w:pPr>
      <w:r>
        <w:t>Because HUD has already determined that the guidance it provides is consistent with mandatory policies, PHA reliance on HUD guidance provides the PHA with a “safe harbor.”</w:t>
      </w:r>
    </w:p>
    <w:p w:rsidR="004E13A5" w:rsidRDefault="00681463">
      <w:pPr>
        <w:pStyle w:val="BodyText"/>
        <w:spacing w:before="120"/>
        <w:ind w:right="262"/>
      </w:pPr>
      <w:r>
        <w:t>Material posted on the HUD website can provide further clarification of HUD policies. For example, FAQs on the HUD website can provide direction on the application of federal regulations in various aspects of the program.</w:t>
      </w:r>
    </w:p>
    <w:p w:rsidR="004E13A5" w:rsidRDefault="00681463">
      <w:pPr>
        <w:pStyle w:val="Heading4"/>
        <w:spacing w:before="120"/>
      </w:pPr>
      <w:r>
        <w:t>State Law</w:t>
      </w:r>
    </w:p>
    <w:p w:rsidR="004E13A5" w:rsidRDefault="00681463">
      <w:pPr>
        <w:pStyle w:val="BodyText"/>
        <w:ind w:right="482"/>
      </w:pPr>
      <w:r>
        <w:t>Where there is no mandatory federal guidance, PHAs must comply with state law, if it exists. Where state law is more restrictive than federal law, but does not conflict with it, the PHA should follow the state law.</w:t>
      </w:r>
    </w:p>
    <w:p w:rsidR="004E13A5" w:rsidRDefault="00681463">
      <w:pPr>
        <w:pStyle w:val="Heading4"/>
        <w:spacing w:before="119"/>
      </w:pPr>
      <w:r>
        <w:t>Industry Practice</w:t>
      </w:r>
    </w:p>
    <w:p w:rsidR="004E13A5" w:rsidRDefault="00681463">
      <w:pPr>
        <w:pStyle w:val="BodyText"/>
        <w:ind w:right="262"/>
      </w:pPr>
      <w:r>
        <w:t>Where no law or HUD authority exists on a particular subject, industry practice may support PHA policy. Industry practice refers to a way of doing things or a policy that has been adopted by a majority of PHAs.</w:t>
      </w:r>
    </w:p>
    <w:p w:rsidR="004E13A5" w:rsidRDefault="004E13A5">
      <w:pPr>
        <w:pStyle w:val="BodyText"/>
        <w:spacing w:before="9"/>
        <w:ind w:left="0"/>
        <w:rPr>
          <w:sz w:val="20"/>
        </w:rPr>
      </w:pPr>
    </w:p>
    <w:p w:rsidR="004E13A5" w:rsidRDefault="00681463">
      <w:pPr>
        <w:pStyle w:val="Heading4"/>
      </w:pPr>
      <w:r>
        <w:t>RESOURCES CITED IN THE MODEL ADMINISTRATIVE PLAN</w:t>
      </w:r>
    </w:p>
    <w:p w:rsidR="004E13A5" w:rsidRDefault="00681463">
      <w:pPr>
        <w:pStyle w:val="BodyText"/>
        <w:ind w:right="216"/>
      </w:pPr>
      <w:r>
        <w:t>The model administrative plan cites several documents. Where a document or resource is cited frequently, it may be abbreviated. Where it is cited only once or twice, the model administrative plan may contain the entire name of the document or resource. Following is a key to abbreviations used for various sources that are frequently cited in the administrative plan and a list of references and document locations that are referenced in the model administrative plan or that may be helpful to you.</w:t>
      </w:r>
    </w:p>
    <w:p w:rsidR="004E13A5" w:rsidRDefault="00681463">
      <w:pPr>
        <w:pStyle w:val="Heading4"/>
        <w:spacing w:before="119"/>
      </w:pPr>
      <w:r>
        <w:t>HUD HCV Guidebook</w:t>
      </w:r>
    </w:p>
    <w:p w:rsidR="004E13A5" w:rsidRDefault="00681463">
      <w:pPr>
        <w:pStyle w:val="BodyText"/>
        <w:spacing w:before="138"/>
        <w:ind w:right="95"/>
      </w:pPr>
      <w:r>
        <w:t>In November 2019 HUD began issuing a new version of the HCV Guidebook chapter-by- chapter. Unlike the previous version of the HCV Guidebook in which chapters were numbered, the new version of the guidebook includes chapter names, but no numbers. As the new version of</w:t>
      </w:r>
    </w:p>
    <w:p w:rsidR="004E13A5" w:rsidRDefault="004E13A5">
      <w:pPr>
        <w:sectPr w:rsidR="004E13A5">
          <w:pgSz w:w="12240" w:h="15840"/>
          <w:pgMar w:top="1480" w:right="1340" w:bottom="640" w:left="1340" w:header="0" w:footer="381" w:gutter="0"/>
          <w:cols w:space="720"/>
        </w:sectPr>
      </w:pPr>
    </w:p>
    <w:p w:rsidR="004E13A5" w:rsidRDefault="00681463">
      <w:pPr>
        <w:pStyle w:val="BodyText"/>
        <w:spacing w:before="79"/>
        <w:ind w:right="162"/>
      </w:pPr>
      <w:r>
        <w:lastRenderedPageBreak/>
        <w:t xml:space="preserve">the guidebook has not yet been fully released, and since the previous version of the guidebook contains guidance not found in the new version, the model policy cites both versions of the guidebook. Therefore, where the HCV Guidebook is cited in the model policy, the citation will make a distinction between the “old” and “new” versions of the guidebook. The “old” version of the guidebook will continue to be cited as </w:t>
      </w:r>
      <w:r>
        <w:rPr>
          <w:i/>
        </w:rPr>
        <w:t xml:space="preserve">HCV GB </w:t>
      </w:r>
      <w:r>
        <w:t xml:space="preserve">with a chapter/page reference (example: HCV GB, p. 5-4). If HUD has also released a new chapter on the same topic with information that either adds new information or updates existing information from the previous guidebook, the new guidebook will be cited as </w:t>
      </w:r>
      <w:r>
        <w:rPr>
          <w:i/>
        </w:rPr>
        <w:t xml:space="preserve">New HCV GB </w:t>
      </w:r>
      <w:r>
        <w:t xml:space="preserve">with a chapter title and page reference (example: New HCV GB, </w:t>
      </w:r>
      <w:r>
        <w:rPr>
          <w:i/>
        </w:rPr>
        <w:t xml:space="preserve">Payment Standards, </w:t>
      </w:r>
      <w:r>
        <w:t>p. 11).</w:t>
      </w:r>
    </w:p>
    <w:p w:rsidR="004E13A5" w:rsidRDefault="00681463">
      <w:pPr>
        <w:pStyle w:val="Heading4"/>
        <w:spacing w:before="138"/>
      </w:pPr>
      <w:r>
        <w:t>Abbreviations</w:t>
      </w:r>
    </w:p>
    <w:p w:rsidR="004E13A5" w:rsidRDefault="00681463">
      <w:pPr>
        <w:pStyle w:val="BodyText"/>
        <w:spacing w:before="141"/>
      </w:pPr>
      <w:r>
        <w:t>Throughout the model administrative plan, abbreviations are used to designate certain documents in citations. The following is a table of abbreviations of documents cited in the model administrative plan.</w:t>
      </w:r>
    </w:p>
    <w:p w:rsidR="004E13A5" w:rsidRDefault="004E13A5">
      <w:pPr>
        <w:pStyle w:val="BodyText"/>
        <w:spacing w:before="5" w:after="1"/>
        <w:ind w:left="0"/>
        <w:rPr>
          <w:sz w:val="10"/>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7130"/>
      </w:tblGrid>
      <w:tr w:rsidR="004E13A5">
        <w:trPr>
          <w:trHeight w:hRule="exact" w:val="406"/>
        </w:trPr>
        <w:tc>
          <w:tcPr>
            <w:tcW w:w="1728" w:type="dxa"/>
          </w:tcPr>
          <w:p w:rsidR="004E13A5" w:rsidRDefault="00681463">
            <w:pPr>
              <w:pStyle w:val="TableParagraph"/>
              <w:spacing w:before="59"/>
              <w:rPr>
                <w:b/>
                <w:sz w:val="24"/>
              </w:rPr>
            </w:pPr>
            <w:r>
              <w:rPr>
                <w:b/>
                <w:sz w:val="24"/>
              </w:rPr>
              <w:t>Abbreviation</w:t>
            </w:r>
          </w:p>
        </w:tc>
        <w:tc>
          <w:tcPr>
            <w:tcW w:w="7130" w:type="dxa"/>
          </w:tcPr>
          <w:p w:rsidR="004E13A5" w:rsidRDefault="00681463">
            <w:pPr>
              <w:pStyle w:val="TableParagraph"/>
              <w:spacing w:before="59"/>
              <w:rPr>
                <w:b/>
                <w:sz w:val="24"/>
              </w:rPr>
            </w:pPr>
            <w:r>
              <w:rPr>
                <w:b/>
                <w:sz w:val="24"/>
              </w:rPr>
              <w:t>Document</w:t>
            </w:r>
          </w:p>
        </w:tc>
      </w:tr>
      <w:tr w:rsidR="004E13A5">
        <w:trPr>
          <w:trHeight w:hRule="exact" w:val="406"/>
        </w:trPr>
        <w:tc>
          <w:tcPr>
            <w:tcW w:w="1728" w:type="dxa"/>
          </w:tcPr>
          <w:p w:rsidR="004E13A5" w:rsidRDefault="00681463">
            <w:pPr>
              <w:pStyle w:val="TableParagraph"/>
              <w:spacing w:before="59"/>
              <w:rPr>
                <w:sz w:val="24"/>
              </w:rPr>
            </w:pPr>
            <w:r>
              <w:rPr>
                <w:sz w:val="24"/>
              </w:rPr>
              <w:t>CFR</w:t>
            </w:r>
          </w:p>
        </w:tc>
        <w:tc>
          <w:tcPr>
            <w:tcW w:w="7130" w:type="dxa"/>
          </w:tcPr>
          <w:p w:rsidR="004E13A5" w:rsidRDefault="00681463">
            <w:pPr>
              <w:pStyle w:val="TableParagraph"/>
              <w:spacing w:before="59"/>
              <w:rPr>
                <w:sz w:val="24"/>
              </w:rPr>
            </w:pPr>
            <w:r>
              <w:rPr>
                <w:sz w:val="24"/>
              </w:rPr>
              <w:t>Code of Federal Regulations</w:t>
            </w:r>
          </w:p>
        </w:tc>
      </w:tr>
      <w:tr w:rsidR="004E13A5">
        <w:trPr>
          <w:trHeight w:hRule="exact" w:val="406"/>
        </w:trPr>
        <w:tc>
          <w:tcPr>
            <w:tcW w:w="1728" w:type="dxa"/>
          </w:tcPr>
          <w:p w:rsidR="004E13A5" w:rsidRDefault="00681463">
            <w:pPr>
              <w:pStyle w:val="TableParagraph"/>
              <w:spacing w:before="59"/>
              <w:rPr>
                <w:sz w:val="24"/>
              </w:rPr>
            </w:pPr>
            <w:r>
              <w:rPr>
                <w:sz w:val="24"/>
              </w:rPr>
              <w:t>HCV GB</w:t>
            </w:r>
          </w:p>
        </w:tc>
        <w:tc>
          <w:tcPr>
            <w:tcW w:w="7130" w:type="dxa"/>
          </w:tcPr>
          <w:p w:rsidR="004E13A5" w:rsidRDefault="00681463">
            <w:pPr>
              <w:pStyle w:val="TableParagraph"/>
              <w:spacing w:before="59"/>
              <w:rPr>
                <w:sz w:val="24"/>
              </w:rPr>
            </w:pPr>
            <w:r>
              <w:rPr>
                <w:sz w:val="24"/>
              </w:rPr>
              <w:t>Housing Choice Voucher Program Guidebook (7420.10G), April 2001.</w:t>
            </w:r>
          </w:p>
        </w:tc>
      </w:tr>
      <w:tr w:rsidR="004E13A5">
        <w:trPr>
          <w:trHeight w:hRule="exact" w:val="682"/>
        </w:trPr>
        <w:tc>
          <w:tcPr>
            <w:tcW w:w="1728" w:type="dxa"/>
          </w:tcPr>
          <w:p w:rsidR="004E13A5" w:rsidRDefault="00681463">
            <w:pPr>
              <w:pStyle w:val="TableParagraph"/>
              <w:spacing w:before="59"/>
              <w:rPr>
                <w:sz w:val="24"/>
              </w:rPr>
            </w:pPr>
            <w:r>
              <w:rPr>
                <w:sz w:val="24"/>
              </w:rPr>
              <w:t>New HCV GB</w:t>
            </w:r>
          </w:p>
        </w:tc>
        <w:tc>
          <w:tcPr>
            <w:tcW w:w="7130" w:type="dxa"/>
          </w:tcPr>
          <w:p w:rsidR="004E13A5" w:rsidRDefault="00681463">
            <w:pPr>
              <w:pStyle w:val="TableParagraph"/>
              <w:spacing w:before="59"/>
              <w:ind w:right="1311"/>
              <w:rPr>
                <w:sz w:val="24"/>
              </w:rPr>
            </w:pPr>
            <w:r>
              <w:rPr>
                <w:sz w:val="24"/>
              </w:rPr>
              <w:t>Housing Choice Voucher Program Guidebook (7420.10G), Various dates of release</w:t>
            </w:r>
          </w:p>
        </w:tc>
      </w:tr>
      <w:tr w:rsidR="004E13A5">
        <w:trPr>
          <w:trHeight w:hRule="exact" w:val="406"/>
        </w:trPr>
        <w:tc>
          <w:tcPr>
            <w:tcW w:w="1728" w:type="dxa"/>
          </w:tcPr>
          <w:p w:rsidR="004E13A5" w:rsidRDefault="00681463">
            <w:pPr>
              <w:pStyle w:val="TableParagraph"/>
              <w:spacing w:before="59"/>
              <w:rPr>
                <w:sz w:val="24"/>
              </w:rPr>
            </w:pPr>
            <w:r>
              <w:rPr>
                <w:sz w:val="24"/>
              </w:rPr>
              <w:t>HUD-50058 IB</w:t>
            </w:r>
          </w:p>
        </w:tc>
        <w:tc>
          <w:tcPr>
            <w:tcW w:w="7130" w:type="dxa"/>
          </w:tcPr>
          <w:p w:rsidR="004E13A5" w:rsidRDefault="00681463">
            <w:pPr>
              <w:pStyle w:val="TableParagraph"/>
              <w:spacing w:before="59"/>
              <w:rPr>
                <w:sz w:val="24"/>
              </w:rPr>
            </w:pPr>
            <w:r>
              <w:rPr>
                <w:sz w:val="24"/>
              </w:rPr>
              <w:t>HUD-50058 Instruction Booklet</w:t>
            </w:r>
          </w:p>
        </w:tc>
      </w:tr>
      <w:tr w:rsidR="004E13A5">
        <w:trPr>
          <w:trHeight w:hRule="exact" w:val="682"/>
        </w:trPr>
        <w:tc>
          <w:tcPr>
            <w:tcW w:w="1728" w:type="dxa"/>
          </w:tcPr>
          <w:p w:rsidR="004E13A5" w:rsidRDefault="00681463">
            <w:pPr>
              <w:pStyle w:val="TableParagraph"/>
              <w:spacing w:before="59"/>
              <w:rPr>
                <w:sz w:val="24"/>
              </w:rPr>
            </w:pPr>
            <w:r>
              <w:rPr>
                <w:sz w:val="24"/>
              </w:rPr>
              <w:t>RHIIP FAQs</w:t>
            </w:r>
          </w:p>
        </w:tc>
        <w:tc>
          <w:tcPr>
            <w:tcW w:w="7130" w:type="dxa"/>
          </w:tcPr>
          <w:p w:rsidR="004E13A5" w:rsidRDefault="00681463">
            <w:pPr>
              <w:pStyle w:val="TableParagraph"/>
              <w:spacing w:before="59"/>
              <w:ind w:right="424"/>
              <w:rPr>
                <w:sz w:val="24"/>
              </w:rPr>
            </w:pPr>
            <w:r>
              <w:rPr>
                <w:sz w:val="24"/>
              </w:rPr>
              <w:t>Rental Housing Integrity Improvement Program (RHIIP) Frequently Asked Questions.</w:t>
            </w:r>
          </w:p>
        </w:tc>
      </w:tr>
      <w:tr w:rsidR="004E13A5">
        <w:trPr>
          <w:trHeight w:hRule="exact" w:val="408"/>
        </w:trPr>
        <w:tc>
          <w:tcPr>
            <w:tcW w:w="1728" w:type="dxa"/>
          </w:tcPr>
          <w:p w:rsidR="004E13A5" w:rsidRDefault="00681463">
            <w:pPr>
              <w:pStyle w:val="TableParagraph"/>
              <w:spacing w:before="62"/>
              <w:rPr>
                <w:sz w:val="24"/>
              </w:rPr>
            </w:pPr>
            <w:r>
              <w:rPr>
                <w:sz w:val="24"/>
              </w:rPr>
              <w:t>VG</w:t>
            </w:r>
          </w:p>
        </w:tc>
        <w:tc>
          <w:tcPr>
            <w:tcW w:w="7130" w:type="dxa"/>
          </w:tcPr>
          <w:p w:rsidR="004E13A5" w:rsidRDefault="00681463">
            <w:pPr>
              <w:pStyle w:val="TableParagraph"/>
              <w:spacing w:before="62"/>
              <w:rPr>
                <w:sz w:val="24"/>
              </w:rPr>
            </w:pPr>
            <w:r>
              <w:rPr>
                <w:sz w:val="24"/>
              </w:rPr>
              <w:t>PIH Notice 2004-01 Verification Guidance, March 9, 2004.</w:t>
            </w:r>
          </w:p>
        </w:tc>
      </w:tr>
      <w:tr w:rsidR="004E13A5">
        <w:trPr>
          <w:trHeight w:hRule="exact" w:val="682"/>
        </w:trPr>
        <w:tc>
          <w:tcPr>
            <w:tcW w:w="1728" w:type="dxa"/>
          </w:tcPr>
          <w:p w:rsidR="004E13A5" w:rsidRDefault="00681463">
            <w:pPr>
              <w:pStyle w:val="TableParagraph"/>
              <w:spacing w:before="59"/>
              <w:rPr>
                <w:sz w:val="24"/>
              </w:rPr>
            </w:pPr>
            <w:r>
              <w:rPr>
                <w:sz w:val="24"/>
              </w:rPr>
              <w:t>HB 4350.3</w:t>
            </w:r>
          </w:p>
        </w:tc>
        <w:tc>
          <w:tcPr>
            <w:tcW w:w="7130" w:type="dxa"/>
          </w:tcPr>
          <w:p w:rsidR="004E13A5" w:rsidRDefault="00681463">
            <w:pPr>
              <w:pStyle w:val="TableParagraph"/>
              <w:spacing w:before="59"/>
              <w:ind w:right="1058"/>
              <w:rPr>
                <w:sz w:val="24"/>
              </w:rPr>
            </w:pPr>
            <w:r>
              <w:rPr>
                <w:sz w:val="24"/>
              </w:rPr>
              <w:t>Occupancy Requirements of Subsidized Multifamily Housing Programs</w:t>
            </w:r>
          </w:p>
        </w:tc>
      </w:tr>
    </w:tbl>
    <w:p w:rsidR="004E13A5" w:rsidRDefault="00681463">
      <w:pPr>
        <w:pStyle w:val="Heading4"/>
        <w:spacing w:before="119"/>
      </w:pPr>
      <w:r>
        <w:t>Resources and Where to Find Them</w:t>
      </w:r>
    </w:p>
    <w:p w:rsidR="004E13A5" w:rsidRDefault="00681463">
      <w:pPr>
        <w:pStyle w:val="BodyText"/>
        <w:spacing w:before="120"/>
        <w:ind w:right="582"/>
      </w:pPr>
      <w:r>
        <w:t>Following is a list of resources helpful to the PHA or referenced in the model administrative plan, and the online location of each.</w:t>
      </w:r>
    </w:p>
    <w:p w:rsidR="004E13A5" w:rsidRDefault="004E13A5">
      <w:pPr>
        <w:pStyle w:val="BodyText"/>
        <w:spacing w:before="6"/>
        <w:ind w:left="0"/>
        <w:rPr>
          <w:sz w:val="1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0"/>
      </w:tblGrid>
      <w:tr w:rsidR="004E13A5">
        <w:trPr>
          <w:trHeight w:hRule="exact" w:val="492"/>
        </w:trPr>
        <w:tc>
          <w:tcPr>
            <w:tcW w:w="8930" w:type="dxa"/>
          </w:tcPr>
          <w:p w:rsidR="004E13A5" w:rsidRDefault="00681463">
            <w:pPr>
              <w:pStyle w:val="TableParagraph"/>
              <w:spacing w:before="102"/>
              <w:ind w:left="110"/>
              <w:rPr>
                <w:b/>
                <w:sz w:val="24"/>
              </w:rPr>
            </w:pPr>
            <w:r>
              <w:rPr>
                <w:b/>
                <w:sz w:val="24"/>
              </w:rPr>
              <w:t>Document and Location</w:t>
            </w:r>
          </w:p>
        </w:tc>
      </w:tr>
      <w:tr w:rsidR="004E13A5">
        <w:trPr>
          <w:trHeight w:hRule="exact" w:val="648"/>
        </w:trPr>
        <w:tc>
          <w:tcPr>
            <w:tcW w:w="8930" w:type="dxa"/>
          </w:tcPr>
          <w:p w:rsidR="004E13A5" w:rsidRDefault="00681463">
            <w:pPr>
              <w:pStyle w:val="TableParagraph"/>
              <w:spacing w:before="42"/>
              <w:ind w:left="110"/>
              <w:rPr>
                <w:sz w:val="24"/>
              </w:rPr>
            </w:pPr>
            <w:r>
              <w:rPr>
                <w:sz w:val="24"/>
              </w:rPr>
              <w:t>Code of Federal Regulations</w:t>
            </w:r>
          </w:p>
          <w:p w:rsidR="004E13A5" w:rsidRDefault="00BA59C9">
            <w:pPr>
              <w:pStyle w:val="TableParagraph"/>
              <w:ind w:left="110"/>
              <w:rPr>
                <w:b/>
                <w:sz w:val="24"/>
              </w:rPr>
            </w:pPr>
            <w:hyperlink r:id="rId9">
              <w:r w:rsidR="00681463">
                <w:rPr>
                  <w:b/>
                  <w:color w:val="0000FF"/>
                  <w:sz w:val="24"/>
                  <w:u w:val="thick" w:color="0000FF"/>
                </w:rPr>
                <w:t>http://www.ecfr.gov</w:t>
              </w:r>
            </w:hyperlink>
          </w:p>
        </w:tc>
      </w:tr>
      <w:tr w:rsidR="004E13A5">
        <w:trPr>
          <w:trHeight w:hRule="exact" w:val="649"/>
        </w:trPr>
        <w:tc>
          <w:tcPr>
            <w:tcW w:w="8930" w:type="dxa"/>
          </w:tcPr>
          <w:p w:rsidR="004E13A5" w:rsidRDefault="00681463">
            <w:pPr>
              <w:pStyle w:val="TableParagraph"/>
              <w:spacing w:before="43"/>
              <w:ind w:left="110"/>
              <w:rPr>
                <w:sz w:val="24"/>
              </w:rPr>
            </w:pPr>
            <w:r>
              <w:rPr>
                <w:sz w:val="24"/>
              </w:rPr>
              <w:t>Earned Income Disregard FAQ</w:t>
            </w:r>
          </w:p>
          <w:p w:rsidR="004E13A5" w:rsidRDefault="00BA59C9">
            <w:pPr>
              <w:pStyle w:val="TableParagraph"/>
              <w:ind w:left="110"/>
              <w:rPr>
                <w:b/>
                <w:sz w:val="24"/>
              </w:rPr>
            </w:pPr>
            <w:hyperlink r:id="rId10">
              <w:r w:rsidR="00681463">
                <w:rPr>
                  <w:b/>
                  <w:color w:val="990000"/>
                  <w:sz w:val="24"/>
                  <w:u w:val="thick" w:color="990000"/>
                </w:rPr>
                <w:t>www.hud.gov/program_offices/public_indian_housing/phr/about/ao_faq_eid.cfm</w:t>
              </w:r>
            </w:hyperlink>
          </w:p>
        </w:tc>
      </w:tr>
      <w:tr w:rsidR="004E13A5">
        <w:trPr>
          <w:trHeight w:hRule="exact" w:val="924"/>
        </w:trPr>
        <w:tc>
          <w:tcPr>
            <w:tcW w:w="8930" w:type="dxa"/>
          </w:tcPr>
          <w:p w:rsidR="004E13A5" w:rsidRDefault="00681463">
            <w:pPr>
              <w:pStyle w:val="TableParagraph"/>
              <w:spacing w:before="42"/>
              <w:ind w:left="110"/>
              <w:rPr>
                <w:sz w:val="24"/>
              </w:rPr>
            </w:pPr>
            <w:r>
              <w:rPr>
                <w:sz w:val="24"/>
              </w:rPr>
              <w:t>Eligibility of Students for Assisted Housing Under Section 8 of the U.S. Housing Act of 1937; Final Rule</w:t>
            </w:r>
          </w:p>
          <w:p w:rsidR="004E13A5" w:rsidRDefault="00BA59C9">
            <w:pPr>
              <w:pStyle w:val="TableParagraph"/>
              <w:ind w:left="110"/>
              <w:rPr>
                <w:sz w:val="24"/>
              </w:rPr>
            </w:pPr>
            <w:hyperlink r:id="rId11">
              <w:r w:rsidR="00681463">
                <w:rPr>
                  <w:color w:val="0000FF"/>
                  <w:sz w:val="24"/>
                  <w:u w:val="single" w:color="0000FF"/>
                </w:rPr>
                <w:t>http://edocket.access.gpo.gov/2008/pdf/E8-19435.pdf</w:t>
              </w:r>
            </w:hyperlink>
          </w:p>
        </w:tc>
      </w:tr>
      <w:tr w:rsidR="004E13A5">
        <w:trPr>
          <w:trHeight w:hRule="exact" w:val="924"/>
        </w:trPr>
        <w:tc>
          <w:tcPr>
            <w:tcW w:w="8930" w:type="dxa"/>
          </w:tcPr>
          <w:p w:rsidR="004E13A5" w:rsidRDefault="00681463">
            <w:pPr>
              <w:pStyle w:val="TableParagraph"/>
              <w:spacing w:before="42"/>
              <w:ind w:left="110"/>
              <w:rPr>
                <w:sz w:val="24"/>
              </w:rPr>
            </w:pPr>
            <w:r>
              <w:rPr>
                <w:sz w:val="24"/>
              </w:rPr>
              <w:t>Enterprise Income Verification (EIV) System, Security Procedures for Upfront Income Verification data</w:t>
            </w:r>
          </w:p>
          <w:p w:rsidR="004E13A5" w:rsidRDefault="00BA59C9">
            <w:pPr>
              <w:pStyle w:val="TableParagraph"/>
              <w:ind w:left="110"/>
              <w:rPr>
                <w:b/>
                <w:sz w:val="24"/>
              </w:rPr>
            </w:pPr>
            <w:hyperlink r:id="rId12">
              <w:r w:rsidR="00681463">
                <w:rPr>
                  <w:b/>
                  <w:color w:val="990000"/>
                  <w:sz w:val="24"/>
                  <w:u w:val="thick" w:color="990000"/>
                </w:rPr>
                <w:t>http://www.hud.gov/sites/documents/eivsecguidepha.pdf</w:t>
              </w:r>
            </w:hyperlink>
          </w:p>
        </w:tc>
      </w:tr>
    </w:tbl>
    <w:p w:rsidR="004E13A5" w:rsidRDefault="004E13A5">
      <w:pPr>
        <w:rPr>
          <w:sz w:val="24"/>
        </w:rPr>
        <w:sectPr w:rsidR="004E13A5">
          <w:pgSz w:w="12240" w:h="15840"/>
          <w:pgMar w:top="1360" w:right="1340" w:bottom="640" w:left="1340" w:header="0" w:footer="381"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0"/>
      </w:tblGrid>
      <w:tr w:rsidR="004E13A5">
        <w:trPr>
          <w:trHeight w:hRule="exact" w:val="648"/>
        </w:trPr>
        <w:tc>
          <w:tcPr>
            <w:tcW w:w="8930" w:type="dxa"/>
          </w:tcPr>
          <w:p w:rsidR="004E13A5" w:rsidRDefault="00681463">
            <w:pPr>
              <w:pStyle w:val="TableParagraph"/>
              <w:spacing w:before="42"/>
              <w:ind w:left="110"/>
              <w:rPr>
                <w:sz w:val="24"/>
              </w:rPr>
            </w:pPr>
            <w:r>
              <w:rPr>
                <w:sz w:val="24"/>
              </w:rPr>
              <w:lastRenderedPageBreak/>
              <w:t>Executive Order 11063</w:t>
            </w:r>
          </w:p>
          <w:p w:rsidR="004E13A5" w:rsidRDefault="00BA59C9">
            <w:pPr>
              <w:pStyle w:val="TableParagraph"/>
              <w:ind w:left="110"/>
              <w:rPr>
                <w:sz w:val="24"/>
              </w:rPr>
            </w:pPr>
            <w:hyperlink r:id="rId13">
              <w:r w:rsidR="00681463">
                <w:rPr>
                  <w:b/>
                  <w:color w:val="990000"/>
                  <w:sz w:val="24"/>
                  <w:u w:val="thick" w:color="990000"/>
                </w:rPr>
                <w:t>http://www.archives.gov/federal-register/codification/executive-order/11063</w:t>
              </w:r>
            </w:hyperlink>
            <w:r w:rsidR="00681463">
              <w:rPr>
                <w:sz w:val="24"/>
              </w:rPr>
              <w:t>.html</w:t>
            </w:r>
          </w:p>
        </w:tc>
      </w:tr>
      <w:tr w:rsidR="004E13A5">
        <w:trPr>
          <w:trHeight w:hRule="exact" w:val="372"/>
        </w:trPr>
        <w:tc>
          <w:tcPr>
            <w:tcW w:w="8930" w:type="dxa"/>
          </w:tcPr>
          <w:p w:rsidR="004E13A5" w:rsidRDefault="004E13A5"/>
        </w:tc>
      </w:tr>
      <w:tr w:rsidR="004E13A5">
        <w:trPr>
          <w:trHeight w:hRule="exact" w:val="648"/>
        </w:trPr>
        <w:tc>
          <w:tcPr>
            <w:tcW w:w="8930" w:type="dxa"/>
          </w:tcPr>
          <w:p w:rsidR="004E13A5" w:rsidRDefault="00681463">
            <w:pPr>
              <w:pStyle w:val="TableParagraph"/>
              <w:spacing w:before="42"/>
              <w:ind w:left="110"/>
              <w:rPr>
                <w:sz w:val="24"/>
              </w:rPr>
            </w:pPr>
            <w:r>
              <w:rPr>
                <w:sz w:val="24"/>
              </w:rPr>
              <w:t>Federal Register</w:t>
            </w:r>
          </w:p>
          <w:p w:rsidR="004E13A5" w:rsidRDefault="00BA59C9">
            <w:pPr>
              <w:pStyle w:val="TableParagraph"/>
              <w:ind w:left="110"/>
              <w:rPr>
                <w:b/>
                <w:sz w:val="24"/>
              </w:rPr>
            </w:pPr>
            <w:hyperlink r:id="rId14">
              <w:r w:rsidR="00681463">
                <w:rPr>
                  <w:b/>
                  <w:color w:val="990000"/>
                  <w:sz w:val="24"/>
                  <w:u w:val="thick" w:color="990000"/>
                </w:rPr>
                <w:t>http://www.federalregister.gov</w:t>
              </w:r>
            </w:hyperlink>
          </w:p>
        </w:tc>
      </w:tr>
      <w:tr w:rsidR="004E13A5">
        <w:trPr>
          <w:trHeight w:hRule="exact" w:val="648"/>
        </w:trPr>
        <w:tc>
          <w:tcPr>
            <w:tcW w:w="8930" w:type="dxa"/>
          </w:tcPr>
          <w:p w:rsidR="004E13A5" w:rsidRDefault="00681463">
            <w:pPr>
              <w:pStyle w:val="TableParagraph"/>
              <w:spacing w:before="42"/>
              <w:ind w:left="110"/>
              <w:rPr>
                <w:sz w:val="24"/>
              </w:rPr>
            </w:pPr>
            <w:r>
              <w:rPr>
                <w:sz w:val="24"/>
              </w:rPr>
              <w:t xml:space="preserve">Housing Choice Voucher Program Guidebook (7420.10G), Updated Chapters </w:t>
            </w:r>
            <w:hyperlink r:id="rId15">
              <w:r>
                <w:rPr>
                  <w:color w:val="0000FF"/>
                  <w:sz w:val="24"/>
                  <w:u w:val="single" w:color="0000FF"/>
                </w:rPr>
                <w:t>https://www.hud.gov/program_offices/public_indian_housing/programs/hcv/guidebook</w:t>
              </w:r>
            </w:hyperlink>
          </w:p>
        </w:tc>
      </w:tr>
      <w:tr w:rsidR="004E13A5">
        <w:trPr>
          <w:trHeight w:hRule="exact" w:val="648"/>
        </w:trPr>
        <w:tc>
          <w:tcPr>
            <w:tcW w:w="8930" w:type="dxa"/>
          </w:tcPr>
          <w:p w:rsidR="004E13A5" w:rsidRDefault="00681463">
            <w:pPr>
              <w:pStyle w:val="TableParagraph"/>
              <w:spacing w:before="42"/>
              <w:ind w:left="110" w:right="1022"/>
              <w:rPr>
                <w:sz w:val="24"/>
              </w:rPr>
            </w:pPr>
            <w:r>
              <w:rPr>
                <w:sz w:val="24"/>
              </w:rPr>
              <w:t xml:space="preserve">HUD-50058 Instruction Booklet </w:t>
            </w:r>
            <w:hyperlink r:id="rId16">
              <w:r>
                <w:rPr>
                  <w:color w:val="0000FF"/>
                  <w:sz w:val="24"/>
                  <w:u w:val="single" w:color="0000FF"/>
                </w:rPr>
                <w:t>https://www.hud.gov/sites/documents/FORM50058INSTRUCTBOOKLET.PDF</w:t>
              </w:r>
            </w:hyperlink>
          </w:p>
        </w:tc>
      </w:tr>
      <w:tr w:rsidR="004E13A5">
        <w:trPr>
          <w:trHeight w:hRule="exact" w:val="925"/>
        </w:trPr>
        <w:tc>
          <w:tcPr>
            <w:tcW w:w="8930" w:type="dxa"/>
          </w:tcPr>
          <w:p w:rsidR="004E13A5" w:rsidRDefault="00681463">
            <w:pPr>
              <w:pStyle w:val="TableParagraph"/>
              <w:spacing w:before="42"/>
              <w:ind w:left="110" w:right="151"/>
              <w:rPr>
                <w:sz w:val="24"/>
              </w:rPr>
            </w:pPr>
            <w:r>
              <w:rPr>
                <w:sz w:val="24"/>
              </w:rPr>
              <w:t xml:space="preserve">Joint Statement of the Department of Housing and Urban Development and the Department of Justice, issued May 17, 2004 </w:t>
            </w:r>
            <w:hyperlink r:id="rId17">
              <w:r>
                <w:rPr>
                  <w:color w:val="0000FF"/>
                  <w:sz w:val="24"/>
                  <w:u w:val="single" w:color="0000FF"/>
                </w:rPr>
                <w:t>https://www.justice.gov/sites/default/files/crt/legacy/2010/12/14/joint_statement_ra.pdf</w:t>
              </w:r>
            </w:hyperlink>
          </w:p>
        </w:tc>
      </w:tr>
      <w:tr w:rsidR="004E13A5">
        <w:trPr>
          <w:trHeight w:hRule="exact" w:val="1200"/>
        </w:trPr>
        <w:tc>
          <w:tcPr>
            <w:tcW w:w="8930" w:type="dxa"/>
          </w:tcPr>
          <w:p w:rsidR="004E13A5" w:rsidRDefault="00681463">
            <w:pPr>
              <w:pStyle w:val="TableParagraph"/>
              <w:spacing w:before="42"/>
              <w:ind w:left="110" w:right="151"/>
              <w:rPr>
                <w:sz w:val="24"/>
              </w:rPr>
            </w:pPr>
            <w:r>
              <w:rPr>
                <w:sz w:val="24"/>
              </w:rPr>
              <w:t>Final Guidance to Federal Financial Assistance Recipients Regarding Title VI Prohibition Against National Origin Discrimination Affecting Limited English Proficient Persons, published January 22, 2007</w:t>
            </w:r>
          </w:p>
          <w:p w:rsidR="004E13A5" w:rsidRDefault="00BA59C9">
            <w:pPr>
              <w:pStyle w:val="TableParagraph"/>
              <w:ind w:left="110"/>
              <w:rPr>
                <w:sz w:val="24"/>
              </w:rPr>
            </w:pPr>
            <w:hyperlink r:id="rId18">
              <w:r w:rsidR="00681463">
                <w:rPr>
                  <w:color w:val="0000FF"/>
                  <w:sz w:val="24"/>
                  <w:u w:val="single" w:color="0000FF"/>
                </w:rPr>
                <w:t>https://www.lep.gov/guidance/HUD_guidance_Jan07.pdf</w:t>
              </w:r>
            </w:hyperlink>
          </w:p>
        </w:tc>
      </w:tr>
      <w:tr w:rsidR="004E13A5">
        <w:trPr>
          <w:trHeight w:hRule="exact" w:val="1476"/>
        </w:trPr>
        <w:tc>
          <w:tcPr>
            <w:tcW w:w="8930" w:type="dxa"/>
          </w:tcPr>
          <w:p w:rsidR="004E13A5" w:rsidRDefault="00681463">
            <w:pPr>
              <w:pStyle w:val="TableParagraph"/>
              <w:spacing w:before="42"/>
              <w:ind w:left="110" w:right="178"/>
              <w:rPr>
                <w:b/>
                <w:sz w:val="24"/>
              </w:rPr>
            </w:pPr>
            <w:r>
              <w:rPr>
                <w:sz w:val="24"/>
              </w:rPr>
              <w:t xml:space="preserve">Notice PIH 2018-24, Verification of Social Security Numbers (SSNs) and Social Security (SS) and Supplemental Security Income (SSI) Benefits; and Effective Use of the Enterprise Income Verification (EIV) System’s Identity Verification Report </w:t>
            </w:r>
            <w:hyperlink r:id="rId19">
              <w:r>
                <w:rPr>
                  <w:b/>
                  <w:color w:val="990000"/>
                  <w:sz w:val="24"/>
                  <w:u w:val="thick" w:color="990000"/>
                </w:rPr>
                <w:t>https://www.hud.gov/sites/dfiles/PIH/documents/PIH-2018-</w:t>
              </w:r>
            </w:hyperlink>
            <w:r>
              <w:rPr>
                <w:b/>
                <w:color w:val="990000"/>
                <w:sz w:val="24"/>
                <w:u w:val="thick" w:color="990000"/>
              </w:rPr>
              <w:t xml:space="preserve"> </w:t>
            </w:r>
            <w:hyperlink r:id="rId20">
              <w:r>
                <w:rPr>
                  <w:b/>
                  <w:color w:val="990000"/>
                  <w:sz w:val="24"/>
                  <w:u w:val="thick" w:color="990000"/>
                </w:rPr>
                <w:t>24_EIV_SSN_Notice_FINAL.pdf</w:t>
              </w:r>
            </w:hyperlink>
          </w:p>
        </w:tc>
      </w:tr>
      <w:tr w:rsidR="004E13A5">
        <w:trPr>
          <w:trHeight w:hRule="exact" w:val="648"/>
        </w:trPr>
        <w:tc>
          <w:tcPr>
            <w:tcW w:w="8930" w:type="dxa"/>
          </w:tcPr>
          <w:p w:rsidR="004E13A5" w:rsidRDefault="00681463">
            <w:pPr>
              <w:pStyle w:val="TableParagraph"/>
              <w:spacing w:before="42"/>
              <w:ind w:left="110" w:right="1937"/>
              <w:rPr>
                <w:sz w:val="24"/>
              </w:rPr>
            </w:pPr>
            <w:r>
              <w:rPr>
                <w:sz w:val="24"/>
              </w:rPr>
              <w:t xml:space="preserve">Notice PIH 2010-26 (HA), Nondiscrimination and Accessibility Notice </w:t>
            </w:r>
            <w:hyperlink r:id="rId21">
              <w:r>
                <w:rPr>
                  <w:color w:val="0000FF"/>
                  <w:sz w:val="24"/>
                  <w:u w:val="single" w:color="0000FF"/>
                </w:rPr>
                <w:t>https://www.hud.gov/sites/documents/DOC_8993.PDF</w:t>
              </w:r>
            </w:hyperlink>
          </w:p>
        </w:tc>
      </w:tr>
      <w:tr w:rsidR="004E13A5">
        <w:trPr>
          <w:trHeight w:hRule="exact" w:val="924"/>
        </w:trPr>
        <w:tc>
          <w:tcPr>
            <w:tcW w:w="8930" w:type="dxa"/>
          </w:tcPr>
          <w:p w:rsidR="004E13A5" w:rsidRDefault="00681463">
            <w:pPr>
              <w:pStyle w:val="TableParagraph"/>
              <w:spacing w:before="42"/>
              <w:ind w:left="110" w:right="533"/>
              <w:rPr>
                <w:sz w:val="24"/>
              </w:rPr>
            </w:pPr>
            <w:r>
              <w:rPr>
                <w:sz w:val="24"/>
              </w:rPr>
              <w:t xml:space="preserve">Notice PIH 2017-12, Administrative Guidance for Effective and Mandated Use of the Enterprise Income Verification (EIV) System </w:t>
            </w:r>
            <w:hyperlink r:id="rId22">
              <w:r>
                <w:rPr>
                  <w:color w:val="0000FF"/>
                  <w:sz w:val="24"/>
                  <w:u w:val="single" w:color="0000FF"/>
                </w:rPr>
                <w:t>https://www.hud.gov/sites/documents/PIH2017-12EIVNOTICE.PDF</w:t>
              </w:r>
            </w:hyperlink>
          </w:p>
        </w:tc>
      </w:tr>
      <w:tr w:rsidR="004E13A5">
        <w:trPr>
          <w:trHeight w:hRule="exact" w:val="1476"/>
        </w:trPr>
        <w:tc>
          <w:tcPr>
            <w:tcW w:w="8930" w:type="dxa"/>
          </w:tcPr>
          <w:p w:rsidR="004E13A5" w:rsidRDefault="00681463">
            <w:pPr>
              <w:pStyle w:val="TableParagraph"/>
              <w:spacing w:before="42"/>
              <w:ind w:left="110" w:right="182"/>
              <w:rPr>
                <w:sz w:val="24"/>
              </w:rPr>
            </w:pPr>
            <w:r>
              <w:rPr>
                <w:sz w:val="24"/>
              </w:rPr>
              <w:t xml:space="preserve">Notice PIH 2018-24, Verification of Social Security Numbers (SSNs) and Social Security (SS) and Supplemental Security Income (SSI) Benefits; and Effective Use of the Enterprise Income Verification (EIV) System’s Identity Verification Report </w:t>
            </w:r>
            <w:hyperlink r:id="rId23">
              <w:r>
                <w:rPr>
                  <w:color w:val="0000FF"/>
                  <w:sz w:val="24"/>
                  <w:u w:val="single" w:color="0000FF"/>
                </w:rPr>
                <w:t>https://www.hud.gov/sites/dfiles/PIH/documents/PIH-2018-</w:t>
              </w:r>
            </w:hyperlink>
            <w:r>
              <w:rPr>
                <w:color w:val="0000FF"/>
                <w:sz w:val="24"/>
                <w:u w:val="single" w:color="0000FF"/>
              </w:rPr>
              <w:t xml:space="preserve"> </w:t>
            </w:r>
            <w:hyperlink r:id="rId24">
              <w:r>
                <w:rPr>
                  <w:color w:val="0000FF"/>
                  <w:sz w:val="24"/>
                  <w:u w:val="single" w:color="0000FF"/>
                </w:rPr>
                <w:t>24_EIV_SSN_Notice_FINAL.pdf</w:t>
              </w:r>
            </w:hyperlink>
          </w:p>
        </w:tc>
      </w:tr>
      <w:tr w:rsidR="004E13A5">
        <w:trPr>
          <w:trHeight w:hRule="exact" w:val="648"/>
        </w:trPr>
        <w:tc>
          <w:tcPr>
            <w:tcW w:w="8930" w:type="dxa"/>
          </w:tcPr>
          <w:p w:rsidR="004E13A5" w:rsidRDefault="00681463">
            <w:pPr>
              <w:pStyle w:val="TableParagraph"/>
              <w:spacing w:before="42"/>
              <w:ind w:left="110" w:right="577"/>
              <w:rPr>
                <w:sz w:val="24"/>
              </w:rPr>
            </w:pPr>
            <w:r>
              <w:rPr>
                <w:sz w:val="24"/>
              </w:rPr>
              <w:t xml:space="preserve">OMB Circular A-133 </w:t>
            </w:r>
            <w:hyperlink r:id="rId25">
              <w:r>
                <w:rPr>
                  <w:color w:val="0000FF"/>
                  <w:sz w:val="24"/>
                  <w:u w:val="single" w:color="0000FF"/>
                </w:rPr>
                <w:t>https://www.whitehouse.gov/sites/whitehouse.gov/files/omb/circulars/A133/a133.pdf</w:t>
              </w:r>
            </w:hyperlink>
          </w:p>
        </w:tc>
      </w:tr>
      <w:tr w:rsidR="004E13A5">
        <w:trPr>
          <w:trHeight w:hRule="exact" w:val="649"/>
        </w:trPr>
        <w:tc>
          <w:tcPr>
            <w:tcW w:w="8930" w:type="dxa"/>
          </w:tcPr>
          <w:p w:rsidR="004E13A5" w:rsidRDefault="00681463">
            <w:pPr>
              <w:pStyle w:val="TableParagraph"/>
              <w:spacing w:before="42"/>
              <w:ind w:left="110"/>
              <w:rPr>
                <w:sz w:val="24"/>
              </w:rPr>
            </w:pPr>
            <w:r>
              <w:rPr>
                <w:sz w:val="24"/>
              </w:rPr>
              <w:t>Project-Based Voucher Program; Final Rule</w:t>
            </w:r>
          </w:p>
          <w:p w:rsidR="004E13A5" w:rsidRDefault="00BA59C9">
            <w:pPr>
              <w:pStyle w:val="TableParagraph"/>
              <w:ind w:left="110"/>
              <w:rPr>
                <w:b/>
                <w:sz w:val="24"/>
              </w:rPr>
            </w:pPr>
            <w:hyperlink r:id="rId26">
              <w:r w:rsidR="00681463">
                <w:rPr>
                  <w:b/>
                  <w:color w:val="990000"/>
                  <w:sz w:val="24"/>
                  <w:u w:val="thick" w:color="990000"/>
                </w:rPr>
                <w:t>http://www.gpo.gov/fdsys/pkg/FR-2005-10-13/pdf/05-20035.pdf</w:t>
              </w:r>
            </w:hyperlink>
          </w:p>
        </w:tc>
      </w:tr>
      <w:tr w:rsidR="004E13A5">
        <w:trPr>
          <w:trHeight w:hRule="exact" w:val="648"/>
        </w:trPr>
        <w:tc>
          <w:tcPr>
            <w:tcW w:w="8930" w:type="dxa"/>
          </w:tcPr>
          <w:p w:rsidR="004E13A5" w:rsidRDefault="00681463">
            <w:pPr>
              <w:pStyle w:val="TableParagraph"/>
              <w:spacing w:before="42"/>
              <w:ind w:left="110"/>
              <w:rPr>
                <w:sz w:val="24"/>
              </w:rPr>
            </w:pPr>
            <w:r>
              <w:rPr>
                <w:sz w:val="24"/>
              </w:rPr>
              <w:t>VAWA Final Rule</w:t>
            </w:r>
          </w:p>
          <w:p w:rsidR="004E13A5" w:rsidRDefault="00BA59C9">
            <w:pPr>
              <w:pStyle w:val="TableParagraph"/>
              <w:ind w:left="110"/>
              <w:rPr>
                <w:sz w:val="24"/>
              </w:rPr>
            </w:pPr>
            <w:hyperlink r:id="rId27">
              <w:r w:rsidR="00681463">
                <w:rPr>
                  <w:color w:val="0000FF"/>
                  <w:sz w:val="24"/>
                  <w:u w:val="single" w:color="0000FF"/>
                </w:rPr>
                <w:t>http://www.gpo.gov/fdsys/pkg/FR-2010-10-27/pdf/2010-26914.pdf</w:t>
              </w:r>
            </w:hyperlink>
          </w:p>
        </w:tc>
      </w:tr>
    </w:tbl>
    <w:p w:rsidR="004E13A5" w:rsidRDefault="00681463">
      <w:pPr>
        <w:spacing w:before="119"/>
        <w:ind w:left="100"/>
        <w:rPr>
          <w:sz w:val="24"/>
        </w:rPr>
      </w:pPr>
      <w:r>
        <w:rPr>
          <w:sz w:val="24"/>
        </w:rPr>
        <w:t xml:space="preserve">The HUD website is </w:t>
      </w:r>
      <w:hyperlink r:id="rId28">
        <w:r>
          <w:rPr>
            <w:b/>
            <w:color w:val="990000"/>
            <w:sz w:val="24"/>
            <w:u w:val="thick" w:color="990000"/>
          </w:rPr>
          <w:t>http://www.hud.gov</w:t>
        </w:r>
      </w:hyperlink>
      <w:r>
        <w:rPr>
          <w:sz w:val="24"/>
        </w:rPr>
        <w:t>.</w:t>
      </w:r>
    </w:p>
    <w:p w:rsidR="004E13A5" w:rsidRDefault="00681463">
      <w:pPr>
        <w:pStyle w:val="BodyText"/>
        <w:spacing w:before="120"/>
        <w:ind w:right="501"/>
      </w:pPr>
      <w:r>
        <w:t xml:space="preserve">Guidebooks, handbooks and other HUD resources may be found at the HUDClips website: </w:t>
      </w:r>
      <w:hyperlink r:id="rId29">
        <w:r>
          <w:rPr>
            <w:color w:val="0000FF"/>
            <w:u w:val="single" w:color="0000FF"/>
          </w:rPr>
          <w:t>https://www.hud.gov/program_offices/administration/hudclips</w:t>
        </w:r>
      </w:hyperlink>
    </w:p>
    <w:p w:rsidR="004E13A5" w:rsidRDefault="00681463">
      <w:pPr>
        <w:pStyle w:val="BodyText"/>
        <w:spacing w:before="120"/>
      </w:pPr>
      <w:r>
        <w:t>The new HCV Guidebook may be found at:</w:t>
      </w:r>
    </w:p>
    <w:p w:rsidR="004E13A5" w:rsidRDefault="00681463">
      <w:pPr>
        <w:pStyle w:val="Heading4"/>
      </w:pPr>
      <w:r>
        <w:rPr>
          <w:color w:val="990000"/>
          <w:u w:val="thick" w:color="990000"/>
        </w:rPr>
        <w:t>http</w:t>
      </w:r>
      <w:hyperlink r:id="rId30">
        <w:r>
          <w:rPr>
            <w:color w:val="990000"/>
            <w:u w:val="thick" w:color="990000"/>
          </w:rPr>
          <w:t>s://www</w:t>
        </w:r>
      </w:hyperlink>
      <w:r>
        <w:rPr>
          <w:color w:val="990000"/>
          <w:u w:val="thick" w:color="990000"/>
        </w:rPr>
        <w:t>.hud</w:t>
      </w:r>
      <w:hyperlink r:id="rId31">
        <w:r>
          <w:rPr>
            <w:color w:val="990000"/>
            <w:u w:val="thick" w:color="990000"/>
          </w:rPr>
          <w:t>.gov/program_offices/public_indian_housing/programs/hcv/guidebook</w:t>
        </w:r>
      </w:hyperlink>
      <w:bookmarkEnd w:id="0"/>
    </w:p>
    <w:p w:rsidR="004E13A5" w:rsidRDefault="004E13A5">
      <w:pPr>
        <w:sectPr w:rsidR="004E13A5">
          <w:pgSz w:w="12240" w:h="15840"/>
          <w:pgMar w:top="1440" w:right="1540" w:bottom="640" w:left="1340" w:header="0" w:footer="381" w:gutter="0"/>
          <w:cols w:space="720"/>
        </w:sectPr>
      </w:pPr>
    </w:p>
    <w:p w:rsidR="004E13A5" w:rsidRDefault="004E13A5">
      <w:pPr>
        <w:pStyle w:val="BodyText"/>
        <w:spacing w:before="4"/>
        <w:ind w:left="0"/>
        <w:rPr>
          <w:sz w:val="17"/>
        </w:rPr>
      </w:pPr>
    </w:p>
    <w:p w:rsidR="004E13A5" w:rsidRDefault="0055629B">
      <w:pPr>
        <w:rPr>
          <w:sz w:val="17"/>
        </w:rPr>
        <w:sectPr w:rsidR="004E13A5">
          <w:pgSz w:w="12240" w:h="15840"/>
          <w:pgMar w:top="1500" w:right="1720" w:bottom="580" w:left="1720" w:header="0" w:footer="381" w:gutter="0"/>
          <w:cols w:space="720"/>
        </w:sectPr>
      </w:pPr>
      <w:r>
        <w:rPr>
          <w:sz w:val="17"/>
        </w:rPr>
        <w:t xml:space="preserve"> </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spacing w:before="214"/>
        <w:ind w:left="100"/>
        <w:rPr>
          <w:b/>
          <w:sz w:val="24"/>
        </w:rPr>
      </w:pPr>
      <w:r>
        <w:rPr>
          <w:b/>
          <w:spacing w:val="-1"/>
          <w:sz w:val="24"/>
        </w:rPr>
        <w:t>INTRODUCTION</w:t>
      </w:r>
    </w:p>
    <w:p w:rsidR="004E13A5" w:rsidRDefault="00681463">
      <w:pPr>
        <w:spacing w:before="79"/>
        <w:ind w:left="78" w:right="2289"/>
        <w:jc w:val="center"/>
        <w:rPr>
          <w:b/>
          <w:sz w:val="24"/>
        </w:rPr>
      </w:pPr>
      <w:r>
        <w:br w:type="column"/>
      </w:r>
      <w:r>
        <w:rPr>
          <w:b/>
          <w:sz w:val="24"/>
        </w:rPr>
        <w:t>Chapter 1</w:t>
      </w:r>
    </w:p>
    <w:p w:rsidR="004E13A5" w:rsidRDefault="004E13A5">
      <w:pPr>
        <w:pStyle w:val="BodyText"/>
        <w:spacing w:before="9"/>
        <w:ind w:left="0"/>
        <w:rPr>
          <w:b/>
          <w:sz w:val="20"/>
        </w:rPr>
      </w:pPr>
    </w:p>
    <w:p w:rsidR="004E13A5" w:rsidRDefault="00681463">
      <w:pPr>
        <w:ind w:left="80" w:right="2289"/>
        <w:jc w:val="center"/>
        <w:rPr>
          <w:b/>
          <w:sz w:val="24"/>
        </w:rPr>
      </w:pPr>
      <w:r>
        <w:rPr>
          <w:b/>
          <w:sz w:val="24"/>
        </w:rPr>
        <w:t>OVERVIEW OF THE PROGRAM AND PLAN</w:t>
      </w:r>
    </w:p>
    <w:p w:rsidR="004E13A5" w:rsidRDefault="004E13A5">
      <w:pPr>
        <w:jc w:val="center"/>
        <w:rPr>
          <w:sz w:val="24"/>
        </w:rPr>
        <w:sectPr w:rsidR="004E13A5">
          <w:pgSz w:w="12240" w:h="15840"/>
          <w:pgMar w:top="1480" w:right="1340" w:bottom="580" w:left="1340" w:header="0" w:footer="381" w:gutter="0"/>
          <w:cols w:num="2" w:space="720" w:equalWidth="0">
            <w:col w:w="2020" w:space="190"/>
            <w:col w:w="7350"/>
          </w:cols>
        </w:sectPr>
      </w:pPr>
    </w:p>
    <w:p w:rsidR="004E13A5" w:rsidRDefault="00681463">
      <w:pPr>
        <w:pStyle w:val="BodyText"/>
        <w:ind w:right="243"/>
      </w:pPr>
      <w:r>
        <w:t>The PHA receives its funding for the Housing Choice Voucher (HCV) program from the Department of Housing and Urban Development. The PHA is not a federal department or agency. A public housing agency (PHA) is a governmental or public body, created and authorized by state law to develop and operate housing and housing programs for low-income families. The PHA enters into an Annual Contributions Contract with HUD to administer the program requirements on behalf of HUD. The PHA must ensure compliance with federal laws, regulations and notices and must establish policy and procedures to clarify federal requirements and to ensure consistency in program operation.</w:t>
      </w:r>
    </w:p>
    <w:p w:rsidR="004E13A5" w:rsidRDefault="00681463">
      <w:pPr>
        <w:pStyle w:val="BodyText"/>
        <w:ind w:right="388"/>
      </w:pPr>
      <w:r>
        <w:t>This chapter contains information about the PHA and its programs with emphasis on the HCV program. It also contains information about the purpose, intent and use of the plan and guide.</w:t>
      </w:r>
    </w:p>
    <w:p w:rsidR="004E13A5" w:rsidRDefault="00681463">
      <w:pPr>
        <w:pStyle w:val="BodyText"/>
      </w:pPr>
      <w:r>
        <w:t>There are three parts to this chapter:</w:t>
      </w:r>
    </w:p>
    <w:p w:rsidR="004E13A5" w:rsidRDefault="00681463">
      <w:pPr>
        <w:pStyle w:val="BodyText"/>
        <w:ind w:left="820" w:right="294"/>
      </w:pPr>
      <w:r>
        <w:rPr>
          <w:u w:val="single"/>
        </w:rPr>
        <w:t>Part I: The Public Housing Agency (PHA)</w:t>
      </w:r>
      <w:r>
        <w:t>. This part includes a description of the PHA, its jurisdiction, its programs, and its mission and intent.</w:t>
      </w:r>
    </w:p>
    <w:p w:rsidR="004E13A5" w:rsidRDefault="00681463">
      <w:pPr>
        <w:pStyle w:val="BodyText"/>
        <w:ind w:left="820" w:right="568"/>
      </w:pPr>
      <w:r>
        <w:rPr>
          <w:u w:val="single"/>
        </w:rPr>
        <w:t>Part II: The HCV Program</w:t>
      </w:r>
      <w:r>
        <w:t>. This part contains information about the Housing Choice Voucher program operation, roles and responsibilities, and partnerships.</w:t>
      </w:r>
    </w:p>
    <w:p w:rsidR="004E13A5" w:rsidRDefault="00681463">
      <w:pPr>
        <w:pStyle w:val="BodyText"/>
        <w:ind w:left="820" w:right="208"/>
      </w:pPr>
      <w:r>
        <w:rPr>
          <w:u w:val="single"/>
        </w:rPr>
        <w:t>Part III: The HCV Administrative Plan</w:t>
      </w:r>
      <w:r>
        <w:t>. This part discusses the purpose and organization of the plan and its revision requirements.</w:t>
      </w:r>
    </w:p>
    <w:p w:rsidR="004E13A5" w:rsidRDefault="004E13A5">
      <w:pPr>
        <w:pStyle w:val="BodyText"/>
        <w:spacing w:before="9"/>
        <w:ind w:left="0"/>
        <w:rPr>
          <w:sz w:val="20"/>
        </w:rPr>
      </w:pPr>
    </w:p>
    <w:p w:rsidR="004E13A5" w:rsidRDefault="00681463">
      <w:pPr>
        <w:pStyle w:val="Heading4"/>
        <w:spacing w:before="1"/>
        <w:ind w:left="1541" w:right="1542"/>
        <w:jc w:val="center"/>
      </w:pPr>
      <w:r>
        <w:t>PART I: THE PHA</w:t>
      </w:r>
    </w:p>
    <w:p w:rsidR="004E13A5" w:rsidRDefault="004E13A5">
      <w:pPr>
        <w:pStyle w:val="BodyText"/>
        <w:spacing w:before="0"/>
        <w:ind w:left="0"/>
        <w:rPr>
          <w:b/>
          <w:sz w:val="13"/>
        </w:rPr>
      </w:pPr>
    </w:p>
    <w:p w:rsidR="004E13A5" w:rsidRDefault="00681463">
      <w:pPr>
        <w:spacing w:before="90"/>
        <w:ind w:left="100"/>
        <w:rPr>
          <w:b/>
          <w:sz w:val="24"/>
        </w:rPr>
      </w:pPr>
      <w:r>
        <w:rPr>
          <w:b/>
          <w:sz w:val="24"/>
        </w:rPr>
        <w:t>1-I.A. OVERVIEW</w:t>
      </w:r>
    </w:p>
    <w:p w:rsidR="004E13A5" w:rsidRDefault="00681463">
      <w:pPr>
        <w:pStyle w:val="BodyText"/>
        <w:ind w:right="149"/>
      </w:pPr>
      <w:r>
        <w:t>This part explains the origin of the PHA’s creation and authorization, the general structure of the organization, and the relationship between the PHA Board and staff.</w:t>
      </w:r>
    </w:p>
    <w:p w:rsidR="004E13A5" w:rsidRDefault="004E13A5">
      <w:pPr>
        <w:pStyle w:val="BodyText"/>
        <w:spacing w:before="9"/>
        <w:ind w:left="0"/>
        <w:rPr>
          <w:sz w:val="20"/>
        </w:rPr>
      </w:pPr>
    </w:p>
    <w:p w:rsidR="004E13A5" w:rsidRDefault="00681463">
      <w:pPr>
        <w:pStyle w:val="Heading4"/>
      </w:pPr>
      <w:r>
        <w:t>1-I.B. ORGANIZATION AND STRUCTURE OF THE PHA</w:t>
      </w:r>
    </w:p>
    <w:p w:rsidR="004E13A5" w:rsidRDefault="00681463">
      <w:pPr>
        <w:pStyle w:val="BodyText"/>
        <w:ind w:right="122"/>
      </w:pPr>
      <w:r>
        <w:t>The Section 8 tenant-based Housing Choice Voucher (HCV) assistance program is funded by the federal government and administered by the Coos-Curry Housing Authority for the jurisdiction of Coos and Curry Counties in Oregon.</w:t>
      </w:r>
    </w:p>
    <w:p w:rsidR="004E13A5" w:rsidRDefault="00681463">
      <w:pPr>
        <w:pStyle w:val="BodyText"/>
        <w:ind w:right="133"/>
      </w:pPr>
      <w:r>
        <w:t>The officials of a PHA are known as commissioners or, collectively, as the board of commissioners. Commissioners are appointed in accordance with state housing law and generally serve in the same capacity as the directors of a corporation, establishing policies under which the PHA conducts business, ensuring that policies are followed by PHA staff and ensuring that the PHA is successful in its mission. The board is responsible for preserving and expanding the agency’s resources and assuring the agency’s continued</w:t>
      </w:r>
      <w:r>
        <w:rPr>
          <w:spacing w:val="-15"/>
        </w:rPr>
        <w:t xml:space="preserve"> </w:t>
      </w:r>
      <w:r>
        <w:t>viability.</w:t>
      </w:r>
    </w:p>
    <w:p w:rsidR="004E13A5" w:rsidRDefault="00681463">
      <w:pPr>
        <w:pStyle w:val="BodyText"/>
        <w:ind w:right="862"/>
      </w:pPr>
      <w:r>
        <w:t>Formal actions of the PHA are taken through written resolutions, adopted by the board of commissioners and entered into the official records of the PHA.</w:t>
      </w:r>
    </w:p>
    <w:p w:rsidR="004E13A5" w:rsidRDefault="00681463">
      <w:pPr>
        <w:pStyle w:val="BodyText"/>
      </w:pPr>
      <w:r>
        <w:t>The principal staff member of the PHA is the executive director (ED), hired and appointed by the board of commissioners. The executive director is directly responsible for carrying out the</w:t>
      </w:r>
    </w:p>
    <w:p w:rsidR="004E13A5" w:rsidRDefault="004E13A5">
      <w:pPr>
        <w:sectPr w:rsidR="004E13A5">
          <w:type w:val="continuous"/>
          <w:pgSz w:w="12240" w:h="15840"/>
          <w:pgMar w:top="1500" w:right="1340" w:bottom="280" w:left="1340" w:header="720" w:footer="720" w:gutter="0"/>
          <w:cols w:space="720"/>
        </w:sectPr>
      </w:pPr>
    </w:p>
    <w:p w:rsidR="004E13A5" w:rsidRDefault="00681463">
      <w:pPr>
        <w:pStyle w:val="BodyText"/>
        <w:spacing w:before="79"/>
        <w:ind w:right="262"/>
      </w:pPr>
      <w:r>
        <w:lastRenderedPageBreak/>
        <w:t>policies established by the board and is delegated the responsibility for hiring, training and supervising the PHA staff in order to manage the day-to-day operations of the PHA. The executive director is responsible for ensuring compliance with federal and state laws and directives for the programs managed. In addition, the executive director’s duties include budgeting and financial planning for the agency.</w:t>
      </w:r>
    </w:p>
    <w:p w:rsidR="004E13A5" w:rsidRDefault="004E13A5">
      <w:pPr>
        <w:pStyle w:val="BodyText"/>
        <w:spacing w:before="9"/>
        <w:ind w:left="0"/>
        <w:rPr>
          <w:sz w:val="20"/>
        </w:rPr>
      </w:pPr>
    </w:p>
    <w:p w:rsidR="004E13A5" w:rsidRDefault="00681463">
      <w:pPr>
        <w:pStyle w:val="Heading4"/>
      </w:pPr>
      <w:r>
        <w:t>1-I.C. PHA MISSION</w:t>
      </w:r>
    </w:p>
    <w:p w:rsidR="004E13A5" w:rsidRDefault="00681463">
      <w:pPr>
        <w:pStyle w:val="BodyText"/>
        <w:ind w:right="109"/>
      </w:pPr>
      <w:r>
        <w:t>The purpose of a mission statement is to communicate the purpose of the agency to people inside and outside of the agency. It provides guiding direction for developing strategy, defining critical success factors, searching out key opportunities, making resource allocation choices, satisfying clients and stakeholders, and making decisions.</w:t>
      </w:r>
    </w:p>
    <w:p w:rsidR="004E13A5" w:rsidRDefault="00681463">
      <w:pPr>
        <w:pStyle w:val="BodyText"/>
        <w:ind w:left="820"/>
      </w:pPr>
      <w:r>
        <w:rPr>
          <w:u w:val="single"/>
        </w:rPr>
        <w:t>PHA Policy</w:t>
      </w:r>
    </w:p>
    <w:p w:rsidR="004E13A5" w:rsidRDefault="00681463">
      <w:pPr>
        <w:pStyle w:val="BodyText"/>
        <w:spacing w:before="120"/>
        <w:ind w:left="820" w:right="149"/>
      </w:pPr>
      <w:r>
        <w:t>The PHA’s mission is to promote, preserve and provide residents of our community with safe, sanitary and affordable housing in good condition. The PHA will assist in connecting residents with other resources which may enhance their quality of living. The PHA will provide these services while treating the clients with dignity and respect.</w:t>
      </w:r>
    </w:p>
    <w:p w:rsidR="004E13A5" w:rsidRDefault="004E13A5">
      <w:pPr>
        <w:pStyle w:val="BodyText"/>
        <w:spacing w:before="9"/>
        <w:ind w:left="0"/>
        <w:rPr>
          <w:sz w:val="20"/>
        </w:rPr>
      </w:pPr>
    </w:p>
    <w:p w:rsidR="004E13A5" w:rsidRDefault="00681463">
      <w:pPr>
        <w:pStyle w:val="Heading4"/>
        <w:spacing w:before="1"/>
      </w:pPr>
      <w:bookmarkStart w:id="1" w:name="_Hlk177729133"/>
      <w:r>
        <w:t>1-I.D. THE PHA’S PROGRAMS</w:t>
      </w:r>
    </w:p>
    <w:bookmarkEnd w:id="1"/>
    <w:p w:rsidR="004E13A5" w:rsidRDefault="00681463">
      <w:pPr>
        <w:pStyle w:val="BodyText"/>
        <w:spacing w:before="120" w:line="343" w:lineRule="auto"/>
        <w:ind w:left="820" w:right="2881" w:hanging="720"/>
      </w:pPr>
      <w:r>
        <w:t xml:space="preserve">The following programs are included under this administrative plan: </w:t>
      </w:r>
      <w:r>
        <w:rPr>
          <w:u w:val="single"/>
        </w:rPr>
        <w:t>PHA Policy</w:t>
      </w:r>
    </w:p>
    <w:p w:rsidR="004E13A5" w:rsidRDefault="00681463">
      <w:pPr>
        <w:pStyle w:val="BodyText"/>
        <w:spacing w:before="5"/>
        <w:ind w:left="820" w:right="668"/>
      </w:pPr>
      <w:r>
        <w:t>The PHA’s administrative plan is applicable to the operation of the Housing Choice Voucher program and subsidiary programs. In addition, the Administrative Plan addresses policies for the following special programs:</w:t>
      </w:r>
    </w:p>
    <w:p w:rsidR="004E13A5" w:rsidRDefault="00681463">
      <w:pPr>
        <w:pStyle w:val="BodyText"/>
        <w:spacing w:line="343" w:lineRule="auto"/>
        <w:ind w:left="1540" w:right="4420"/>
      </w:pPr>
      <w:r>
        <w:t>Veterans Affairs Supportive Housing Mainstream Vouchers</w:t>
      </w:r>
    </w:p>
    <w:p w:rsidR="00512B0B" w:rsidRDefault="00512B0B">
      <w:pPr>
        <w:pStyle w:val="BodyText"/>
        <w:spacing w:line="343" w:lineRule="auto"/>
        <w:ind w:left="1540" w:right="4420"/>
      </w:pPr>
      <w:r>
        <w:t xml:space="preserve">Shared Housing </w:t>
      </w:r>
    </w:p>
    <w:p w:rsidR="004E13A5" w:rsidRDefault="00681463">
      <w:pPr>
        <w:pStyle w:val="Heading4"/>
        <w:spacing w:before="125"/>
      </w:pPr>
      <w:r>
        <w:t>1-I.E. THE PHA’S COMMITMENT TO ETHICS AND SERVICE</w:t>
      </w:r>
    </w:p>
    <w:p w:rsidR="004E13A5" w:rsidRDefault="00681463">
      <w:pPr>
        <w:pStyle w:val="BodyText"/>
        <w:ind w:right="262"/>
      </w:pPr>
      <w:r>
        <w:t>As a public service agency, the PHA is committed to providing excellent service to HCV program participants, owners, and to the community. The PHA’s standards include:</w:t>
      </w:r>
    </w:p>
    <w:p w:rsidR="004E13A5" w:rsidRDefault="00681463">
      <w:pPr>
        <w:pStyle w:val="ListParagraph"/>
        <w:numPr>
          <w:ilvl w:val="0"/>
          <w:numId w:val="93"/>
        </w:numPr>
        <w:tabs>
          <w:tab w:val="left" w:pos="460"/>
          <w:tab w:val="left" w:pos="461"/>
        </w:tabs>
        <w:ind w:right="391"/>
        <w:rPr>
          <w:rFonts w:ascii="Symbol"/>
          <w:sz w:val="24"/>
        </w:rPr>
      </w:pPr>
      <w:r>
        <w:rPr>
          <w:sz w:val="24"/>
        </w:rPr>
        <w:t>Administer applicable federal and state laws and regulations to achieve high ratings in performance measurement indicators while maintaining efficiency in program operation</w:t>
      </w:r>
      <w:r>
        <w:rPr>
          <w:spacing w:val="-19"/>
          <w:sz w:val="24"/>
        </w:rPr>
        <w:t xml:space="preserve"> </w:t>
      </w:r>
      <w:r>
        <w:rPr>
          <w:sz w:val="24"/>
        </w:rPr>
        <w:t>to ensure fair and consistent treatment of clients</w:t>
      </w:r>
      <w:r>
        <w:rPr>
          <w:spacing w:val="-9"/>
          <w:sz w:val="24"/>
        </w:rPr>
        <w:t xml:space="preserve"> </w:t>
      </w:r>
      <w:r>
        <w:rPr>
          <w:sz w:val="24"/>
        </w:rPr>
        <w:t>served.</w:t>
      </w:r>
    </w:p>
    <w:p w:rsidR="004E13A5" w:rsidRDefault="00681463">
      <w:pPr>
        <w:pStyle w:val="ListParagraph"/>
        <w:numPr>
          <w:ilvl w:val="0"/>
          <w:numId w:val="93"/>
        </w:numPr>
        <w:tabs>
          <w:tab w:val="left" w:pos="460"/>
          <w:tab w:val="left" w:pos="461"/>
        </w:tabs>
        <w:spacing w:before="120"/>
        <w:ind w:right="105"/>
        <w:rPr>
          <w:rFonts w:ascii="Symbol" w:hAnsi="Symbol"/>
          <w:sz w:val="24"/>
        </w:rPr>
      </w:pPr>
      <w:r>
        <w:rPr>
          <w:sz w:val="24"/>
        </w:rPr>
        <w:t>Provide decent, safe, and sanitary housing – in compliance with program housing quality standards – for very low income families while ensuring that family rents are fair,</w:t>
      </w:r>
      <w:r>
        <w:rPr>
          <w:spacing w:val="-19"/>
          <w:sz w:val="24"/>
        </w:rPr>
        <w:t xml:space="preserve"> </w:t>
      </w:r>
      <w:r>
        <w:rPr>
          <w:sz w:val="24"/>
        </w:rPr>
        <w:t>reasonable, and</w:t>
      </w:r>
      <w:r>
        <w:rPr>
          <w:spacing w:val="-4"/>
          <w:sz w:val="24"/>
        </w:rPr>
        <w:t xml:space="preserve"> </w:t>
      </w:r>
      <w:r>
        <w:rPr>
          <w:sz w:val="24"/>
        </w:rPr>
        <w:t>affordable.</w:t>
      </w:r>
    </w:p>
    <w:p w:rsidR="004E13A5" w:rsidRDefault="00681463">
      <w:pPr>
        <w:pStyle w:val="ListParagraph"/>
        <w:numPr>
          <w:ilvl w:val="0"/>
          <w:numId w:val="93"/>
        </w:numPr>
        <w:tabs>
          <w:tab w:val="left" w:pos="460"/>
          <w:tab w:val="left" w:pos="461"/>
        </w:tabs>
        <w:ind w:right="676"/>
        <w:rPr>
          <w:rFonts w:ascii="Symbol"/>
          <w:sz w:val="24"/>
        </w:rPr>
      </w:pPr>
      <w:r>
        <w:rPr>
          <w:sz w:val="24"/>
        </w:rPr>
        <w:t>Encourage self-sufficiency of participant families and assist in the expansion of family opportunities which address educational, socio-economic, recreational and other</w:t>
      </w:r>
      <w:r>
        <w:rPr>
          <w:spacing w:val="-12"/>
          <w:sz w:val="24"/>
        </w:rPr>
        <w:t xml:space="preserve"> </w:t>
      </w:r>
      <w:r>
        <w:rPr>
          <w:sz w:val="24"/>
        </w:rPr>
        <w:t>human service</w:t>
      </w:r>
      <w:r>
        <w:rPr>
          <w:spacing w:val="-5"/>
          <w:sz w:val="24"/>
        </w:rPr>
        <w:t xml:space="preserve"> </w:t>
      </w:r>
      <w:r>
        <w:rPr>
          <w:sz w:val="24"/>
        </w:rPr>
        <w:t>needs.</w:t>
      </w:r>
    </w:p>
    <w:p w:rsidR="004E13A5" w:rsidRDefault="00681463">
      <w:pPr>
        <w:pStyle w:val="ListParagraph"/>
        <w:numPr>
          <w:ilvl w:val="0"/>
          <w:numId w:val="93"/>
        </w:numPr>
        <w:tabs>
          <w:tab w:val="left" w:pos="460"/>
          <w:tab w:val="left" w:pos="461"/>
        </w:tabs>
        <w:ind w:right="478"/>
        <w:rPr>
          <w:rFonts w:ascii="Symbol"/>
          <w:sz w:val="24"/>
        </w:rPr>
      </w:pPr>
      <w:r>
        <w:rPr>
          <w:sz w:val="24"/>
        </w:rPr>
        <w:t>Promote fair housing and the equal opportunity for very low-income families of all ethnic backgrounds to experience freedom of housing</w:t>
      </w:r>
      <w:r>
        <w:rPr>
          <w:spacing w:val="-10"/>
          <w:sz w:val="24"/>
        </w:rPr>
        <w:t xml:space="preserve"> </w:t>
      </w:r>
      <w:r>
        <w:rPr>
          <w:sz w:val="24"/>
        </w:rPr>
        <w:t>choice.</w:t>
      </w:r>
    </w:p>
    <w:p w:rsidR="004E13A5" w:rsidRDefault="004E13A5">
      <w:pPr>
        <w:rPr>
          <w:rFonts w:ascii="Symbol"/>
          <w:sz w:val="24"/>
        </w:rPr>
        <w:sectPr w:rsidR="004E13A5">
          <w:pgSz w:w="12240" w:h="15840"/>
          <w:pgMar w:top="1360" w:right="1340" w:bottom="640" w:left="1340" w:header="0" w:footer="381" w:gutter="0"/>
          <w:cols w:space="720"/>
        </w:sectPr>
      </w:pPr>
    </w:p>
    <w:p w:rsidR="004E13A5" w:rsidRDefault="00681463">
      <w:pPr>
        <w:pStyle w:val="ListParagraph"/>
        <w:numPr>
          <w:ilvl w:val="0"/>
          <w:numId w:val="93"/>
        </w:numPr>
        <w:tabs>
          <w:tab w:val="left" w:pos="460"/>
          <w:tab w:val="left" w:pos="461"/>
        </w:tabs>
        <w:spacing w:before="79"/>
        <w:ind w:right="150"/>
        <w:rPr>
          <w:rFonts w:ascii="Symbol"/>
          <w:sz w:val="24"/>
        </w:rPr>
      </w:pPr>
      <w:r>
        <w:rPr>
          <w:sz w:val="24"/>
        </w:rPr>
        <w:lastRenderedPageBreak/>
        <w:t>Promote a housing program which maintains quality service and integrity while providing</w:t>
      </w:r>
      <w:r>
        <w:rPr>
          <w:spacing w:val="-18"/>
          <w:sz w:val="24"/>
        </w:rPr>
        <w:t xml:space="preserve"> </w:t>
      </w:r>
      <w:r>
        <w:rPr>
          <w:sz w:val="24"/>
        </w:rPr>
        <w:t>an incentive to private property owners to rent to very low-income</w:t>
      </w:r>
      <w:r>
        <w:rPr>
          <w:spacing w:val="-15"/>
          <w:sz w:val="24"/>
        </w:rPr>
        <w:t xml:space="preserve"> </w:t>
      </w:r>
      <w:r>
        <w:rPr>
          <w:sz w:val="24"/>
        </w:rPr>
        <w:t>families.</w:t>
      </w:r>
    </w:p>
    <w:p w:rsidR="004E13A5" w:rsidRDefault="00681463">
      <w:pPr>
        <w:pStyle w:val="ListParagraph"/>
        <w:numPr>
          <w:ilvl w:val="0"/>
          <w:numId w:val="93"/>
        </w:numPr>
        <w:tabs>
          <w:tab w:val="left" w:pos="460"/>
          <w:tab w:val="left" w:pos="461"/>
        </w:tabs>
        <w:ind w:right="419"/>
        <w:rPr>
          <w:rFonts w:ascii="Symbol"/>
          <w:sz w:val="24"/>
        </w:rPr>
      </w:pPr>
      <w:r>
        <w:rPr>
          <w:sz w:val="24"/>
        </w:rPr>
        <w:t>Promote a market-driven housing program that will help qualified low-income families be successful in obtaining affordable housing and increase the supply of housing choices for such</w:t>
      </w:r>
      <w:r>
        <w:rPr>
          <w:spacing w:val="-5"/>
          <w:sz w:val="24"/>
        </w:rPr>
        <w:t xml:space="preserve"> </w:t>
      </w:r>
      <w:r>
        <w:rPr>
          <w:sz w:val="24"/>
        </w:rPr>
        <w:t>families.</w:t>
      </w:r>
    </w:p>
    <w:p w:rsidR="004E13A5" w:rsidRDefault="00681463">
      <w:pPr>
        <w:pStyle w:val="ListParagraph"/>
        <w:numPr>
          <w:ilvl w:val="0"/>
          <w:numId w:val="93"/>
        </w:numPr>
        <w:tabs>
          <w:tab w:val="left" w:pos="460"/>
          <w:tab w:val="left" w:pos="461"/>
        </w:tabs>
        <w:ind w:right="598"/>
        <w:rPr>
          <w:rFonts w:ascii="Symbol" w:hAnsi="Symbol"/>
          <w:sz w:val="24"/>
        </w:rPr>
      </w:pPr>
      <w:r>
        <w:rPr>
          <w:sz w:val="24"/>
        </w:rPr>
        <w:t>Create positive public awareness and expand the level of family, owner, and community support in accomplishing the PHA’s</w:t>
      </w:r>
      <w:r>
        <w:rPr>
          <w:spacing w:val="-4"/>
          <w:sz w:val="24"/>
        </w:rPr>
        <w:t xml:space="preserve"> </w:t>
      </w:r>
      <w:r>
        <w:rPr>
          <w:sz w:val="24"/>
        </w:rPr>
        <w:t>mission.</w:t>
      </w:r>
    </w:p>
    <w:p w:rsidR="004E13A5" w:rsidRDefault="00681463">
      <w:pPr>
        <w:pStyle w:val="ListParagraph"/>
        <w:numPr>
          <w:ilvl w:val="0"/>
          <w:numId w:val="93"/>
        </w:numPr>
        <w:tabs>
          <w:tab w:val="left" w:pos="460"/>
          <w:tab w:val="left" w:pos="461"/>
        </w:tabs>
        <w:ind w:right="146"/>
        <w:rPr>
          <w:rFonts w:ascii="Symbol"/>
          <w:sz w:val="24"/>
        </w:rPr>
      </w:pPr>
      <w:r>
        <w:rPr>
          <w:sz w:val="24"/>
        </w:rPr>
        <w:t>Attain and maintain a high level of standards and professionalism in day-to-day management of all program</w:t>
      </w:r>
      <w:r>
        <w:rPr>
          <w:spacing w:val="-4"/>
          <w:sz w:val="24"/>
        </w:rPr>
        <w:t xml:space="preserve"> </w:t>
      </w:r>
      <w:r>
        <w:rPr>
          <w:sz w:val="24"/>
        </w:rPr>
        <w:t>components.</w:t>
      </w:r>
    </w:p>
    <w:p w:rsidR="004E13A5" w:rsidRDefault="00681463">
      <w:pPr>
        <w:pStyle w:val="ListParagraph"/>
        <w:numPr>
          <w:ilvl w:val="0"/>
          <w:numId w:val="93"/>
        </w:numPr>
        <w:tabs>
          <w:tab w:val="left" w:pos="460"/>
          <w:tab w:val="left" w:pos="461"/>
        </w:tabs>
        <w:ind w:right="534"/>
        <w:rPr>
          <w:rFonts w:ascii="Symbol" w:hAnsi="Symbol"/>
          <w:sz w:val="24"/>
        </w:rPr>
      </w:pPr>
      <w:r>
        <w:rPr>
          <w:sz w:val="24"/>
        </w:rPr>
        <w:t>Administer an efficient, high-performing agency through continuous improvement of</w:t>
      </w:r>
      <w:r>
        <w:rPr>
          <w:spacing w:val="-13"/>
          <w:sz w:val="24"/>
        </w:rPr>
        <w:t xml:space="preserve"> </w:t>
      </w:r>
      <w:r>
        <w:rPr>
          <w:sz w:val="24"/>
        </w:rPr>
        <w:t>the PHA’s support systems and a high level of commitment to our employees and their development.</w:t>
      </w:r>
    </w:p>
    <w:p w:rsidR="004E13A5" w:rsidRDefault="00681463">
      <w:pPr>
        <w:pStyle w:val="BodyText"/>
        <w:spacing w:before="120"/>
        <w:ind w:right="62"/>
      </w:pPr>
      <w:r>
        <w:t>The PHA will make every effort to keep program participants informed of HCV program rules and regulations, and to advise participants of how the program rules affect them.</w:t>
      </w:r>
    </w:p>
    <w:p w:rsidR="004E13A5" w:rsidRDefault="00681463">
      <w:pPr>
        <w:pStyle w:val="Heading4"/>
        <w:spacing w:before="6" w:line="510" w:lineRule="atLeast"/>
        <w:ind w:right="1190" w:firstLine="1108"/>
      </w:pPr>
      <w:r>
        <w:t>PART II: THE HOUSING CHOICE VOUCHER (HCV) PROGRAM 1-II.A. OVERVIEW AND HISTORY OF THE PROGRAM</w:t>
      </w:r>
    </w:p>
    <w:p w:rsidR="004E13A5" w:rsidRDefault="00681463">
      <w:pPr>
        <w:pStyle w:val="BodyText"/>
        <w:spacing w:before="120"/>
        <w:ind w:right="149"/>
      </w:pPr>
      <w:r>
        <w:t>The intent of this section is to provide the public and staff with information related to the overall operation of the program. There have been many changes to the program since its inception in 1974 and a brief history of the program will assist the reader to better understand the program.</w:t>
      </w:r>
    </w:p>
    <w:p w:rsidR="004E13A5" w:rsidRDefault="00681463">
      <w:pPr>
        <w:pStyle w:val="BodyText"/>
        <w:spacing w:before="120"/>
        <w:ind w:right="62"/>
      </w:pPr>
      <w:r>
        <w:t>The United States Housing Act of 1937 (the “Act”) is responsible for the birth of federal housing program initiatives. The Act was intended to provide financial assistance to states and cities for public works projects, slum clearance and the development of affordable housing developments for low-income residents.</w:t>
      </w:r>
    </w:p>
    <w:p w:rsidR="004E13A5" w:rsidRDefault="00681463">
      <w:pPr>
        <w:pStyle w:val="BodyText"/>
        <w:spacing w:before="120"/>
        <w:ind w:right="62"/>
      </w:pPr>
      <w:r>
        <w:t>The Housing and Community Development (HCD) Act of 1974 created a new federally assisted housing program – the Section 8 Existing program (also known as the Section 8 Certificate program). The HCD Act represented a significant shift in federal housing strategy from locally owned public housing to privately owned rental housing.</w:t>
      </w:r>
    </w:p>
    <w:p w:rsidR="004E13A5" w:rsidRDefault="00681463">
      <w:pPr>
        <w:pStyle w:val="BodyText"/>
        <w:spacing w:before="120"/>
        <w:ind w:right="99"/>
      </w:pPr>
      <w:r>
        <w:t>Under the Certificate program, federal housing assistance payments were made directly to private owners of rental housing, where this housing was made available to lower-income families. Eligible families were able to select housing in the private rental market. Assuming that the housing met certain basic physical standards of quality (“housing quality standards”) and was within certain HUD-established rent limitations (“fair market rents”), the family would be able</w:t>
      </w:r>
      <w:r>
        <w:rPr>
          <w:spacing w:val="-19"/>
        </w:rPr>
        <w:t xml:space="preserve"> </w:t>
      </w:r>
      <w:r>
        <w:t>to receive rental assistance in the housing unit. Family contribution to rent was generally set at 30 percent of the family’s adjusted income, with the remainder of the rent paid by the</w:t>
      </w:r>
      <w:r>
        <w:rPr>
          <w:spacing w:val="-16"/>
        </w:rPr>
        <w:t xml:space="preserve"> </w:t>
      </w:r>
      <w:r>
        <w:t>program.</w:t>
      </w:r>
    </w:p>
    <w:p w:rsidR="004E13A5" w:rsidRDefault="00681463">
      <w:pPr>
        <w:pStyle w:val="BodyText"/>
        <w:spacing w:before="120"/>
        <w:ind w:right="182"/>
      </w:pPr>
      <w:r>
        <w:t xml:space="preserve">Another unique feature of the Certificate program was that the rental assistance remained with the eligible </w:t>
      </w:r>
      <w:r>
        <w:rPr>
          <w:u w:val="single"/>
        </w:rPr>
        <w:t>family</w:t>
      </w:r>
      <w:r>
        <w:t xml:space="preserve">, if the family chose to move to another privately-owned rental unit that met program requirements (in contrast to the public housing program where the rental assistance remains with the </w:t>
      </w:r>
      <w:r>
        <w:rPr>
          <w:u w:val="single"/>
        </w:rPr>
        <w:t>unit</w:t>
      </w:r>
      <w:r>
        <w:t xml:space="preserve">, should the family decide to move). Consequently, the Certificate program was characterized as </w:t>
      </w:r>
      <w:r>
        <w:rPr>
          <w:u w:val="single"/>
        </w:rPr>
        <w:t xml:space="preserve">tenant-based </w:t>
      </w:r>
      <w:r>
        <w:t>assistance, rather than unit-based assistance.</w:t>
      </w:r>
    </w:p>
    <w:p w:rsidR="004E13A5" w:rsidRDefault="00681463">
      <w:pPr>
        <w:pStyle w:val="BodyText"/>
        <w:spacing w:before="117"/>
        <w:ind w:right="568"/>
      </w:pPr>
      <w:r>
        <w:t>The Housing and Community Development (HCD) Act of 1987 authorized a new version of tenant-based assistance – the Section 8 Voucher program. The Voucher program was very</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right="669"/>
      </w:pPr>
      <w:r>
        <w:lastRenderedPageBreak/>
        <w:t>similar to the Certificate program in that eligible families were able to select housing in the private rental market and receive assistance in that housing unit.</w:t>
      </w:r>
    </w:p>
    <w:p w:rsidR="004E13A5" w:rsidRDefault="00681463">
      <w:pPr>
        <w:pStyle w:val="BodyText"/>
        <w:ind w:right="162"/>
      </w:pPr>
      <w:r>
        <w:t>However, the Voucher program permitted families more options in housing selection. Rental housing still had to meet the basic housing quality standards, but there was no fair market rent limitation on rent. In addition, family contribution to rent was not set at a limit of 30 percent of adjusted income. Consequently, depending on the actual rental cost of the unit selected, a family might pay more or less than 30 percent of their adjusted income for rent.</w:t>
      </w:r>
    </w:p>
    <w:p w:rsidR="004E13A5" w:rsidRDefault="00681463">
      <w:pPr>
        <w:pStyle w:val="BodyText"/>
        <w:ind w:right="235"/>
      </w:pPr>
      <w:r>
        <w:t>From 1987 through 1999, public housing agencies managed both the Certificate and Voucher tenant-based assistance programs, with separate rules and requirements for each. From 1994 through 1998, HUD published a series of new rules, known as “conforming” rules, to more closely combine and align the two similar housing programs, to the extent permitted by the law.</w:t>
      </w:r>
    </w:p>
    <w:p w:rsidR="004E13A5" w:rsidRDefault="00681463">
      <w:pPr>
        <w:pStyle w:val="BodyText"/>
        <w:ind w:right="99"/>
      </w:pPr>
      <w:r>
        <w:t>In 1998, the Quality Housing and Work Responsibility Act (QHWRA) – also known as the Public Housing Reform Act – was signed into law. QHWRA eliminated all statutory differences between the Certificate and Voucher tenant-based programs and required that the two programs be merged into a single tenant-based assistance program, now known as the Housing Choice Voucher (HCV) program.</w:t>
      </w:r>
    </w:p>
    <w:p w:rsidR="004E13A5" w:rsidRDefault="00681463">
      <w:pPr>
        <w:pStyle w:val="BodyText"/>
        <w:ind w:right="89"/>
      </w:pPr>
      <w:r>
        <w:t>The HCV program was modeled closely on the pre-merger Voucher program. However, unlike the pre-merger Voucher program, the HCV program requires an assisted family to pay at least 30 percent of adjusted income for rent.</w:t>
      </w:r>
    </w:p>
    <w:p w:rsidR="004E13A5" w:rsidRDefault="00681463">
      <w:pPr>
        <w:pStyle w:val="BodyText"/>
        <w:ind w:right="62"/>
      </w:pPr>
      <w:r>
        <w:t>The transition of assistance from the Certificate and Voucher programs to the new HCV program began in October 1999. By October 2001, all families receiving tenant-based assistance were converted to the HCV program.</w:t>
      </w:r>
    </w:p>
    <w:p w:rsidR="004E13A5" w:rsidRDefault="004E13A5">
      <w:pPr>
        <w:pStyle w:val="BodyText"/>
        <w:spacing w:before="9"/>
        <w:ind w:left="0"/>
        <w:rPr>
          <w:sz w:val="20"/>
        </w:rPr>
      </w:pPr>
    </w:p>
    <w:p w:rsidR="004E13A5" w:rsidRDefault="00681463">
      <w:pPr>
        <w:pStyle w:val="Heading4"/>
        <w:spacing w:before="1"/>
      </w:pPr>
      <w:r>
        <w:t>1-II.B. HCV PROGRAM BASICS</w:t>
      </w:r>
    </w:p>
    <w:p w:rsidR="004E13A5" w:rsidRDefault="00681463">
      <w:pPr>
        <w:pStyle w:val="BodyText"/>
        <w:spacing w:before="120"/>
        <w:ind w:right="123"/>
      </w:pPr>
      <w:r>
        <w:t>The purpose of the HCV program is to provide rental assistance to eligible families. The rules and regulations of the HCV program are determined by the U.S. Department of Housing and Urban Development. The PHA is afforded choices in the operation of the program which are included in the PHA’s administrative plan, a document approved by the board of commissioners of the PHA.</w:t>
      </w:r>
    </w:p>
    <w:p w:rsidR="004E13A5" w:rsidRDefault="00681463">
      <w:pPr>
        <w:pStyle w:val="BodyText"/>
        <w:spacing w:before="120"/>
        <w:ind w:right="301"/>
      </w:pPr>
      <w:r>
        <w:t>The HCV program offers mobility to eligible families because they may search for suitable housing anywhere in the PHA’s jurisdiction and may also be eligible to move under portability to other PHAs’ jurisdictions.</w:t>
      </w:r>
    </w:p>
    <w:p w:rsidR="004E13A5" w:rsidRDefault="00681463">
      <w:pPr>
        <w:pStyle w:val="BodyText"/>
        <w:spacing w:before="120"/>
        <w:ind w:right="182"/>
      </w:pPr>
      <w:r>
        <w:t>When a family is determined to be eligible for the program and funding is available, the PHA issues the family a housing voucher. When the family finds a suitable housing unit and funding is available, the PHA will enter into a contract with the owner and the family will enter into a lease with the owner. Each party makes their respective payment to the owner so that the owner receives full rent.</w:t>
      </w:r>
    </w:p>
    <w:p w:rsidR="004E13A5" w:rsidRDefault="00681463">
      <w:pPr>
        <w:pStyle w:val="BodyText"/>
        <w:spacing w:before="120"/>
        <w:ind w:right="62"/>
      </w:pPr>
      <w:r>
        <w:t>Even though the family is determined to be eligible for the program, the owner has the responsibility of approving the family as a suitable renter. The PHA continues to make payments to the owner as long as the family is eligible and the housing unit continues to qualify under the program.</w:t>
      </w:r>
    </w:p>
    <w:p w:rsidR="004E13A5" w:rsidRDefault="004E13A5">
      <w:pPr>
        <w:sectPr w:rsidR="004E13A5">
          <w:pgSz w:w="12240" w:h="15840"/>
          <w:pgMar w:top="1360" w:right="1360" w:bottom="640" w:left="1340" w:header="0" w:footer="381" w:gutter="0"/>
          <w:cols w:space="720"/>
        </w:sectPr>
      </w:pPr>
    </w:p>
    <w:p w:rsidR="004E13A5" w:rsidRDefault="00681463">
      <w:pPr>
        <w:pStyle w:val="Heading4"/>
        <w:spacing w:before="79"/>
      </w:pPr>
      <w:r>
        <w:lastRenderedPageBreak/>
        <w:t>1-II.C. THE HCV PARTNERSHIPS</w:t>
      </w:r>
    </w:p>
    <w:p w:rsidR="004E13A5" w:rsidRDefault="00681463">
      <w:pPr>
        <w:pStyle w:val="BodyText"/>
        <w:ind w:right="835"/>
      </w:pPr>
      <w:r>
        <w:t>To administer the HCV program, the PHA enters into a contractual relationship with HUD (Consolidated Annual Contributions Contract). The PHA also enters into contractual relationships with the assisted family and the owner or landlord of the housing unit.</w:t>
      </w:r>
    </w:p>
    <w:p w:rsidR="004E13A5" w:rsidRDefault="00681463">
      <w:pPr>
        <w:pStyle w:val="BodyText"/>
        <w:ind w:right="257"/>
      </w:pPr>
      <w:r>
        <w:t>For the HCV program to work and be successful, all parties involved – HUD, the PHA, the owner, and the family – have important roles to play. The roles and responsibilities of all parties are defined in federal regulations and in legal documents that parties execute to participate in the program.</w:t>
      </w:r>
    </w:p>
    <w:p w:rsidR="004E13A5" w:rsidRDefault="00681463">
      <w:pPr>
        <w:pStyle w:val="BodyText"/>
      </w:pPr>
      <w:r>
        <w:t>This chart illustrates key aspects of these relationships.</w:t>
      </w:r>
    </w:p>
    <w:p w:rsidR="004E13A5" w:rsidRDefault="004E13A5">
      <w:pPr>
        <w:pStyle w:val="BodyText"/>
        <w:spacing w:before="0"/>
        <w:ind w:left="0"/>
        <w:rPr>
          <w:sz w:val="26"/>
        </w:rPr>
      </w:pPr>
    </w:p>
    <w:p w:rsidR="004E13A5" w:rsidRDefault="00681463">
      <w:pPr>
        <w:pStyle w:val="Heading4"/>
        <w:spacing w:before="216"/>
      </w:pPr>
      <w:r>
        <w:t>The HCV Relationships:</w:t>
      </w:r>
    </w:p>
    <w:p w:rsidR="004E13A5" w:rsidRDefault="004E13A5">
      <w:pPr>
        <w:pStyle w:val="BodyText"/>
        <w:spacing w:before="0"/>
        <w:ind w:left="0"/>
        <w:rPr>
          <w:b/>
          <w:sz w:val="20"/>
        </w:rPr>
      </w:pPr>
    </w:p>
    <w:p w:rsidR="004E13A5" w:rsidRDefault="004E13A5">
      <w:pPr>
        <w:pStyle w:val="BodyText"/>
        <w:spacing w:before="8"/>
        <w:ind w:left="0"/>
        <w:rPr>
          <w:b/>
          <w:sz w:val="20"/>
        </w:rPr>
      </w:pPr>
    </w:p>
    <w:p w:rsidR="004E13A5" w:rsidRDefault="003263D1">
      <w:pPr>
        <w:ind w:left="3935" w:right="3868"/>
        <w:jc w:val="center"/>
        <w:rPr>
          <w:b/>
          <w:sz w:val="24"/>
        </w:rPr>
      </w:pPr>
      <w:r>
        <w:rPr>
          <w:noProof/>
        </w:rPr>
        <mc:AlternateContent>
          <mc:Choice Requires="wpg">
            <w:drawing>
              <wp:anchor distT="0" distB="0" distL="114300" distR="114300" simplePos="0" relativeHeight="503038544" behindDoc="1" locked="0" layoutInCell="1" allowOverlap="1">
                <wp:simplePos x="0" y="0"/>
                <wp:positionH relativeFrom="page">
                  <wp:posOffset>1978660</wp:posOffset>
                </wp:positionH>
                <wp:positionV relativeFrom="paragraph">
                  <wp:posOffset>-55880</wp:posOffset>
                </wp:positionV>
                <wp:extent cx="4090670" cy="5099050"/>
                <wp:effectExtent l="6985" t="3810" r="7620" b="12065"/>
                <wp:wrapNone/>
                <wp:docPr id="8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0670" cy="5099050"/>
                          <a:chOff x="3116" y="-88"/>
                          <a:chExt cx="6442" cy="8030"/>
                        </a:xfrm>
                      </wpg:grpSpPr>
                      <wps:wsp>
                        <wps:cNvPr id="85" name="AutoShape 83"/>
                        <wps:cNvSpPr>
                          <a:spLocks/>
                        </wps:cNvSpPr>
                        <wps:spPr bwMode="auto">
                          <a:xfrm>
                            <a:off x="5121" y="-80"/>
                            <a:ext cx="2160" cy="2616"/>
                          </a:xfrm>
                          <a:custGeom>
                            <a:avLst/>
                            <a:gdLst>
                              <a:gd name="T0" fmla="+- 0 5121 5121"/>
                              <a:gd name="T1" fmla="*/ T0 w 2160"/>
                              <a:gd name="T2" fmla="+- 0 1000 -80"/>
                              <a:gd name="T3" fmla="*/ 1000 h 2616"/>
                              <a:gd name="T4" fmla="+- 0 7281 5121"/>
                              <a:gd name="T5" fmla="*/ T4 w 2160"/>
                              <a:gd name="T6" fmla="+- 0 1000 -80"/>
                              <a:gd name="T7" fmla="*/ 1000 h 2616"/>
                              <a:gd name="T8" fmla="+- 0 7281 5121"/>
                              <a:gd name="T9" fmla="*/ T8 w 2160"/>
                              <a:gd name="T10" fmla="+- 0 -80 -80"/>
                              <a:gd name="T11" fmla="*/ -80 h 2616"/>
                              <a:gd name="T12" fmla="+- 0 5121 5121"/>
                              <a:gd name="T13" fmla="*/ T12 w 2160"/>
                              <a:gd name="T14" fmla="+- 0 -80 -80"/>
                              <a:gd name="T15" fmla="*/ -80 h 2616"/>
                              <a:gd name="T16" fmla="+- 0 5121 5121"/>
                              <a:gd name="T17" fmla="*/ T16 w 2160"/>
                              <a:gd name="T18" fmla="+- 0 1000 -80"/>
                              <a:gd name="T19" fmla="*/ 1000 h 2616"/>
                              <a:gd name="T20" fmla="+- 0 5121 5121"/>
                              <a:gd name="T21" fmla="*/ T20 w 2160"/>
                              <a:gd name="T22" fmla="+- 0 2536 -80"/>
                              <a:gd name="T23" fmla="*/ 2536 h 2616"/>
                              <a:gd name="T24" fmla="+- 0 7281 5121"/>
                              <a:gd name="T25" fmla="*/ T24 w 2160"/>
                              <a:gd name="T26" fmla="+- 0 2536 -80"/>
                              <a:gd name="T27" fmla="*/ 2536 h 2616"/>
                              <a:gd name="T28" fmla="+- 0 7281 5121"/>
                              <a:gd name="T29" fmla="*/ T28 w 2160"/>
                              <a:gd name="T30" fmla="+- 0 1456 -80"/>
                              <a:gd name="T31" fmla="*/ 1456 h 2616"/>
                              <a:gd name="T32" fmla="+- 0 5121 5121"/>
                              <a:gd name="T33" fmla="*/ T32 w 2160"/>
                              <a:gd name="T34" fmla="+- 0 1456 -80"/>
                              <a:gd name="T35" fmla="*/ 1456 h 2616"/>
                              <a:gd name="T36" fmla="+- 0 5121 5121"/>
                              <a:gd name="T37" fmla="*/ T36 w 2160"/>
                              <a:gd name="T38" fmla="+- 0 2536 -80"/>
                              <a:gd name="T39" fmla="*/ 2536 h 2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60" h="2616">
                                <a:moveTo>
                                  <a:pt x="0" y="1080"/>
                                </a:moveTo>
                                <a:lnTo>
                                  <a:pt x="2160" y="1080"/>
                                </a:lnTo>
                                <a:lnTo>
                                  <a:pt x="2160" y="0"/>
                                </a:lnTo>
                                <a:lnTo>
                                  <a:pt x="0" y="0"/>
                                </a:lnTo>
                                <a:lnTo>
                                  <a:pt x="0" y="1080"/>
                                </a:lnTo>
                                <a:close/>
                                <a:moveTo>
                                  <a:pt x="0" y="2616"/>
                                </a:moveTo>
                                <a:lnTo>
                                  <a:pt x="2160" y="2616"/>
                                </a:lnTo>
                                <a:lnTo>
                                  <a:pt x="2160" y="1536"/>
                                </a:lnTo>
                                <a:lnTo>
                                  <a:pt x="0" y="1536"/>
                                </a:lnTo>
                                <a:lnTo>
                                  <a:pt x="0" y="26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82"/>
                        <wps:cNvSpPr>
                          <a:spLocks/>
                        </wps:cNvSpPr>
                        <wps:spPr bwMode="auto">
                          <a:xfrm>
                            <a:off x="5841" y="880"/>
                            <a:ext cx="720" cy="720"/>
                          </a:xfrm>
                          <a:custGeom>
                            <a:avLst/>
                            <a:gdLst>
                              <a:gd name="T0" fmla="+- 0 6561 5841"/>
                              <a:gd name="T1" fmla="*/ T0 w 720"/>
                              <a:gd name="T2" fmla="+- 0 1420 880"/>
                              <a:gd name="T3" fmla="*/ 1420 h 720"/>
                              <a:gd name="T4" fmla="+- 0 5841 5841"/>
                              <a:gd name="T5" fmla="*/ T4 w 720"/>
                              <a:gd name="T6" fmla="+- 0 1420 880"/>
                              <a:gd name="T7" fmla="*/ 1420 h 720"/>
                              <a:gd name="T8" fmla="+- 0 6201 5841"/>
                              <a:gd name="T9" fmla="*/ T8 w 720"/>
                              <a:gd name="T10" fmla="+- 0 1600 880"/>
                              <a:gd name="T11" fmla="*/ 1600 h 720"/>
                              <a:gd name="T12" fmla="+- 0 6561 5841"/>
                              <a:gd name="T13" fmla="*/ T12 w 720"/>
                              <a:gd name="T14" fmla="+- 0 1420 880"/>
                              <a:gd name="T15" fmla="*/ 1420 h 720"/>
                              <a:gd name="T16" fmla="+- 0 6381 5841"/>
                              <a:gd name="T17" fmla="*/ T16 w 720"/>
                              <a:gd name="T18" fmla="+- 0 880 880"/>
                              <a:gd name="T19" fmla="*/ 880 h 720"/>
                              <a:gd name="T20" fmla="+- 0 6021 5841"/>
                              <a:gd name="T21" fmla="*/ T20 w 720"/>
                              <a:gd name="T22" fmla="+- 0 880 880"/>
                              <a:gd name="T23" fmla="*/ 880 h 720"/>
                              <a:gd name="T24" fmla="+- 0 6021 5841"/>
                              <a:gd name="T25" fmla="*/ T24 w 720"/>
                              <a:gd name="T26" fmla="+- 0 1420 880"/>
                              <a:gd name="T27" fmla="*/ 1420 h 720"/>
                              <a:gd name="T28" fmla="+- 0 6381 5841"/>
                              <a:gd name="T29" fmla="*/ T28 w 720"/>
                              <a:gd name="T30" fmla="+- 0 1420 880"/>
                              <a:gd name="T31" fmla="*/ 1420 h 720"/>
                              <a:gd name="T32" fmla="+- 0 6381 5841"/>
                              <a:gd name="T33" fmla="*/ T32 w 720"/>
                              <a:gd name="T34" fmla="+- 0 880 880"/>
                              <a:gd name="T35" fmla="*/ 88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0" h="720">
                                <a:moveTo>
                                  <a:pt x="720" y="540"/>
                                </a:moveTo>
                                <a:lnTo>
                                  <a:pt x="0" y="540"/>
                                </a:lnTo>
                                <a:lnTo>
                                  <a:pt x="360" y="720"/>
                                </a:lnTo>
                                <a:lnTo>
                                  <a:pt x="720" y="540"/>
                                </a:lnTo>
                                <a:close/>
                                <a:moveTo>
                                  <a:pt x="540" y="0"/>
                                </a:moveTo>
                                <a:lnTo>
                                  <a:pt x="180" y="0"/>
                                </a:lnTo>
                                <a:lnTo>
                                  <a:pt x="180" y="540"/>
                                </a:lnTo>
                                <a:lnTo>
                                  <a:pt x="540" y="540"/>
                                </a:lnTo>
                                <a:lnTo>
                                  <a:pt x="54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81"/>
                        <wps:cNvSpPr>
                          <a:spLocks/>
                        </wps:cNvSpPr>
                        <wps:spPr bwMode="auto">
                          <a:xfrm>
                            <a:off x="5121" y="880"/>
                            <a:ext cx="2160" cy="3757"/>
                          </a:xfrm>
                          <a:custGeom>
                            <a:avLst/>
                            <a:gdLst>
                              <a:gd name="T0" fmla="+- 0 5841 5121"/>
                              <a:gd name="T1" fmla="*/ T0 w 2160"/>
                              <a:gd name="T2" fmla="+- 0 1420 880"/>
                              <a:gd name="T3" fmla="*/ 1420 h 3757"/>
                              <a:gd name="T4" fmla="+- 0 6021 5121"/>
                              <a:gd name="T5" fmla="*/ T4 w 2160"/>
                              <a:gd name="T6" fmla="+- 0 1420 880"/>
                              <a:gd name="T7" fmla="*/ 1420 h 3757"/>
                              <a:gd name="T8" fmla="+- 0 6021 5121"/>
                              <a:gd name="T9" fmla="*/ T8 w 2160"/>
                              <a:gd name="T10" fmla="+- 0 880 880"/>
                              <a:gd name="T11" fmla="*/ 880 h 3757"/>
                              <a:gd name="T12" fmla="+- 0 6381 5121"/>
                              <a:gd name="T13" fmla="*/ T12 w 2160"/>
                              <a:gd name="T14" fmla="+- 0 880 880"/>
                              <a:gd name="T15" fmla="*/ 880 h 3757"/>
                              <a:gd name="T16" fmla="+- 0 6381 5121"/>
                              <a:gd name="T17" fmla="*/ T16 w 2160"/>
                              <a:gd name="T18" fmla="+- 0 1420 880"/>
                              <a:gd name="T19" fmla="*/ 1420 h 3757"/>
                              <a:gd name="T20" fmla="+- 0 6561 5121"/>
                              <a:gd name="T21" fmla="*/ T20 w 2160"/>
                              <a:gd name="T22" fmla="+- 0 1420 880"/>
                              <a:gd name="T23" fmla="*/ 1420 h 3757"/>
                              <a:gd name="T24" fmla="+- 0 6201 5121"/>
                              <a:gd name="T25" fmla="*/ T24 w 2160"/>
                              <a:gd name="T26" fmla="+- 0 1600 880"/>
                              <a:gd name="T27" fmla="*/ 1600 h 3757"/>
                              <a:gd name="T28" fmla="+- 0 5841 5121"/>
                              <a:gd name="T29" fmla="*/ T28 w 2160"/>
                              <a:gd name="T30" fmla="+- 0 1420 880"/>
                              <a:gd name="T31" fmla="*/ 1420 h 3757"/>
                              <a:gd name="T32" fmla="+- 0 5121 5121"/>
                              <a:gd name="T33" fmla="*/ T32 w 2160"/>
                              <a:gd name="T34" fmla="+- 0 4637 880"/>
                              <a:gd name="T35" fmla="*/ 4637 h 3757"/>
                              <a:gd name="T36" fmla="+- 0 7281 5121"/>
                              <a:gd name="T37" fmla="*/ T36 w 2160"/>
                              <a:gd name="T38" fmla="+- 0 4637 880"/>
                              <a:gd name="T39" fmla="*/ 4637 h 3757"/>
                              <a:gd name="T40" fmla="+- 0 7281 5121"/>
                              <a:gd name="T41" fmla="*/ T40 w 2160"/>
                              <a:gd name="T42" fmla="+- 0 3557 880"/>
                              <a:gd name="T43" fmla="*/ 3557 h 3757"/>
                              <a:gd name="T44" fmla="+- 0 5121 5121"/>
                              <a:gd name="T45" fmla="*/ T44 w 2160"/>
                              <a:gd name="T46" fmla="+- 0 3557 880"/>
                              <a:gd name="T47" fmla="*/ 3557 h 3757"/>
                              <a:gd name="T48" fmla="+- 0 5121 5121"/>
                              <a:gd name="T49" fmla="*/ T48 w 2160"/>
                              <a:gd name="T50" fmla="+- 0 4637 880"/>
                              <a:gd name="T51" fmla="*/ 4637 h 3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60" h="3757">
                                <a:moveTo>
                                  <a:pt x="720" y="540"/>
                                </a:moveTo>
                                <a:lnTo>
                                  <a:pt x="900" y="540"/>
                                </a:lnTo>
                                <a:lnTo>
                                  <a:pt x="900" y="0"/>
                                </a:lnTo>
                                <a:lnTo>
                                  <a:pt x="1260" y="0"/>
                                </a:lnTo>
                                <a:lnTo>
                                  <a:pt x="1260" y="540"/>
                                </a:lnTo>
                                <a:lnTo>
                                  <a:pt x="1440" y="540"/>
                                </a:lnTo>
                                <a:lnTo>
                                  <a:pt x="1080" y="720"/>
                                </a:lnTo>
                                <a:lnTo>
                                  <a:pt x="720" y="540"/>
                                </a:lnTo>
                                <a:close/>
                                <a:moveTo>
                                  <a:pt x="0" y="3757"/>
                                </a:moveTo>
                                <a:lnTo>
                                  <a:pt x="2160" y="3757"/>
                                </a:lnTo>
                                <a:lnTo>
                                  <a:pt x="2160" y="2677"/>
                                </a:lnTo>
                                <a:lnTo>
                                  <a:pt x="0" y="2677"/>
                                </a:lnTo>
                                <a:lnTo>
                                  <a:pt x="0" y="37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80"/>
                        <wps:cNvSpPr>
                          <a:spLocks/>
                        </wps:cNvSpPr>
                        <wps:spPr bwMode="auto">
                          <a:xfrm>
                            <a:off x="5841" y="2356"/>
                            <a:ext cx="720" cy="1440"/>
                          </a:xfrm>
                          <a:custGeom>
                            <a:avLst/>
                            <a:gdLst>
                              <a:gd name="T0" fmla="+- 0 6561 5841"/>
                              <a:gd name="T1" fmla="*/ T0 w 720"/>
                              <a:gd name="T2" fmla="+- 0 3436 2356"/>
                              <a:gd name="T3" fmla="*/ 3436 h 1440"/>
                              <a:gd name="T4" fmla="+- 0 5841 5841"/>
                              <a:gd name="T5" fmla="*/ T4 w 720"/>
                              <a:gd name="T6" fmla="+- 0 3436 2356"/>
                              <a:gd name="T7" fmla="*/ 3436 h 1440"/>
                              <a:gd name="T8" fmla="+- 0 6201 5841"/>
                              <a:gd name="T9" fmla="*/ T8 w 720"/>
                              <a:gd name="T10" fmla="+- 0 3796 2356"/>
                              <a:gd name="T11" fmla="*/ 3796 h 1440"/>
                              <a:gd name="T12" fmla="+- 0 6561 5841"/>
                              <a:gd name="T13" fmla="*/ T12 w 720"/>
                              <a:gd name="T14" fmla="+- 0 3436 2356"/>
                              <a:gd name="T15" fmla="*/ 3436 h 1440"/>
                              <a:gd name="T16" fmla="+- 0 6381 5841"/>
                              <a:gd name="T17" fmla="*/ T16 w 720"/>
                              <a:gd name="T18" fmla="+- 0 2356 2356"/>
                              <a:gd name="T19" fmla="*/ 2356 h 1440"/>
                              <a:gd name="T20" fmla="+- 0 6021 5841"/>
                              <a:gd name="T21" fmla="*/ T20 w 720"/>
                              <a:gd name="T22" fmla="+- 0 2356 2356"/>
                              <a:gd name="T23" fmla="*/ 2356 h 1440"/>
                              <a:gd name="T24" fmla="+- 0 6021 5841"/>
                              <a:gd name="T25" fmla="*/ T24 w 720"/>
                              <a:gd name="T26" fmla="+- 0 3436 2356"/>
                              <a:gd name="T27" fmla="*/ 3436 h 1440"/>
                              <a:gd name="T28" fmla="+- 0 6381 5841"/>
                              <a:gd name="T29" fmla="*/ T28 w 720"/>
                              <a:gd name="T30" fmla="+- 0 3436 2356"/>
                              <a:gd name="T31" fmla="*/ 3436 h 1440"/>
                              <a:gd name="T32" fmla="+- 0 6381 5841"/>
                              <a:gd name="T33" fmla="*/ T32 w 720"/>
                              <a:gd name="T34" fmla="+- 0 2356 2356"/>
                              <a:gd name="T35" fmla="*/ 235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0" h="1440">
                                <a:moveTo>
                                  <a:pt x="720" y="1080"/>
                                </a:moveTo>
                                <a:lnTo>
                                  <a:pt x="0" y="1080"/>
                                </a:lnTo>
                                <a:lnTo>
                                  <a:pt x="360" y="1440"/>
                                </a:lnTo>
                                <a:lnTo>
                                  <a:pt x="720" y="1080"/>
                                </a:lnTo>
                                <a:close/>
                                <a:moveTo>
                                  <a:pt x="540" y="0"/>
                                </a:moveTo>
                                <a:lnTo>
                                  <a:pt x="180" y="0"/>
                                </a:lnTo>
                                <a:lnTo>
                                  <a:pt x="180" y="1080"/>
                                </a:lnTo>
                                <a:lnTo>
                                  <a:pt x="540" y="1080"/>
                                </a:lnTo>
                                <a:lnTo>
                                  <a:pt x="54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9"/>
                        <wps:cNvSpPr>
                          <a:spLocks/>
                        </wps:cNvSpPr>
                        <wps:spPr bwMode="auto">
                          <a:xfrm>
                            <a:off x="5841" y="2356"/>
                            <a:ext cx="720" cy="1440"/>
                          </a:xfrm>
                          <a:custGeom>
                            <a:avLst/>
                            <a:gdLst>
                              <a:gd name="T0" fmla="+- 0 5841 5841"/>
                              <a:gd name="T1" fmla="*/ T0 w 720"/>
                              <a:gd name="T2" fmla="+- 0 3436 2356"/>
                              <a:gd name="T3" fmla="*/ 3436 h 1440"/>
                              <a:gd name="T4" fmla="+- 0 6021 5841"/>
                              <a:gd name="T5" fmla="*/ T4 w 720"/>
                              <a:gd name="T6" fmla="+- 0 3436 2356"/>
                              <a:gd name="T7" fmla="*/ 3436 h 1440"/>
                              <a:gd name="T8" fmla="+- 0 6021 5841"/>
                              <a:gd name="T9" fmla="*/ T8 w 720"/>
                              <a:gd name="T10" fmla="+- 0 2356 2356"/>
                              <a:gd name="T11" fmla="*/ 2356 h 1440"/>
                              <a:gd name="T12" fmla="+- 0 6381 5841"/>
                              <a:gd name="T13" fmla="*/ T12 w 720"/>
                              <a:gd name="T14" fmla="+- 0 2356 2356"/>
                              <a:gd name="T15" fmla="*/ 2356 h 1440"/>
                              <a:gd name="T16" fmla="+- 0 6381 5841"/>
                              <a:gd name="T17" fmla="*/ T16 w 720"/>
                              <a:gd name="T18" fmla="+- 0 3436 2356"/>
                              <a:gd name="T19" fmla="*/ 3436 h 1440"/>
                              <a:gd name="T20" fmla="+- 0 6561 5841"/>
                              <a:gd name="T21" fmla="*/ T20 w 720"/>
                              <a:gd name="T22" fmla="+- 0 3436 2356"/>
                              <a:gd name="T23" fmla="*/ 3436 h 1440"/>
                              <a:gd name="T24" fmla="+- 0 6201 5841"/>
                              <a:gd name="T25" fmla="*/ T24 w 720"/>
                              <a:gd name="T26" fmla="+- 0 3796 2356"/>
                              <a:gd name="T27" fmla="*/ 3796 h 1440"/>
                              <a:gd name="T28" fmla="+- 0 5841 5841"/>
                              <a:gd name="T29" fmla="*/ T28 w 720"/>
                              <a:gd name="T30" fmla="+- 0 3436 2356"/>
                              <a:gd name="T31" fmla="*/ 3436 h 1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440">
                                <a:moveTo>
                                  <a:pt x="0" y="1080"/>
                                </a:moveTo>
                                <a:lnTo>
                                  <a:pt x="180" y="1080"/>
                                </a:lnTo>
                                <a:lnTo>
                                  <a:pt x="180" y="0"/>
                                </a:lnTo>
                                <a:lnTo>
                                  <a:pt x="540" y="0"/>
                                </a:lnTo>
                                <a:lnTo>
                                  <a:pt x="540" y="1080"/>
                                </a:lnTo>
                                <a:lnTo>
                                  <a:pt x="720" y="1080"/>
                                </a:lnTo>
                                <a:lnTo>
                                  <a:pt x="360" y="144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78"/>
                        <wps:cNvSpPr>
                          <a:spLocks/>
                        </wps:cNvSpPr>
                        <wps:spPr bwMode="auto">
                          <a:xfrm>
                            <a:off x="3123" y="4534"/>
                            <a:ext cx="2009" cy="3005"/>
                          </a:xfrm>
                          <a:custGeom>
                            <a:avLst/>
                            <a:gdLst>
                              <a:gd name="T0" fmla="+- 0 3142 3123"/>
                              <a:gd name="T1" fmla="*/ T0 w 2009"/>
                              <a:gd name="T2" fmla="+- 0 6681 4534"/>
                              <a:gd name="T3" fmla="*/ 6681 h 3005"/>
                              <a:gd name="T4" fmla="+- 0 3123 3123"/>
                              <a:gd name="T5" fmla="*/ T4 w 2009"/>
                              <a:gd name="T6" fmla="+- 0 7538 4534"/>
                              <a:gd name="T7" fmla="*/ 7538 h 3005"/>
                              <a:gd name="T8" fmla="+- 0 3908 3123"/>
                              <a:gd name="T9" fmla="*/ T8 w 2009"/>
                              <a:gd name="T10" fmla="+- 0 7193 4534"/>
                              <a:gd name="T11" fmla="*/ 7193 h 3005"/>
                              <a:gd name="T12" fmla="+- 0 3716 3123"/>
                              <a:gd name="T13" fmla="*/ T12 w 2009"/>
                              <a:gd name="T14" fmla="+- 0 7065 4534"/>
                              <a:gd name="T15" fmla="*/ 7065 h 3005"/>
                              <a:gd name="T16" fmla="+- 0 3887 3123"/>
                              <a:gd name="T17" fmla="*/ T16 w 2009"/>
                              <a:gd name="T18" fmla="+- 0 6809 4534"/>
                              <a:gd name="T19" fmla="*/ 6809 h 3005"/>
                              <a:gd name="T20" fmla="+- 0 3333 3123"/>
                              <a:gd name="T21" fmla="*/ T20 w 2009"/>
                              <a:gd name="T22" fmla="+- 0 6809 4534"/>
                              <a:gd name="T23" fmla="*/ 6809 h 3005"/>
                              <a:gd name="T24" fmla="+- 0 3142 3123"/>
                              <a:gd name="T25" fmla="*/ T24 w 2009"/>
                              <a:gd name="T26" fmla="+- 0 6681 4534"/>
                              <a:gd name="T27" fmla="*/ 6681 h 3005"/>
                              <a:gd name="T28" fmla="+- 0 5132 3123"/>
                              <a:gd name="T29" fmla="*/ T28 w 2009"/>
                              <a:gd name="T30" fmla="+- 0 4534 4534"/>
                              <a:gd name="T31" fmla="*/ 4534 h 3005"/>
                              <a:gd name="T32" fmla="+- 0 4347 3123"/>
                              <a:gd name="T33" fmla="*/ T32 w 2009"/>
                              <a:gd name="T34" fmla="+- 0 4879 4534"/>
                              <a:gd name="T35" fmla="*/ 4879 h 3005"/>
                              <a:gd name="T36" fmla="+- 0 4539 3123"/>
                              <a:gd name="T37" fmla="*/ T36 w 2009"/>
                              <a:gd name="T38" fmla="+- 0 5007 4534"/>
                              <a:gd name="T39" fmla="*/ 5007 h 3005"/>
                              <a:gd name="T40" fmla="+- 0 3333 3123"/>
                              <a:gd name="T41" fmla="*/ T40 w 2009"/>
                              <a:gd name="T42" fmla="+- 0 6809 4534"/>
                              <a:gd name="T43" fmla="*/ 6809 h 3005"/>
                              <a:gd name="T44" fmla="+- 0 3887 3123"/>
                              <a:gd name="T45" fmla="*/ T44 w 2009"/>
                              <a:gd name="T46" fmla="+- 0 6809 4534"/>
                              <a:gd name="T47" fmla="*/ 6809 h 3005"/>
                              <a:gd name="T48" fmla="+- 0 4922 3123"/>
                              <a:gd name="T49" fmla="*/ T48 w 2009"/>
                              <a:gd name="T50" fmla="+- 0 5262 4534"/>
                              <a:gd name="T51" fmla="*/ 5262 h 3005"/>
                              <a:gd name="T52" fmla="+- 0 5116 3123"/>
                              <a:gd name="T53" fmla="*/ T52 w 2009"/>
                              <a:gd name="T54" fmla="+- 0 5262 4534"/>
                              <a:gd name="T55" fmla="*/ 5262 h 3005"/>
                              <a:gd name="T56" fmla="+- 0 5132 3123"/>
                              <a:gd name="T57" fmla="*/ T56 w 2009"/>
                              <a:gd name="T58" fmla="+- 0 4534 4534"/>
                              <a:gd name="T59" fmla="*/ 4534 h 3005"/>
                              <a:gd name="T60" fmla="+- 0 5116 3123"/>
                              <a:gd name="T61" fmla="*/ T60 w 2009"/>
                              <a:gd name="T62" fmla="+- 0 5262 4534"/>
                              <a:gd name="T63" fmla="*/ 5262 h 3005"/>
                              <a:gd name="T64" fmla="+- 0 4922 3123"/>
                              <a:gd name="T65" fmla="*/ T64 w 2009"/>
                              <a:gd name="T66" fmla="+- 0 5262 4534"/>
                              <a:gd name="T67" fmla="*/ 5262 h 3005"/>
                              <a:gd name="T68" fmla="+- 0 5113 3123"/>
                              <a:gd name="T69" fmla="*/ T68 w 2009"/>
                              <a:gd name="T70" fmla="+- 0 5390 4534"/>
                              <a:gd name="T71" fmla="*/ 5390 h 3005"/>
                              <a:gd name="T72" fmla="+- 0 5116 3123"/>
                              <a:gd name="T73" fmla="*/ T72 w 2009"/>
                              <a:gd name="T74" fmla="+- 0 5262 4534"/>
                              <a:gd name="T75" fmla="*/ 5262 h 3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09" h="3005">
                                <a:moveTo>
                                  <a:pt x="19" y="2147"/>
                                </a:moveTo>
                                <a:lnTo>
                                  <a:pt x="0" y="3004"/>
                                </a:lnTo>
                                <a:lnTo>
                                  <a:pt x="785" y="2659"/>
                                </a:lnTo>
                                <a:lnTo>
                                  <a:pt x="593" y="2531"/>
                                </a:lnTo>
                                <a:lnTo>
                                  <a:pt x="764" y="2275"/>
                                </a:lnTo>
                                <a:lnTo>
                                  <a:pt x="210" y="2275"/>
                                </a:lnTo>
                                <a:lnTo>
                                  <a:pt x="19" y="2147"/>
                                </a:lnTo>
                                <a:close/>
                                <a:moveTo>
                                  <a:pt x="2009" y="0"/>
                                </a:moveTo>
                                <a:lnTo>
                                  <a:pt x="1224" y="345"/>
                                </a:lnTo>
                                <a:lnTo>
                                  <a:pt x="1416" y="473"/>
                                </a:lnTo>
                                <a:lnTo>
                                  <a:pt x="210" y="2275"/>
                                </a:lnTo>
                                <a:lnTo>
                                  <a:pt x="764" y="2275"/>
                                </a:lnTo>
                                <a:lnTo>
                                  <a:pt x="1799" y="728"/>
                                </a:lnTo>
                                <a:lnTo>
                                  <a:pt x="1993" y="728"/>
                                </a:lnTo>
                                <a:lnTo>
                                  <a:pt x="2009" y="0"/>
                                </a:lnTo>
                                <a:close/>
                                <a:moveTo>
                                  <a:pt x="1993" y="728"/>
                                </a:moveTo>
                                <a:lnTo>
                                  <a:pt x="1799" y="728"/>
                                </a:lnTo>
                                <a:lnTo>
                                  <a:pt x="1990" y="856"/>
                                </a:lnTo>
                                <a:lnTo>
                                  <a:pt x="1993" y="72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7"/>
                        <wps:cNvSpPr>
                          <a:spLocks/>
                        </wps:cNvSpPr>
                        <wps:spPr bwMode="auto">
                          <a:xfrm>
                            <a:off x="3123" y="4534"/>
                            <a:ext cx="2009" cy="3005"/>
                          </a:xfrm>
                          <a:custGeom>
                            <a:avLst/>
                            <a:gdLst>
                              <a:gd name="T0" fmla="+- 0 5132 3123"/>
                              <a:gd name="T1" fmla="*/ T0 w 2009"/>
                              <a:gd name="T2" fmla="+- 0 4534 4534"/>
                              <a:gd name="T3" fmla="*/ 4534 h 3005"/>
                              <a:gd name="T4" fmla="+- 0 5113 3123"/>
                              <a:gd name="T5" fmla="*/ T4 w 2009"/>
                              <a:gd name="T6" fmla="+- 0 5390 4534"/>
                              <a:gd name="T7" fmla="*/ 5390 h 3005"/>
                              <a:gd name="T8" fmla="+- 0 4922 3123"/>
                              <a:gd name="T9" fmla="*/ T8 w 2009"/>
                              <a:gd name="T10" fmla="+- 0 5262 4534"/>
                              <a:gd name="T11" fmla="*/ 5262 h 3005"/>
                              <a:gd name="T12" fmla="+- 0 3716 3123"/>
                              <a:gd name="T13" fmla="*/ T12 w 2009"/>
                              <a:gd name="T14" fmla="+- 0 7065 4534"/>
                              <a:gd name="T15" fmla="*/ 7065 h 3005"/>
                              <a:gd name="T16" fmla="+- 0 3908 3123"/>
                              <a:gd name="T17" fmla="*/ T16 w 2009"/>
                              <a:gd name="T18" fmla="+- 0 7193 4534"/>
                              <a:gd name="T19" fmla="*/ 7193 h 3005"/>
                              <a:gd name="T20" fmla="+- 0 3123 3123"/>
                              <a:gd name="T21" fmla="*/ T20 w 2009"/>
                              <a:gd name="T22" fmla="+- 0 7538 4534"/>
                              <a:gd name="T23" fmla="*/ 7538 h 3005"/>
                              <a:gd name="T24" fmla="+- 0 3142 3123"/>
                              <a:gd name="T25" fmla="*/ T24 w 2009"/>
                              <a:gd name="T26" fmla="+- 0 6681 4534"/>
                              <a:gd name="T27" fmla="*/ 6681 h 3005"/>
                              <a:gd name="T28" fmla="+- 0 3333 3123"/>
                              <a:gd name="T29" fmla="*/ T28 w 2009"/>
                              <a:gd name="T30" fmla="+- 0 6809 4534"/>
                              <a:gd name="T31" fmla="*/ 6809 h 3005"/>
                              <a:gd name="T32" fmla="+- 0 4539 3123"/>
                              <a:gd name="T33" fmla="*/ T32 w 2009"/>
                              <a:gd name="T34" fmla="+- 0 5007 4534"/>
                              <a:gd name="T35" fmla="*/ 5007 h 3005"/>
                              <a:gd name="T36" fmla="+- 0 4347 3123"/>
                              <a:gd name="T37" fmla="*/ T36 w 2009"/>
                              <a:gd name="T38" fmla="+- 0 4879 4534"/>
                              <a:gd name="T39" fmla="*/ 4879 h 3005"/>
                              <a:gd name="T40" fmla="+- 0 5132 3123"/>
                              <a:gd name="T41" fmla="*/ T40 w 2009"/>
                              <a:gd name="T42" fmla="+- 0 4534 4534"/>
                              <a:gd name="T43" fmla="*/ 4534 h 3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09" h="3005">
                                <a:moveTo>
                                  <a:pt x="2009" y="0"/>
                                </a:moveTo>
                                <a:lnTo>
                                  <a:pt x="1990" y="856"/>
                                </a:lnTo>
                                <a:lnTo>
                                  <a:pt x="1799" y="728"/>
                                </a:lnTo>
                                <a:lnTo>
                                  <a:pt x="593" y="2531"/>
                                </a:lnTo>
                                <a:lnTo>
                                  <a:pt x="785" y="2659"/>
                                </a:lnTo>
                                <a:lnTo>
                                  <a:pt x="0" y="3004"/>
                                </a:lnTo>
                                <a:lnTo>
                                  <a:pt x="19" y="2147"/>
                                </a:lnTo>
                                <a:lnTo>
                                  <a:pt x="210" y="2275"/>
                                </a:lnTo>
                                <a:lnTo>
                                  <a:pt x="1416" y="473"/>
                                </a:lnTo>
                                <a:lnTo>
                                  <a:pt x="1224" y="345"/>
                                </a:lnTo>
                                <a:lnTo>
                                  <a:pt x="200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76"/>
                        <wps:cNvSpPr>
                          <a:spLocks/>
                        </wps:cNvSpPr>
                        <wps:spPr bwMode="auto">
                          <a:xfrm>
                            <a:off x="7288" y="4530"/>
                            <a:ext cx="2262" cy="2986"/>
                          </a:xfrm>
                          <a:custGeom>
                            <a:avLst/>
                            <a:gdLst>
                              <a:gd name="T0" fmla="+- 0 8111 7288"/>
                              <a:gd name="T1" fmla="*/ T0 w 2262"/>
                              <a:gd name="T2" fmla="+- 0 5258 4530"/>
                              <a:gd name="T3" fmla="*/ 5258 h 2986"/>
                              <a:gd name="T4" fmla="+- 0 7568 7288"/>
                              <a:gd name="T5" fmla="*/ T4 w 2262"/>
                              <a:gd name="T6" fmla="+- 0 5258 4530"/>
                              <a:gd name="T7" fmla="*/ 5258 h 2986"/>
                              <a:gd name="T8" fmla="+- 0 8925 7288"/>
                              <a:gd name="T9" fmla="*/ T8 w 2262"/>
                              <a:gd name="T10" fmla="+- 0 7049 4530"/>
                              <a:gd name="T11" fmla="*/ 7049 h 2986"/>
                              <a:gd name="T12" fmla="+- 0 8752 7288"/>
                              <a:gd name="T13" fmla="*/ T12 w 2262"/>
                              <a:gd name="T14" fmla="+- 0 7180 4530"/>
                              <a:gd name="T15" fmla="*/ 7180 h 2986"/>
                              <a:gd name="T16" fmla="+- 0 9550 7288"/>
                              <a:gd name="T17" fmla="*/ T16 w 2262"/>
                              <a:gd name="T18" fmla="+- 0 7516 4530"/>
                              <a:gd name="T19" fmla="*/ 7516 h 2986"/>
                              <a:gd name="T20" fmla="+- 0 9459 7288"/>
                              <a:gd name="T21" fmla="*/ T20 w 2262"/>
                              <a:gd name="T22" fmla="+- 0 6788 4530"/>
                              <a:gd name="T23" fmla="*/ 6788 h 2986"/>
                              <a:gd name="T24" fmla="+- 0 9270 7288"/>
                              <a:gd name="T25" fmla="*/ T24 w 2262"/>
                              <a:gd name="T26" fmla="+- 0 6788 4530"/>
                              <a:gd name="T27" fmla="*/ 6788 h 2986"/>
                              <a:gd name="T28" fmla="+- 0 8111 7288"/>
                              <a:gd name="T29" fmla="*/ T28 w 2262"/>
                              <a:gd name="T30" fmla="+- 0 5258 4530"/>
                              <a:gd name="T31" fmla="*/ 5258 h 2986"/>
                              <a:gd name="T32" fmla="+- 0 9443 7288"/>
                              <a:gd name="T33" fmla="*/ T32 w 2262"/>
                              <a:gd name="T34" fmla="+- 0 6657 4530"/>
                              <a:gd name="T35" fmla="*/ 6657 h 2986"/>
                              <a:gd name="T36" fmla="+- 0 9270 7288"/>
                              <a:gd name="T37" fmla="*/ T36 w 2262"/>
                              <a:gd name="T38" fmla="+- 0 6788 4530"/>
                              <a:gd name="T39" fmla="*/ 6788 h 2986"/>
                              <a:gd name="T40" fmla="+- 0 9459 7288"/>
                              <a:gd name="T41" fmla="*/ T40 w 2262"/>
                              <a:gd name="T42" fmla="+- 0 6788 4530"/>
                              <a:gd name="T43" fmla="*/ 6788 h 2986"/>
                              <a:gd name="T44" fmla="+- 0 9443 7288"/>
                              <a:gd name="T45" fmla="*/ T44 w 2262"/>
                              <a:gd name="T46" fmla="+- 0 6657 4530"/>
                              <a:gd name="T47" fmla="*/ 6657 h 2986"/>
                              <a:gd name="T48" fmla="+- 0 7288 7288"/>
                              <a:gd name="T49" fmla="*/ T48 w 2262"/>
                              <a:gd name="T50" fmla="+- 0 4530 4530"/>
                              <a:gd name="T51" fmla="*/ 4530 h 2986"/>
                              <a:gd name="T52" fmla="+- 0 7395 7288"/>
                              <a:gd name="T53" fmla="*/ T52 w 2262"/>
                              <a:gd name="T54" fmla="+- 0 5389 4530"/>
                              <a:gd name="T55" fmla="*/ 5389 h 2986"/>
                              <a:gd name="T56" fmla="+- 0 7568 7288"/>
                              <a:gd name="T57" fmla="*/ T56 w 2262"/>
                              <a:gd name="T58" fmla="+- 0 5258 4530"/>
                              <a:gd name="T59" fmla="*/ 5258 h 2986"/>
                              <a:gd name="T60" fmla="+- 0 8111 7288"/>
                              <a:gd name="T61" fmla="*/ T60 w 2262"/>
                              <a:gd name="T62" fmla="+- 0 5258 4530"/>
                              <a:gd name="T63" fmla="*/ 5258 h 2986"/>
                              <a:gd name="T64" fmla="+- 0 7913 7288"/>
                              <a:gd name="T65" fmla="*/ T64 w 2262"/>
                              <a:gd name="T66" fmla="+- 0 4996 4530"/>
                              <a:gd name="T67" fmla="*/ 4996 h 2986"/>
                              <a:gd name="T68" fmla="+- 0 8086 7288"/>
                              <a:gd name="T69" fmla="*/ T68 w 2262"/>
                              <a:gd name="T70" fmla="+- 0 4866 4530"/>
                              <a:gd name="T71" fmla="*/ 4866 h 2986"/>
                              <a:gd name="T72" fmla="+- 0 7288 7288"/>
                              <a:gd name="T73" fmla="*/ T72 w 2262"/>
                              <a:gd name="T74" fmla="+- 0 4530 4530"/>
                              <a:gd name="T75" fmla="*/ 4530 h 2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62" h="2986">
                                <a:moveTo>
                                  <a:pt x="823" y="728"/>
                                </a:moveTo>
                                <a:lnTo>
                                  <a:pt x="280" y="728"/>
                                </a:lnTo>
                                <a:lnTo>
                                  <a:pt x="1637" y="2519"/>
                                </a:lnTo>
                                <a:lnTo>
                                  <a:pt x="1464" y="2650"/>
                                </a:lnTo>
                                <a:lnTo>
                                  <a:pt x="2262" y="2986"/>
                                </a:lnTo>
                                <a:lnTo>
                                  <a:pt x="2171" y="2258"/>
                                </a:lnTo>
                                <a:lnTo>
                                  <a:pt x="1982" y="2258"/>
                                </a:lnTo>
                                <a:lnTo>
                                  <a:pt x="823" y="728"/>
                                </a:lnTo>
                                <a:close/>
                                <a:moveTo>
                                  <a:pt x="2155" y="2127"/>
                                </a:moveTo>
                                <a:lnTo>
                                  <a:pt x="1982" y="2258"/>
                                </a:lnTo>
                                <a:lnTo>
                                  <a:pt x="2171" y="2258"/>
                                </a:lnTo>
                                <a:lnTo>
                                  <a:pt x="2155" y="2127"/>
                                </a:lnTo>
                                <a:close/>
                                <a:moveTo>
                                  <a:pt x="0" y="0"/>
                                </a:moveTo>
                                <a:lnTo>
                                  <a:pt x="107" y="859"/>
                                </a:lnTo>
                                <a:lnTo>
                                  <a:pt x="280" y="728"/>
                                </a:lnTo>
                                <a:lnTo>
                                  <a:pt x="823" y="728"/>
                                </a:lnTo>
                                <a:lnTo>
                                  <a:pt x="625" y="466"/>
                                </a:lnTo>
                                <a:lnTo>
                                  <a:pt x="798" y="336"/>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5"/>
                        <wps:cNvSpPr>
                          <a:spLocks/>
                        </wps:cNvSpPr>
                        <wps:spPr bwMode="auto">
                          <a:xfrm>
                            <a:off x="7288" y="4530"/>
                            <a:ext cx="2262" cy="2986"/>
                          </a:xfrm>
                          <a:custGeom>
                            <a:avLst/>
                            <a:gdLst>
                              <a:gd name="T0" fmla="+- 0 7288 7288"/>
                              <a:gd name="T1" fmla="*/ T0 w 2262"/>
                              <a:gd name="T2" fmla="+- 0 4530 4530"/>
                              <a:gd name="T3" fmla="*/ 4530 h 2986"/>
                              <a:gd name="T4" fmla="+- 0 8086 7288"/>
                              <a:gd name="T5" fmla="*/ T4 w 2262"/>
                              <a:gd name="T6" fmla="+- 0 4866 4530"/>
                              <a:gd name="T7" fmla="*/ 4866 h 2986"/>
                              <a:gd name="T8" fmla="+- 0 7913 7288"/>
                              <a:gd name="T9" fmla="*/ T8 w 2262"/>
                              <a:gd name="T10" fmla="+- 0 4996 4530"/>
                              <a:gd name="T11" fmla="*/ 4996 h 2986"/>
                              <a:gd name="T12" fmla="+- 0 9270 7288"/>
                              <a:gd name="T13" fmla="*/ T12 w 2262"/>
                              <a:gd name="T14" fmla="+- 0 6788 4530"/>
                              <a:gd name="T15" fmla="*/ 6788 h 2986"/>
                              <a:gd name="T16" fmla="+- 0 9443 7288"/>
                              <a:gd name="T17" fmla="*/ T16 w 2262"/>
                              <a:gd name="T18" fmla="+- 0 6657 4530"/>
                              <a:gd name="T19" fmla="*/ 6657 h 2986"/>
                              <a:gd name="T20" fmla="+- 0 9550 7288"/>
                              <a:gd name="T21" fmla="*/ T20 w 2262"/>
                              <a:gd name="T22" fmla="+- 0 7516 4530"/>
                              <a:gd name="T23" fmla="*/ 7516 h 2986"/>
                              <a:gd name="T24" fmla="+- 0 8752 7288"/>
                              <a:gd name="T25" fmla="*/ T24 w 2262"/>
                              <a:gd name="T26" fmla="+- 0 7180 4530"/>
                              <a:gd name="T27" fmla="*/ 7180 h 2986"/>
                              <a:gd name="T28" fmla="+- 0 8925 7288"/>
                              <a:gd name="T29" fmla="*/ T28 w 2262"/>
                              <a:gd name="T30" fmla="+- 0 7049 4530"/>
                              <a:gd name="T31" fmla="*/ 7049 h 2986"/>
                              <a:gd name="T32" fmla="+- 0 7568 7288"/>
                              <a:gd name="T33" fmla="*/ T32 w 2262"/>
                              <a:gd name="T34" fmla="+- 0 5258 4530"/>
                              <a:gd name="T35" fmla="*/ 5258 h 2986"/>
                              <a:gd name="T36" fmla="+- 0 7395 7288"/>
                              <a:gd name="T37" fmla="*/ T36 w 2262"/>
                              <a:gd name="T38" fmla="+- 0 5389 4530"/>
                              <a:gd name="T39" fmla="*/ 5389 h 2986"/>
                              <a:gd name="T40" fmla="+- 0 7288 7288"/>
                              <a:gd name="T41" fmla="*/ T40 w 2262"/>
                              <a:gd name="T42" fmla="+- 0 4530 4530"/>
                              <a:gd name="T43" fmla="*/ 4530 h 2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2" h="2986">
                                <a:moveTo>
                                  <a:pt x="0" y="0"/>
                                </a:moveTo>
                                <a:lnTo>
                                  <a:pt x="798" y="336"/>
                                </a:lnTo>
                                <a:lnTo>
                                  <a:pt x="625" y="466"/>
                                </a:lnTo>
                                <a:lnTo>
                                  <a:pt x="1982" y="2258"/>
                                </a:lnTo>
                                <a:lnTo>
                                  <a:pt x="2155" y="2127"/>
                                </a:lnTo>
                                <a:lnTo>
                                  <a:pt x="2262" y="2986"/>
                                </a:lnTo>
                                <a:lnTo>
                                  <a:pt x="1464" y="2650"/>
                                </a:lnTo>
                                <a:lnTo>
                                  <a:pt x="1637" y="2519"/>
                                </a:lnTo>
                                <a:lnTo>
                                  <a:pt x="280" y="728"/>
                                </a:lnTo>
                                <a:lnTo>
                                  <a:pt x="107" y="85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74"/>
                        <wps:cNvSpPr>
                          <a:spLocks/>
                        </wps:cNvSpPr>
                        <wps:spPr bwMode="auto">
                          <a:xfrm>
                            <a:off x="4581" y="7035"/>
                            <a:ext cx="3960" cy="900"/>
                          </a:xfrm>
                          <a:custGeom>
                            <a:avLst/>
                            <a:gdLst>
                              <a:gd name="T0" fmla="+- 0 5373 4581"/>
                              <a:gd name="T1" fmla="*/ T0 w 3960"/>
                              <a:gd name="T2" fmla="+- 0 7035 7035"/>
                              <a:gd name="T3" fmla="*/ 7035 h 900"/>
                              <a:gd name="T4" fmla="+- 0 4581 4581"/>
                              <a:gd name="T5" fmla="*/ T4 w 3960"/>
                              <a:gd name="T6" fmla="+- 0 7485 7035"/>
                              <a:gd name="T7" fmla="*/ 7485 h 900"/>
                              <a:gd name="T8" fmla="+- 0 5373 4581"/>
                              <a:gd name="T9" fmla="*/ T8 w 3960"/>
                              <a:gd name="T10" fmla="+- 0 7935 7035"/>
                              <a:gd name="T11" fmla="*/ 7935 h 900"/>
                              <a:gd name="T12" fmla="+- 0 5373 4581"/>
                              <a:gd name="T13" fmla="*/ T12 w 3960"/>
                              <a:gd name="T14" fmla="+- 0 7710 7035"/>
                              <a:gd name="T15" fmla="*/ 7710 h 900"/>
                              <a:gd name="T16" fmla="+- 0 8145 4581"/>
                              <a:gd name="T17" fmla="*/ T16 w 3960"/>
                              <a:gd name="T18" fmla="+- 0 7710 7035"/>
                              <a:gd name="T19" fmla="*/ 7710 h 900"/>
                              <a:gd name="T20" fmla="+- 0 8541 4581"/>
                              <a:gd name="T21" fmla="*/ T20 w 3960"/>
                              <a:gd name="T22" fmla="+- 0 7485 7035"/>
                              <a:gd name="T23" fmla="*/ 7485 h 900"/>
                              <a:gd name="T24" fmla="+- 0 8145 4581"/>
                              <a:gd name="T25" fmla="*/ T24 w 3960"/>
                              <a:gd name="T26" fmla="+- 0 7260 7035"/>
                              <a:gd name="T27" fmla="*/ 7260 h 900"/>
                              <a:gd name="T28" fmla="+- 0 5373 4581"/>
                              <a:gd name="T29" fmla="*/ T28 w 3960"/>
                              <a:gd name="T30" fmla="+- 0 7260 7035"/>
                              <a:gd name="T31" fmla="*/ 7260 h 900"/>
                              <a:gd name="T32" fmla="+- 0 5373 4581"/>
                              <a:gd name="T33" fmla="*/ T32 w 3960"/>
                              <a:gd name="T34" fmla="+- 0 7035 7035"/>
                              <a:gd name="T35" fmla="*/ 7035 h 900"/>
                              <a:gd name="T36" fmla="+- 0 8145 4581"/>
                              <a:gd name="T37" fmla="*/ T36 w 3960"/>
                              <a:gd name="T38" fmla="+- 0 7710 7035"/>
                              <a:gd name="T39" fmla="*/ 7710 h 900"/>
                              <a:gd name="T40" fmla="+- 0 7749 4581"/>
                              <a:gd name="T41" fmla="*/ T40 w 3960"/>
                              <a:gd name="T42" fmla="+- 0 7710 7035"/>
                              <a:gd name="T43" fmla="*/ 7710 h 900"/>
                              <a:gd name="T44" fmla="+- 0 7749 4581"/>
                              <a:gd name="T45" fmla="*/ T44 w 3960"/>
                              <a:gd name="T46" fmla="+- 0 7935 7035"/>
                              <a:gd name="T47" fmla="*/ 7935 h 900"/>
                              <a:gd name="T48" fmla="+- 0 8145 4581"/>
                              <a:gd name="T49" fmla="*/ T48 w 3960"/>
                              <a:gd name="T50" fmla="+- 0 7710 7035"/>
                              <a:gd name="T51" fmla="*/ 7710 h 900"/>
                              <a:gd name="T52" fmla="+- 0 7749 4581"/>
                              <a:gd name="T53" fmla="*/ T52 w 3960"/>
                              <a:gd name="T54" fmla="+- 0 7035 7035"/>
                              <a:gd name="T55" fmla="*/ 7035 h 900"/>
                              <a:gd name="T56" fmla="+- 0 7749 4581"/>
                              <a:gd name="T57" fmla="*/ T56 w 3960"/>
                              <a:gd name="T58" fmla="+- 0 7260 7035"/>
                              <a:gd name="T59" fmla="*/ 7260 h 900"/>
                              <a:gd name="T60" fmla="+- 0 8145 4581"/>
                              <a:gd name="T61" fmla="*/ T60 w 3960"/>
                              <a:gd name="T62" fmla="+- 0 7260 7035"/>
                              <a:gd name="T63" fmla="*/ 7260 h 900"/>
                              <a:gd name="T64" fmla="+- 0 7749 4581"/>
                              <a:gd name="T65" fmla="*/ T64 w 3960"/>
                              <a:gd name="T66" fmla="+- 0 7035 7035"/>
                              <a:gd name="T67" fmla="*/ 703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0" h="900">
                                <a:moveTo>
                                  <a:pt x="792" y="0"/>
                                </a:moveTo>
                                <a:lnTo>
                                  <a:pt x="0" y="450"/>
                                </a:lnTo>
                                <a:lnTo>
                                  <a:pt x="792" y="900"/>
                                </a:lnTo>
                                <a:lnTo>
                                  <a:pt x="792" y="675"/>
                                </a:lnTo>
                                <a:lnTo>
                                  <a:pt x="3564" y="675"/>
                                </a:lnTo>
                                <a:lnTo>
                                  <a:pt x="3960" y="450"/>
                                </a:lnTo>
                                <a:lnTo>
                                  <a:pt x="3564" y="225"/>
                                </a:lnTo>
                                <a:lnTo>
                                  <a:pt x="792" y="225"/>
                                </a:lnTo>
                                <a:lnTo>
                                  <a:pt x="792" y="0"/>
                                </a:lnTo>
                                <a:close/>
                                <a:moveTo>
                                  <a:pt x="3564" y="675"/>
                                </a:moveTo>
                                <a:lnTo>
                                  <a:pt x="3168" y="675"/>
                                </a:lnTo>
                                <a:lnTo>
                                  <a:pt x="3168" y="900"/>
                                </a:lnTo>
                                <a:lnTo>
                                  <a:pt x="3564" y="675"/>
                                </a:lnTo>
                                <a:close/>
                                <a:moveTo>
                                  <a:pt x="3168" y="0"/>
                                </a:moveTo>
                                <a:lnTo>
                                  <a:pt x="3168" y="225"/>
                                </a:lnTo>
                                <a:lnTo>
                                  <a:pt x="3564" y="225"/>
                                </a:lnTo>
                                <a:lnTo>
                                  <a:pt x="316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3"/>
                        <wps:cNvSpPr>
                          <a:spLocks/>
                        </wps:cNvSpPr>
                        <wps:spPr bwMode="auto">
                          <a:xfrm>
                            <a:off x="4581" y="7035"/>
                            <a:ext cx="3960" cy="900"/>
                          </a:xfrm>
                          <a:custGeom>
                            <a:avLst/>
                            <a:gdLst>
                              <a:gd name="T0" fmla="+- 0 8541 4581"/>
                              <a:gd name="T1" fmla="*/ T0 w 3960"/>
                              <a:gd name="T2" fmla="+- 0 7485 7035"/>
                              <a:gd name="T3" fmla="*/ 7485 h 900"/>
                              <a:gd name="T4" fmla="+- 0 7749 4581"/>
                              <a:gd name="T5" fmla="*/ T4 w 3960"/>
                              <a:gd name="T6" fmla="+- 0 7935 7035"/>
                              <a:gd name="T7" fmla="*/ 7935 h 900"/>
                              <a:gd name="T8" fmla="+- 0 7749 4581"/>
                              <a:gd name="T9" fmla="*/ T8 w 3960"/>
                              <a:gd name="T10" fmla="+- 0 7710 7035"/>
                              <a:gd name="T11" fmla="*/ 7710 h 900"/>
                              <a:gd name="T12" fmla="+- 0 5373 4581"/>
                              <a:gd name="T13" fmla="*/ T12 w 3960"/>
                              <a:gd name="T14" fmla="+- 0 7710 7035"/>
                              <a:gd name="T15" fmla="*/ 7710 h 900"/>
                              <a:gd name="T16" fmla="+- 0 5373 4581"/>
                              <a:gd name="T17" fmla="*/ T16 w 3960"/>
                              <a:gd name="T18" fmla="+- 0 7935 7035"/>
                              <a:gd name="T19" fmla="*/ 7935 h 900"/>
                              <a:gd name="T20" fmla="+- 0 4581 4581"/>
                              <a:gd name="T21" fmla="*/ T20 w 3960"/>
                              <a:gd name="T22" fmla="+- 0 7485 7035"/>
                              <a:gd name="T23" fmla="*/ 7485 h 900"/>
                              <a:gd name="T24" fmla="+- 0 5373 4581"/>
                              <a:gd name="T25" fmla="*/ T24 w 3960"/>
                              <a:gd name="T26" fmla="+- 0 7035 7035"/>
                              <a:gd name="T27" fmla="*/ 7035 h 900"/>
                              <a:gd name="T28" fmla="+- 0 5373 4581"/>
                              <a:gd name="T29" fmla="*/ T28 w 3960"/>
                              <a:gd name="T30" fmla="+- 0 7260 7035"/>
                              <a:gd name="T31" fmla="*/ 7260 h 900"/>
                              <a:gd name="T32" fmla="+- 0 7749 4581"/>
                              <a:gd name="T33" fmla="*/ T32 w 3960"/>
                              <a:gd name="T34" fmla="+- 0 7260 7035"/>
                              <a:gd name="T35" fmla="*/ 7260 h 900"/>
                              <a:gd name="T36" fmla="+- 0 7749 4581"/>
                              <a:gd name="T37" fmla="*/ T36 w 3960"/>
                              <a:gd name="T38" fmla="+- 0 7035 7035"/>
                              <a:gd name="T39" fmla="*/ 7035 h 900"/>
                              <a:gd name="T40" fmla="+- 0 8541 4581"/>
                              <a:gd name="T41" fmla="*/ T40 w 3960"/>
                              <a:gd name="T42" fmla="+- 0 7485 7035"/>
                              <a:gd name="T43" fmla="*/ 748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60" h="900">
                                <a:moveTo>
                                  <a:pt x="3960" y="450"/>
                                </a:moveTo>
                                <a:lnTo>
                                  <a:pt x="3168" y="900"/>
                                </a:lnTo>
                                <a:lnTo>
                                  <a:pt x="3168" y="675"/>
                                </a:lnTo>
                                <a:lnTo>
                                  <a:pt x="792" y="675"/>
                                </a:lnTo>
                                <a:lnTo>
                                  <a:pt x="792" y="900"/>
                                </a:lnTo>
                                <a:lnTo>
                                  <a:pt x="0" y="450"/>
                                </a:lnTo>
                                <a:lnTo>
                                  <a:pt x="792" y="0"/>
                                </a:lnTo>
                                <a:lnTo>
                                  <a:pt x="792" y="225"/>
                                </a:lnTo>
                                <a:lnTo>
                                  <a:pt x="3168" y="225"/>
                                </a:lnTo>
                                <a:lnTo>
                                  <a:pt x="3168" y="0"/>
                                </a:lnTo>
                                <a:lnTo>
                                  <a:pt x="3960" y="4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E558E" id="Group 72" o:spid="_x0000_s1026" style="position:absolute;margin-left:155.8pt;margin-top:-4.4pt;width:322.1pt;height:401.5pt;z-index:-277936;mso-position-horizontal-relative:page" coordorigin="3116,-88" coordsize="644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">
                <v:shape id="AutoShape 83" o:spid="_x0000_s1027" style="position:absolute;left:5121;top:-80;width:2160;height:2616;visibility:visible;mso-wrap-style:square;v-text-anchor:top" coordsize="2160,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" path="m,1080r2160,l2160,,,,,1080xm,2616r2160,l2160,1536,,1536,,2616xe" filled="f">
                  <v:path arrowok="t" o:connecttype="custom" o:connectlocs="0,1000;2160,1000;2160,-80;0,-80;0,1000;0,2536;2160,2536;2160,1456;0,1456;0,2536" o:connectangles="0,0,0,0,0,0,0,0,0,0"/>
                </v:shape>
                <v:shape id="AutoShape 82" o:spid="_x0000_s1028" style="position:absolute;left:5841;top:88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" path="m720,540l,540,360,720,720,540xm540,l180,r,540l540,540,540,xe" fillcolor="yellow" stroked="f">
                  <v:path arrowok="t" o:connecttype="custom" o:connectlocs="720,1420;0,1420;360,1600;720,1420;540,880;180,880;180,1420;540,1420;540,880" o:connectangles="0,0,0,0,0,0,0,0,0"/>
                </v:shape>
                <v:shape id="AutoShape 81" o:spid="_x0000_s1029" style="position:absolute;left:5121;top:880;width:2160;height:3757;visibility:visible;mso-wrap-style:square;v-text-anchor:top" coordsize="2160,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" path="m720,540r180,l900,r360,l1260,540r180,l1080,720,720,540xm,3757r2160,l2160,2677,,2677,,3757xe" filled="f">
                  <v:path arrowok="t" o:connecttype="custom" o:connectlocs="720,1420;900,1420;900,880;1260,880;1260,1420;1440,1420;1080,1600;720,1420;0,4637;2160,4637;2160,3557;0,3557;0,4637" o:connectangles="0,0,0,0,0,0,0,0,0,0,0,0,0"/>
                </v:shape>
                <v:shape id="AutoShape 80" o:spid="_x0000_s1030" style="position:absolute;left:5841;top:2356;width:720;height:1440;visibility:visible;mso-wrap-style:square;v-text-anchor:top"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" path="m720,1080l,1080r360,360l720,1080xm540,l180,r,1080l540,1080,540,xe" fillcolor="yellow" stroked="f">
                  <v:path arrowok="t" o:connecttype="custom" o:connectlocs="720,3436;0,3436;360,3796;720,3436;540,2356;180,2356;180,3436;540,3436;540,2356" o:connectangles="0,0,0,0,0,0,0,0,0"/>
                </v:shape>
                <v:shape id="Freeform 79" o:spid="_x0000_s1031" style="position:absolute;left:5841;top:2356;width:720;height:1440;visibility:visible;mso-wrap-style:square;v-text-anchor:top"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" path="m,1080r180,l180,,540,r,1080l720,1080,360,1440,,1080xe" filled="f">
                  <v:path arrowok="t" o:connecttype="custom" o:connectlocs="0,3436;180,3436;180,2356;540,2356;540,3436;720,3436;360,3796;0,3436" o:connectangles="0,0,0,0,0,0,0,0"/>
                </v:shape>
                <v:shape id="AutoShape 78" o:spid="_x0000_s1032" style="position:absolute;left:3123;top:4534;width:2009;height:3005;visibility:visible;mso-wrap-style:square;v-text-anchor:top" coordsize="2009,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" path="m19,2147l,3004,785,2659,593,2531,764,2275r-554,l19,2147xm2009,l1224,345r192,128l210,2275r554,l1799,728r194,l2009,xm1993,728r-194,l1990,856r3,-128xe" fillcolor="yellow" stroked="f">
                  <v:path arrowok="t" o:connecttype="custom" o:connectlocs="19,6681;0,7538;785,7193;593,7065;764,6809;210,6809;19,6681;2009,4534;1224,4879;1416,5007;210,6809;764,6809;1799,5262;1993,5262;2009,4534;1993,5262;1799,5262;1990,5390;1993,5262" o:connectangles="0,0,0,0,0,0,0,0,0,0,0,0,0,0,0,0,0,0,0"/>
                </v:shape>
                <v:shape id="Freeform 77" o:spid="_x0000_s1033" style="position:absolute;left:3123;top:4534;width:2009;height:3005;visibility:visible;mso-wrap-style:square;v-text-anchor:top" coordsize="2009,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" path="m2009,r-19,856l1799,728,593,2531r192,128l,3004,19,2147r191,128l1416,473,1224,345,2009,xe" filled="f">
                  <v:path arrowok="t" o:connecttype="custom" o:connectlocs="2009,4534;1990,5390;1799,5262;593,7065;785,7193;0,7538;19,6681;210,6809;1416,5007;1224,4879;2009,4534" o:connectangles="0,0,0,0,0,0,0,0,0,0,0"/>
                </v:shape>
                <v:shape id="AutoShape 76" o:spid="_x0000_s1034" style="position:absolute;left:7288;top:4530;width:2262;height:2986;visibility:visible;mso-wrap-style:square;v-text-anchor:top" coordsize="226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" path="m823,728r-543,l1637,2519r-173,131l2262,2986r-91,-728l1982,2258,823,728xm2155,2127r-173,131l2171,2258r-16,-131xm,l107,859,280,728r543,l625,466,798,336,,xe" fillcolor="yellow" stroked="f">
                  <v:path arrowok="t" o:connecttype="custom" o:connectlocs="823,5258;280,5258;1637,7049;1464,7180;2262,7516;2171,6788;1982,6788;823,5258;2155,6657;1982,6788;2171,6788;2155,6657;0,4530;107,5389;280,5258;823,5258;625,4996;798,4866;0,4530" o:connectangles="0,0,0,0,0,0,0,0,0,0,0,0,0,0,0,0,0,0,0"/>
                </v:shape>
                <v:shape id="Freeform 75" o:spid="_x0000_s1035" style="position:absolute;left:7288;top:4530;width:2262;height:2986;visibility:visible;mso-wrap-style:square;v-text-anchor:top" coordsize="226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" path="m,l798,336,625,466,1982,2258r173,-131l2262,2986,1464,2650r173,-131l280,728,107,859,,xe" filled="f">
                  <v:path arrowok="t" o:connecttype="custom" o:connectlocs="0,4530;798,4866;625,4996;1982,6788;2155,6657;2262,7516;1464,7180;1637,7049;280,5258;107,5389;0,4530" o:connectangles="0,0,0,0,0,0,0,0,0,0,0"/>
                </v:shape>
                <v:shape id="AutoShape 74" o:spid="_x0000_s1036" style="position:absolute;left:4581;top:7035;width:3960;height:900;visibility:visible;mso-wrap-style:square;v-text-anchor:top" coordsize="39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" path="m792,l,450,792,900r,-225l3564,675,3960,450,3564,225r-2772,l792,xm3564,675r-396,l3168,900,3564,675xm3168,r,225l3564,225,3168,xe" fillcolor="yellow" stroked="f">
                  <v:path arrowok="t" o:connecttype="custom" o:connectlocs="792,7035;0,7485;792,7935;792,7710;3564,7710;3960,7485;3564,7260;792,7260;792,7035;3564,7710;3168,7710;3168,7935;3564,7710;3168,7035;3168,7260;3564,7260;3168,7035" o:connectangles="0,0,0,0,0,0,0,0,0,0,0,0,0,0,0,0,0"/>
                </v:shape>
                <v:shape id="Freeform 73" o:spid="_x0000_s1037" style="position:absolute;left:4581;top:7035;width:3960;height:900;visibility:visible;mso-wrap-style:square;v-text-anchor:top" coordsize="39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" path="m3960,450l3168,900r,-225l792,675r,225l,450,792,r,225l3168,225,3168,r792,450xe" filled="f">
                  <v:path arrowok="t" o:connecttype="custom" o:connectlocs="3960,7485;3168,7935;3168,7710;792,7710;792,7935;0,7485;792,7035;792,7260;3168,7260;3168,7035;3960,7485" o:connectangles="0,0,0,0,0,0,0,0,0,0,0"/>
                </v:shape>
                <w10:wrap anchorx="page"/>
              </v:group>
            </w:pict>
          </mc:Fallback>
        </mc:AlternateContent>
      </w:r>
      <w:r w:rsidR="00681463">
        <w:rPr>
          <w:b/>
          <w:sz w:val="24"/>
        </w:rPr>
        <w:t>Congress Appropriates Funding</w:t>
      </w:r>
    </w:p>
    <w:p w:rsidR="004E13A5" w:rsidRDefault="004E13A5">
      <w:pPr>
        <w:pStyle w:val="BodyText"/>
        <w:spacing w:before="0"/>
        <w:ind w:left="0"/>
        <w:rPr>
          <w:b/>
          <w:sz w:val="20"/>
        </w:rPr>
      </w:pPr>
    </w:p>
    <w:p w:rsidR="004E13A5" w:rsidRDefault="004E13A5">
      <w:pPr>
        <w:pStyle w:val="BodyText"/>
        <w:spacing w:before="0"/>
        <w:ind w:left="0"/>
        <w:rPr>
          <w:b/>
          <w:sz w:val="20"/>
        </w:rPr>
      </w:pPr>
    </w:p>
    <w:p w:rsidR="004E13A5" w:rsidRDefault="004E13A5">
      <w:pPr>
        <w:pStyle w:val="BodyText"/>
        <w:spacing w:before="6"/>
        <w:ind w:left="0"/>
        <w:rPr>
          <w:b/>
          <w:sz w:val="21"/>
        </w:rPr>
      </w:pPr>
    </w:p>
    <w:p w:rsidR="004E13A5" w:rsidRDefault="00681463">
      <w:pPr>
        <w:ind w:left="3933" w:right="3868"/>
        <w:jc w:val="center"/>
        <w:rPr>
          <w:b/>
          <w:sz w:val="24"/>
        </w:rPr>
      </w:pPr>
      <w:r>
        <w:rPr>
          <w:b/>
          <w:sz w:val="24"/>
        </w:rPr>
        <w:t>HUD</w:t>
      </w:r>
    </w:p>
    <w:p w:rsidR="004E13A5" w:rsidRDefault="00681463">
      <w:pPr>
        <w:ind w:left="3932" w:right="3868"/>
        <w:jc w:val="center"/>
        <w:rPr>
          <w:b/>
          <w:sz w:val="24"/>
        </w:rPr>
      </w:pPr>
      <w:r>
        <w:rPr>
          <w:b/>
          <w:sz w:val="24"/>
        </w:rPr>
        <w:t>Provides Funding To PHA</w:t>
      </w:r>
    </w:p>
    <w:p w:rsidR="004E13A5" w:rsidRDefault="004E13A5">
      <w:pPr>
        <w:pStyle w:val="BodyText"/>
        <w:spacing w:before="3"/>
        <w:ind w:left="0"/>
        <w:rPr>
          <w:b/>
          <w:sz w:val="13"/>
        </w:rPr>
      </w:pPr>
    </w:p>
    <w:p w:rsidR="004E13A5" w:rsidRDefault="00681463">
      <w:pPr>
        <w:spacing w:before="91"/>
        <w:ind w:left="3500" w:right="3436"/>
        <w:jc w:val="center"/>
        <w:rPr>
          <w:b/>
          <w:sz w:val="20"/>
        </w:rPr>
      </w:pPr>
      <w:r>
        <w:rPr>
          <w:b/>
          <w:sz w:val="20"/>
        </w:rPr>
        <w:t>Program Regulations and ACC specifies PHA Obligations and Voucher Funding</w:t>
      </w:r>
    </w:p>
    <w:p w:rsidR="004E13A5" w:rsidRDefault="004E13A5">
      <w:pPr>
        <w:pStyle w:val="BodyText"/>
        <w:spacing w:before="5"/>
        <w:ind w:left="0"/>
        <w:rPr>
          <w:b/>
          <w:sz w:val="21"/>
        </w:rPr>
      </w:pPr>
    </w:p>
    <w:p w:rsidR="004E13A5" w:rsidRDefault="00681463">
      <w:pPr>
        <w:pStyle w:val="Heading4"/>
        <w:spacing w:before="90"/>
        <w:ind w:left="3928" w:right="3868"/>
        <w:jc w:val="center"/>
      </w:pPr>
      <w:r>
        <w:t>PHA</w:t>
      </w:r>
    </w:p>
    <w:p w:rsidR="004E13A5" w:rsidRDefault="00681463">
      <w:pPr>
        <w:ind w:left="3933" w:right="3868"/>
        <w:jc w:val="center"/>
        <w:rPr>
          <w:b/>
          <w:sz w:val="24"/>
        </w:rPr>
      </w:pPr>
      <w:r>
        <w:rPr>
          <w:b/>
          <w:sz w:val="24"/>
        </w:rPr>
        <w:t>Administers Program</w:t>
      </w:r>
    </w:p>
    <w:p w:rsidR="004E13A5" w:rsidRDefault="004E13A5">
      <w:pPr>
        <w:pStyle w:val="BodyText"/>
        <w:spacing w:before="0"/>
        <w:ind w:left="0"/>
        <w:rPr>
          <w:b/>
          <w:sz w:val="20"/>
        </w:rPr>
      </w:pPr>
    </w:p>
    <w:p w:rsidR="004E13A5" w:rsidRDefault="004E13A5">
      <w:pPr>
        <w:pStyle w:val="BodyText"/>
        <w:spacing w:before="0"/>
        <w:ind w:left="0"/>
        <w:rPr>
          <w:b/>
          <w:sz w:val="20"/>
        </w:rPr>
      </w:pPr>
    </w:p>
    <w:p w:rsidR="004E13A5" w:rsidRDefault="004E13A5">
      <w:pPr>
        <w:pStyle w:val="BodyText"/>
        <w:spacing w:before="0"/>
        <w:ind w:left="0"/>
        <w:rPr>
          <w:b/>
          <w:sz w:val="20"/>
        </w:rPr>
      </w:pPr>
    </w:p>
    <w:p w:rsidR="004E13A5" w:rsidRDefault="004E13A5">
      <w:pPr>
        <w:pStyle w:val="BodyText"/>
        <w:spacing w:before="0"/>
        <w:ind w:left="0"/>
        <w:rPr>
          <w:b/>
          <w:sz w:val="20"/>
        </w:rPr>
      </w:pPr>
    </w:p>
    <w:p w:rsidR="004E13A5" w:rsidRDefault="004E13A5">
      <w:pPr>
        <w:pStyle w:val="BodyText"/>
        <w:spacing w:before="0"/>
        <w:ind w:left="0"/>
        <w:rPr>
          <w:b/>
          <w:sz w:val="20"/>
        </w:rPr>
      </w:pPr>
    </w:p>
    <w:p w:rsidR="004E13A5" w:rsidRDefault="004E13A5">
      <w:pPr>
        <w:rPr>
          <w:sz w:val="20"/>
        </w:rPr>
        <w:sectPr w:rsidR="004E13A5">
          <w:pgSz w:w="12240" w:h="15840"/>
          <w:pgMar w:top="1360" w:right="1240" w:bottom="640" w:left="1340" w:header="0" w:footer="381" w:gutter="0"/>
          <w:cols w:space="720"/>
        </w:sectPr>
      </w:pPr>
    </w:p>
    <w:p w:rsidR="004E13A5" w:rsidRDefault="004E13A5">
      <w:pPr>
        <w:pStyle w:val="BodyText"/>
        <w:spacing w:before="0"/>
        <w:ind w:left="0"/>
        <w:rPr>
          <w:b/>
          <w:sz w:val="22"/>
        </w:rPr>
      </w:pPr>
    </w:p>
    <w:p w:rsidR="004E13A5" w:rsidRDefault="00681463">
      <w:pPr>
        <w:spacing w:before="161"/>
        <w:ind w:left="1972" w:right="-14" w:firstLine="72"/>
        <w:rPr>
          <w:b/>
          <w:sz w:val="20"/>
        </w:rPr>
      </w:pPr>
      <w:r>
        <w:rPr>
          <w:b/>
          <w:sz w:val="20"/>
        </w:rPr>
        <w:t>Voucher specifies Family</w:t>
      </w:r>
      <w:r>
        <w:rPr>
          <w:b/>
          <w:spacing w:val="-9"/>
          <w:sz w:val="20"/>
        </w:rPr>
        <w:t xml:space="preserve"> </w:t>
      </w:r>
      <w:r>
        <w:rPr>
          <w:b/>
          <w:sz w:val="20"/>
        </w:rPr>
        <w:t>Obligations</w:t>
      </w:r>
    </w:p>
    <w:p w:rsidR="004E13A5" w:rsidRDefault="00681463">
      <w:pPr>
        <w:pStyle w:val="BodyText"/>
        <w:spacing w:before="4"/>
        <w:ind w:left="0"/>
        <w:rPr>
          <w:b/>
          <w:sz w:val="20"/>
        </w:rPr>
      </w:pPr>
      <w:r>
        <w:br w:type="column"/>
      </w:r>
    </w:p>
    <w:p w:rsidR="004E13A5" w:rsidRDefault="00681463">
      <w:pPr>
        <w:ind w:left="2258" w:right="979" w:hanging="3"/>
        <w:jc w:val="center"/>
        <w:rPr>
          <w:b/>
          <w:sz w:val="20"/>
        </w:rPr>
      </w:pPr>
      <w:r>
        <w:rPr>
          <w:b/>
          <w:sz w:val="20"/>
        </w:rPr>
        <w:t>Housing Assistance Payments (HAP) Contract specifies Owner and PHA Obligations</w:t>
      </w:r>
    </w:p>
    <w:p w:rsidR="004E13A5" w:rsidRDefault="004E13A5">
      <w:pPr>
        <w:pStyle w:val="BodyText"/>
        <w:spacing w:before="0"/>
        <w:ind w:left="0"/>
        <w:rPr>
          <w:b/>
          <w:sz w:val="22"/>
        </w:rPr>
      </w:pPr>
    </w:p>
    <w:p w:rsidR="004E13A5" w:rsidRDefault="00681463">
      <w:pPr>
        <w:spacing w:before="160"/>
        <w:ind w:left="528" w:right="3571"/>
        <w:jc w:val="center"/>
        <w:rPr>
          <w:b/>
          <w:sz w:val="20"/>
        </w:rPr>
      </w:pPr>
      <w:r>
        <w:rPr>
          <w:b/>
          <w:sz w:val="20"/>
        </w:rPr>
        <w:t>Lease specifies Tenant and Landlord Obligations</w:t>
      </w:r>
    </w:p>
    <w:p w:rsidR="004E13A5" w:rsidRDefault="004E13A5">
      <w:pPr>
        <w:jc w:val="center"/>
        <w:rPr>
          <w:sz w:val="20"/>
        </w:rPr>
        <w:sectPr w:rsidR="004E13A5">
          <w:type w:val="continuous"/>
          <w:pgSz w:w="12240" w:h="15840"/>
          <w:pgMar w:top="1500" w:right="1240" w:bottom="280" w:left="1340" w:header="720" w:footer="720" w:gutter="0"/>
          <w:cols w:num="2" w:space="720" w:equalWidth="0">
            <w:col w:w="3609" w:space="40"/>
            <w:col w:w="6011"/>
          </w:cols>
        </w:sectPr>
      </w:pPr>
    </w:p>
    <w:p w:rsidR="004E13A5" w:rsidRDefault="004E13A5">
      <w:pPr>
        <w:pStyle w:val="BodyText"/>
        <w:spacing w:before="8"/>
        <w:ind w:left="0"/>
        <w:rPr>
          <w:b/>
        </w:rPr>
      </w:pPr>
    </w:p>
    <w:p w:rsidR="004E13A5" w:rsidRDefault="00681463">
      <w:pPr>
        <w:tabs>
          <w:tab w:val="left" w:pos="7374"/>
        </w:tabs>
        <w:ind w:left="893"/>
        <w:rPr>
          <w:sz w:val="20"/>
        </w:rPr>
      </w:pPr>
      <w:r>
        <w:rPr>
          <w:spacing w:val="-49"/>
          <w:sz w:val="20"/>
        </w:rPr>
        <w:t xml:space="preserve"> </w:t>
      </w:r>
      <w:r w:rsidR="003263D1">
        <w:rPr>
          <w:noProof/>
          <w:spacing w:val="-49"/>
          <w:sz w:val="20"/>
        </w:rPr>
        <mc:AlternateContent>
          <mc:Choice Requires="wps">
            <w:drawing>
              <wp:inline distT="0" distB="0" distL="0" distR="0">
                <wp:extent cx="1371600" cy="685800"/>
                <wp:effectExtent l="8890" t="13335" r="10160" b="5715"/>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73"/>
                              <w:ind w:left="454" w:right="449" w:hanging="4"/>
                              <w:jc w:val="center"/>
                              <w:rPr>
                                <w:b/>
                                <w:sz w:val="24"/>
                              </w:rPr>
                            </w:pPr>
                            <w:r>
                              <w:rPr>
                                <w:b/>
                                <w:sz w:val="24"/>
                              </w:rPr>
                              <w:t>Family (Program Participant)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2" o:spid="_x0000_s1026" type="#_x0000_t202" style="width:10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" filled="f">
                <v:textbox inset="0,0,0,0">
                  <w:txbxContent>
                    <w:p w:rsidR="00BA59C9" w:rsidRDefault="00BA59C9">
                      <w:pPr>
                        <w:spacing w:before="73"/>
                        <w:ind w:left="454" w:right="449" w:hanging="4"/>
                        <w:jc w:val="center"/>
                        <w:rPr>
                          <w:b/>
                          <w:sz w:val="24"/>
                        </w:rPr>
                      </w:pPr>
                      <w:r>
                        <w:rPr>
                          <w:b/>
                          <w:sz w:val="24"/>
                        </w:rPr>
                        <w:t>Family (Program Participant)</w:t>
                      </w:r>
                    </w:p>
                  </w:txbxContent>
                </v:textbox>
                <w10:anchorlock/>
              </v:shape>
            </w:pict>
          </mc:Fallback>
        </mc:AlternateContent>
      </w:r>
      <w:r>
        <w:rPr>
          <w:spacing w:val="-49"/>
          <w:sz w:val="20"/>
        </w:rPr>
        <w:tab/>
      </w:r>
      <w:r w:rsidR="003263D1">
        <w:rPr>
          <w:noProof/>
          <w:spacing w:val="-49"/>
          <w:sz w:val="20"/>
        </w:rPr>
        <mc:AlternateContent>
          <mc:Choice Requires="wps">
            <w:drawing>
              <wp:inline distT="0" distB="0" distL="0" distR="0">
                <wp:extent cx="1371600" cy="685800"/>
                <wp:effectExtent l="8890" t="13335" r="10160" b="5715"/>
                <wp:docPr id="8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73"/>
                              <w:ind w:left="585" w:firstLine="72"/>
                              <w:rPr>
                                <w:b/>
                                <w:sz w:val="24"/>
                              </w:rPr>
                            </w:pPr>
                            <w:r>
                              <w:rPr>
                                <w:b/>
                                <w:sz w:val="24"/>
                              </w:rPr>
                              <w:t>Owner / Landlord</w:t>
                            </w:r>
                          </w:p>
                        </w:txbxContent>
                      </wps:txbx>
                      <wps:bodyPr rot="0" vert="horz" wrap="square" lIns="0" tIns="0" rIns="0" bIns="0" anchor="t" anchorCtr="0" upright="1">
                        <a:noAutofit/>
                      </wps:bodyPr>
                    </wps:wsp>
                  </a:graphicData>
                </a:graphic>
              </wp:inline>
            </w:drawing>
          </mc:Choice>
          <mc:Fallback>
            <w:pict>
              <v:shape id="Text Box 101" o:spid="_x0000_s1027" type="#_x0000_t202" style="width:10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" filled="f">
                <v:textbox inset="0,0,0,0">
                  <w:txbxContent>
                    <w:p w:rsidR="00BA59C9" w:rsidRDefault="00BA59C9">
                      <w:pPr>
                        <w:spacing w:before="73"/>
                        <w:ind w:left="585" w:firstLine="72"/>
                        <w:rPr>
                          <w:b/>
                          <w:sz w:val="24"/>
                        </w:rPr>
                      </w:pPr>
                      <w:r>
                        <w:rPr>
                          <w:b/>
                          <w:sz w:val="24"/>
                        </w:rPr>
                        <w:t>Owner / Landlord</w:t>
                      </w:r>
                    </w:p>
                  </w:txbxContent>
                </v:textbox>
                <w10:anchorlock/>
              </v:shape>
            </w:pict>
          </mc:Fallback>
        </mc:AlternateContent>
      </w:r>
    </w:p>
    <w:p w:rsidR="004E13A5" w:rsidRDefault="004E13A5">
      <w:pPr>
        <w:rPr>
          <w:sz w:val="20"/>
        </w:rPr>
        <w:sectPr w:rsidR="004E13A5">
          <w:type w:val="continuous"/>
          <w:pgSz w:w="12240" w:h="15840"/>
          <w:pgMar w:top="1500" w:right="1240" w:bottom="280" w:left="1340" w:header="720" w:footer="720" w:gutter="0"/>
          <w:cols w:space="720"/>
        </w:sectPr>
      </w:pPr>
    </w:p>
    <w:p w:rsidR="004E13A5" w:rsidRDefault="00681463">
      <w:pPr>
        <w:pStyle w:val="Heading4"/>
        <w:spacing w:before="79"/>
      </w:pPr>
      <w:r>
        <w:lastRenderedPageBreak/>
        <w:t>What Does HUD Do?</w:t>
      </w:r>
    </w:p>
    <w:p w:rsidR="004E13A5" w:rsidRDefault="00681463">
      <w:pPr>
        <w:pStyle w:val="BodyText"/>
      </w:pPr>
      <w:r>
        <w:t>HUD has the following major responsibilities:</w:t>
      </w:r>
    </w:p>
    <w:p w:rsidR="004E13A5" w:rsidRDefault="00681463">
      <w:pPr>
        <w:pStyle w:val="ListParagraph"/>
        <w:numPr>
          <w:ilvl w:val="0"/>
          <w:numId w:val="93"/>
        </w:numPr>
        <w:tabs>
          <w:tab w:val="left" w:pos="460"/>
          <w:tab w:val="left" w:pos="461"/>
        </w:tabs>
        <w:ind w:right="586"/>
        <w:rPr>
          <w:rFonts w:ascii="Symbol"/>
          <w:sz w:val="24"/>
        </w:rPr>
      </w:pPr>
      <w:r>
        <w:rPr>
          <w:sz w:val="24"/>
        </w:rPr>
        <w:t>Develop regulations, requirements, handbooks, notices and other guidance to implement HCV housing program legislation passed by</w:t>
      </w:r>
      <w:r>
        <w:rPr>
          <w:spacing w:val="-9"/>
          <w:sz w:val="24"/>
        </w:rPr>
        <w:t xml:space="preserve"> </w:t>
      </w:r>
      <w:r>
        <w:rPr>
          <w:sz w:val="24"/>
        </w:rPr>
        <w:t>Congress;</w:t>
      </w:r>
    </w:p>
    <w:p w:rsidR="004E13A5" w:rsidRDefault="00681463">
      <w:pPr>
        <w:pStyle w:val="ListParagraph"/>
        <w:numPr>
          <w:ilvl w:val="0"/>
          <w:numId w:val="93"/>
        </w:numPr>
        <w:tabs>
          <w:tab w:val="left" w:pos="460"/>
          <w:tab w:val="left" w:pos="461"/>
        </w:tabs>
        <w:rPr>
          <w:rFonts w:ascii="Symbol"/>
          <w:sz w:val="24"/>
        </w:rPr>
      </w:pPr>
      <w:r>
        <w:rPr>
          <w:sz w:val="24"/>
        </w:rPr>
        <w:t>Allocate HCV program funds to</w:t>
      </w:r>
      <w:r>
        <w:rPr>
          <w:spacing w:val="-6"/>
          <w:sz w:val="24"/>
        </w:rPr>
        <w:t xml:space="preserve"> </w:t>
      </w:r>
      <w:r>
        <w:rPr>
          <w:sz w:val="24"/>
        </w:rPr>
        <w:t>PHAs;</w:t>
      </w:r>
    </w:p>
    <w:p w:rsidR="004E13A5" w:rsidRDefault="00681463">
      <w:pPr>
        <w:pStyle w:val="ListParagraph"/>
        <w:numPr>
          <w:ilvl w:val="0"/>
          <w:numId w:val="93"/>
        </w:numPr>
        <w:tabs>
          <w:tab w:val="left" w:pos="460"/>
          <w:tab w:val="left" w:pos="461"/>
        </w:tabs>
        <w:spacing w:before="118"/>
        <w:ind w:right="1282"/>
        <w:rPr>
          <w:rFonts w:ascii="Symbol"/>
          <w:sz w:val="24"/>
        </w:rPr>
      </w:pPr>
      <w:r>
        <w:rPr>
          <w:sz w:val="24"/>
        </w:rPr>
        <w:t>Provide technical assistance to PHAs on interpreting and applying HCV</w:t>
      </w:r>
      <w:r>
        <w:rPr>
          <w:spacing w:val="-16"/>
          <w:sz w:val="24"/>
        </w:rPr>
        <w:t xml:space="preserve"> </w:t>
      </w:r>
      <w:r>
        <w:rPr>
          <w:sz w:val="24"/>
        </w:rPr>
        <w:t>program requirements;</w:t>
      </w:r>
    </w:p>
    <w:p w:rsidR="004E13A5" w:rsidRDefault="00681463">
      <w:pPr>
        <w:pStyle w:val="ListParagraph"/>
        <w:numPr>
          <w:ilvl w:val="0"/>
          <w:numId w:val="93"/>
        </w:numPr>
        <w:tabs>
          <w:tab w:val="left" w:pos="460"/>
          <w:tab w:val="left" w:pos="461"/>
        </w:tabs>
        <w:ind w:right="884"/>
        <w:rPr>
          <w:rFonts w:ascii="Symbol"/>
          <w:sz w:val="24"/>
        </w:rPr>
      </w:pPr>
      <w:r>
        <w:rPr>
          <w:sz w:val="24"/>
        </w:rPr>
        <w:t>Monitor PHA compliance with HCV program requirements and PHA performance</w:t>
      </w:r>
      <w:r>
        <w:rPr>
          <w:spacing w:val="-18"/>
          <w:sz w:val="24"/>
        </w:rPr>
        <w:t xml:space="preserve"> </w:t>
      </w:r>
      <w:r>
        <w:rPr>
          <w:sz w:val="24"/>
        </w:rPr>
        <w:t>in program</w:t>
      </w:r>
      <w:r>
        <w:rPr>
          <w:spacing w:val="-5"/>
          <w:sz w:val="24"/>
        </w:rPr>
        <w:t xml:space="preserve"> </w:t>
      </w:r>
      <w:r>
        <w:rPr>
          <w:sz w:val="24"/>
        </w:rPr>
        <w:t>administration.</w:t>
      </w:r>
    </w:p>
    <w:p w:rsidR="004E13A5" w:rsidRDefault="00681463">
      <w:pPr>
        <w:pStyle w:val="Heading4"/>
        <w:spacing w:before="119"/>
      </w:pPr>
      <w:r>
        <w:t>What Does the PHA Do?</w:t>
      </w:r>
    </w:p>
    <w:p w:rsidR="004E13A5" w:rsidRDefault="00681463">
      <w:pPr>
        <w:pStyle w:val="BodyText"/>
        <w:spacing w:before="120"/>
        <w:ind w:right="288"/>
      </w:pPr>
      <w:r>
        <w:t>The PHA administers the HCV program under contract with HUD and has the following major responsibilities:</w:t>
      </w:r>
    </w:p>
    <w:p w:rsidR="004E13A5" w:rsidRDefault="00681463">
      <w:pPr>
        <w:pStyle w:val="ListParagraph"/>
        <w:numPr>
          <w:ilvl w:val="0"/>
          <w:numId w:val="93"/>
        </w:numPr>
        <w:tabs>
          <w:tab w:val="left" w:pos="460"/>
          <w:tab w:val="left" w:pos="461"/>
        </w:tabs>
        <w:spacing w:before="62"/>
        <w:rPr>
          <w:rFonts w:ascii="Symbol"/>
          <w:sz w:val="24"/>
        </w:rPr>
      </w:pPr>
      <w:r>
        <w:rPr>
          <w:sz w:val="24"/>
        </w:rPr>
        <w:t>Establish local policies to administer the</w:t>
      </w:r>
      <w:r>
        <w:rPr>
          <w:spacing w:val="-6"/>
          <w:sz w:val="24"/>
        </w:rPr>
        <w:t xml:space="preserve"> </w:t>
      </w:r>
      <w:r>
        <w:rPr>
          <w:sz w:val="24"/>
        </w:rPr>
        <w:t>program;</w:t>
      </w:r>
    </w:p>
    <w:p w:rsidR="004E13A5" w:rsidRDefault="00681463">
      <w:pPr>
        <w:pStyle w:val="ListParagraph"/>
        <w:numPr>
          <w:ilvl w:val="0"/>
          <w:numId w:val="93"/>
        </w:numPr>
        <w:tabs>
          <w:tab w:val="left" w:pos="460"/>
          <w:tab w:val="left" w:pos="461"/>
        </w:tabs>
        <w:spacing w:before="56"/>
        <w:ind w:right="527"/>
        <w:rPr>
          <w:rFonts w:ascii="Symbol"/>
          <w:sz w:val="24"/>
        </w:rPr>
      </w:pPr>
      <w:r>
        <w:rPr>
          <w:sz w:val="24"/>
        </w:rPr>
        <w:t>Review applications from interested applicants to determine whether they are eligible for the</w:t>
      </w:r>
      <w:r>
        <w:rPr>
          <w:spacing w:val="-5"/>
          <w:sz w:val="24"/>
        </w:rPr>
        <w:t xml:space="preserve"> </w:t>
      </w:r>
      <w:r>
        <w:rPr>
          <w:sz w:val="24"/>
        </w:rPr>
        <w:t>program;</w:t>
      </w:r>
    </w:p>
    <w:p w:rsidR="004E13A5" w:rsidRDefault="00681463">
      <w:pPr>
        <w:pStyle w:val="ListParagraph"/>
        <w:numPr>
          <w:ilvl w:val="0"/>
          <w:numId w:val="93"/>
        </w:numPr>
        <w:tabs>
          <w:tab w:val="left" w:pos="460"/>
          <w:tab w:val="left" w:pos="461"/>
        </w:tabs>
        <w:spacing w:before="61"/>
        <w:rPr>
          <w:rFonts w:ascii="Symbol"/>
          <w:sz w:val="24"/>
        </w:rPr>
      </w:pPr>
      <w:r>
        <w:rPr>
          <w:sz w:val="24"/>
        </w:rPr>
        <w:t>Maintain a waiting list and select families for</w:t>
      </w:r>
      <w:r>
        <w:rPr>
          <w:spacing w:val="-14"/>
          <w:sz w:val="24"/>
        </w:rPr>
        <w:t xml:space="preserve"> </w:t>
      </w:r>
      <w:r>
        <w:rPr>
          <w:sz w:val="24"/>
        </w:rPr>
        <w:t>admission;</w:t>
      </w:r>
    </w:p>
    <w:p w:rsidR="004E13A5" w:rsidRDefault="00681463">
      <w:pPr>
        <w:pStyle w:val="ListParagraph"/>
        <w:numPr>
          <w:ilvl w:val="0"/>
          <w:numId w:val="93"/>
        </w:numPr>
        <w:tabs>
          <w:tab w:val="left" w:pos="460"/>
          <w:tab w:val="left" w:pos="461"/>
        </w:tabs>
        <w:spacing w:before="58"/>
        <w:rPr>
          <w:rFonts w:ascii="Symbol"/>
          <w:sz w:val="24"/>
        </w:rPr>
      </w:pPr>
      <w:r>
        <w:rPr>
          <w:sz w:val="24"/>
        </w:rPr>
        <w:t>Issue vouchers to eligible families and provide information on how to lease a</w:t>
      </w:r>
      <w:r>
        <w:rPr>
          <w:spacing w:val="-12"/>
          <w:sz w:val="24"/>
        </w:rPr>
        <w:t xml:space="preserve"> </w:t>
      </w:r>
      <w:r>
        <w:rPr>
          <w:sz w:val="24"/>
        </w:rPr>
        <w:t>unit;</w:t>
      </w:r>
    </w:p>
    <w:p w:rsidR="004E13A5" w:rsidRDefault="00681463">
      <w:pPr>
        <w:pStyle w:val="ListParagraph"/>
        <w:numPr>
          <w:ilvl w:val="0"/>
          <w:numId w:val="93"/>
        </w:numPr>
        <w:tabs>
          <w:tab w:val="left" w:pos="460"/>
          <w:tab w:val="left" w:pos="461"/>
        </w:tabs>
        <w:spacing w:before="56"/>
        <w:ind w:right="590"/>
        <w:rPr>
          <w:rFonts w:ascii="Symbol"/>
          <w:sz w:val="24"/>
        </w:rPr>
      </w:pPr>
      <w:r>
        <w:rPr>
          <w:sz w:val="24"/>
        </w:rPr>
        <w:t>Conduct outreach to owners, with special attention to owners outside areas of poverty</w:t>
      </w:r>
      <w:r>
        <w:rPr>
          <w:spacing w:val="-12"/>
          <w:sz w:val="24"/>
        </w:rPr>
        <w:t xml:space="preserve"> </w:t>
      </w:r>
      <w:r>
        <w:rPr>
          <w:sz w:val="24"/>
        </w:rPr>
        <w:t>or minority</w:t>
      </w:r>
      <w:r>
        <w:rPr>
          <w:spacing w:val="-7"/>
          <w:sz w:val="24"/>
        </w:rPr>
        <w:t xml:space="preserve"> </w:t>
      </w:r>
      <w:r>
        <w:rPr>
          <w:sz w:val="24"/>
        </w:rPr>
        <w:t>concentration;</w:t>
      </w:r>
    </w:p>
    <w:p w:rsidR="004E13A5" w:rsidRDefault="00681463">
      <w:pPr>
        <w:pStyle w:val="ListParagraph"/>
        <w:numPr>
          <w:ilvl w:val="0"/>
          <w:numId w:val="93"/>
        </w:numPr>
        <w:tabs>
          <w:tab w:val="left" w:pos="460"/>
          <w:tab w:val="left" w:pos="461"/>
        </w:tabs>
        <w:spacing w:before="59" w:line="242" w:lineRule="auto"/>
        <w:ind w:right="369"/>
        <w:rPr>
          <w:rFonts w:ascii="Symbol"/>
          <w:sz w:val="24"/>
        </w:rPr>
      </w:pPr>
      <w:r>
        <w:rPr>
          <w:sz w:val="24"/>
        </w:rPr>
        <w:t>Approve the rental unit (including assuring compliance with housing quality standards</w:t>
      </w:r>
      <w:r>
        <w:rPr>
          <w:spacing w:val="-16"/>
          <w:sz w:val="24"/>
        </w:rPr>
        <w:t xml:space="preserve"> </w:t>
      </w:r>
      <w:r>
        <w:rPr>
          <w:sz w:val="24"/>
        </w:rPr>
        <w:t>and rent reasonableness), the owner, and the</w:t>
      </w:r>
      <w:r>
        <w:rPr>
          <w:spacing w:val="-10"/>
          <w:sz w:val="24"/>
        </w:rPr>
        <w:t xml:space="preserve"> </w:t>
      </w:r>
      <w:r>
        <w:rPr>
          <w:sz w:val="24"/>
        </w:rPr>
        <w:t>tenancy;</w:t>
      </w:r>
    </w:p>
    <w:p w:rsidR="004E13A5" w:rsidRDefault="00681463">
      <w:pPr>
        <w:pStyle w:val="ListParagraph"/>
        <w:numPr>
          <w:ilvl w:val="0"/>
          <w:numId w:val="93"/>
        </w:numPr>
        <w:tabs>
          <w:tab w:val="left" w:pos="460"/>
          <w:tab w:val="left" w:pos="461"/>
        </w:tabs>
        <w:spacing w:before="59"/>
        <w:rPr>
          <w:rFonts w:ascii="Symbol"/>
          <w:sz w:val="24"/>
        </w:rPr>
      </w:pPr>
      <w:r>
        <w:rPr>
          <w:sz w:val="24"/>
        </w:rPr>
        <w:t>Make housing assistance payments to the owner in a timely</w:t>
      </w:r>
      <w:r>
        <w:rPr>
          <w:spacing w:val="-13"/>
          <w:sz w:val="24"/>
        </w:rPr>
        <w:t xml:space="preserve"> </w:t>
      </w:r>
      <w:r>
        <w:rPr>
          <w:sz w:val="24"/>
        </w:rPr>
        <w:t>manner;</w:t>
      </w:r>
    </w:p>
    <w:p w:rsidR="004E13A5" w:rsidRDefault="00681463">
      <w:pPr>
        <w:pStyle w:val="ListParagraph"/>
        <w:numPr>
          <w:ilvl w:val="0"/>
          <w:numId w:val="93"/>
        </w:numPr>
        <w:tabs>
          <w:tab w:val="left" w:pos="460"/>
          <w:tab w:val="left" w:pos="461"/>
        </w:tabs>
        <w:spacing w:before="58"/>
        <w:rPr>
          <w:rFonts w:ascii="Symbol"/>
          <w:sz w:val="24"/>
        </w:rPr>
      </w:pPr>
      <w:r>
        <w:rPr>
          <w:sz w:val="24"/>
        </w:rPr>
        <w:t>Recertify families for continued eligibility under the</w:t>
      </w:r>
      <w:r>
        <w:rPr>
          <w:spacing w:val="-15"/>
          <w:sz w:val="24"/>
        </w:rPr>
        <w:t xml:space="preserve"> </w:t>
      </w:r>
      <w:r>
        <w:rPr>
          <w:sz w:val="24"/>
        </w:rPr>
        <w:t>program;</w:t>
      </w:r>
    </w:p>
    <w:p w:rsidR="004E13A5" w:rsidRDefault="00681463">
      <w:pPr>
        <w:pStyle w:val="ListParagraph"/>
        <w:numPr>
          <w:ilvl w:val="0"/>
          <w:numId w:val="93"/>
        </w:numPr>
        <w:tabs>
          <w:tab w:val="left" w:pos="460"/>
          <w:tab w:val="left" w:pos="461"/>
        </w:tabs>
        <w:spacing w:before="58"/>
        <w:rPr>
          <w:rFonts w:ascii="Symbol"/>
          <w:sz w:val="24"/>
        </w:rPr>
      </w:pPr>
      <w:r>
        <w:rPr>
          <w:sz w:val="24"/>
        </w:rPr>
        <w:t>Ensure that owners and families comply with their contractual</w:t>
      </w:r>
      <w:r>
        <w:rPr>
          <w:spacing w:val="-8"/>
          <w:sz w:val="24"/>
        </w:rPr>
        <w:t xml:space="preserve"> </w:t>
      </w:r>
      <w:r>
        <w:rPr>
          <w:sz w:val="24"/>
        </w:rPr>
        <w:t>obligations;</w:t>
      </w:r>
    </w:p>
    <w:p w:rsidR="004E13A5" w:rsidRDefault="00681463">
      <w:pPr>
        <w:pStyle w:val="ListParagraph"/>
        <w:numPr>
          <w:ilvl w:val="0"/>
          <w:numId w:val="93"/>
        </w:numPr>
        <w:tabs>
          <w:tab w:val="left" w:pos="460"/>
          <w:tab w:val="left" w:pos="461"/>
        </w:tabs>
        <w:spacing w:before="58"/>
        <w:rPr>
          <w:rFonts w:ascii="Symbol"/>
          <w:sz w:val="24"/>
        </w:rPr>
      </w:pPr>
      <w:r>
        <w:rPr>
          <w:sz w:val="24"/>
        </w:rPr>
        <w:t>Provide families and owners with prompt, professional</w:t>
      </w:r>
      <w:r>
        <w:rPr>
          <w:spacing w:val="-15"/>
          <w:sz w:val="24"/>
        </w:rPr>
        <w:t xml:space="preserve"> </w:t>
      </w:r>
      <w:r>
        <w:rPr>
          <w:sz w:val="24"/>
        </w:rPr>
        <w:t>service;</w:t>
      </w:r>
    </w:p>
    <w:p w:rsidR="004E13A5" w:rsidRDefault="00681463">
      <w:pPr>
        <w:pStyle w:val="ListParagraph"/>
        <w:numPr>
          <w:ilvl w:val="0"/>
          <w:numId w:val="93"/>
        </w:numPr>
        <w:tabs>
          <w:tab w:val="left" w:pos="460"/>
          <w:tab w:val="left" w:pos="461"/>
        </w:tabs>
        <w:spacing w:before="55"/>
        <w:ind w:right="341"/>
        <w:rPr>
          <w:rFonts w:ascii="Symbol" w:hAnsi="Symbol"/>
          <w:sz w:val="24"/>
        </w:rPr>
      </w:pPr>
      <w:r>
        <w:rPr>
          <w:sz w:val="24"/>
        </w:rPr>
        <w:t>Comply with all fair housing and equal opportunity requirements, HUD regulations and requirements, the Annual Contributions Contract, HUD-approved applications for</w:t>
      </w:r>
      <w:r>
        <w:rPr>
          <w:spacing w:val="-16"/>
          <w:sz w:val="24"/>
        </w:rPr>
        <w:t xml:space="preserve"> </w:t>
      </w:r>
      <w:r>
        <w:rPr>
          <w:sz w:val="24"/>
        </w:rPr>
        <w:t>funding, the PHA’s administrative plan, and other applicable federal, state and local</w:t>
      </w:r>
      <w:r>
        <w:rPr>
          <w:spacing w:val="-11"/>
          <w:sz w:val="24"/>
        </w:rPr>
        <w:t xml:space="preserve"> </w:t>
      </w:r>
      <w:r>
        <w:rPr>
          <w:sz w:val="24"/>
        </w:rPr>
        <w:t>laws.</w:t>
      </w:r>
    </w:p>
    <w:p w:rsidR="004E13A5" w:rsidRDefault="00681463">
      <w:pPr>
        <w:pStyle w:val="Heading4"/>
        <w:spacing w:before="119"/>
      </w:pPr>
      <w:r>
        <w:t>What Does the Owner Do?</w:t>
      </w:r>
    </w:p>
    <w:p w:rsidR="004E13A5" w:rsidRDefault="00681463">
      <w:pPr>
        <w:pStyle w:val="BodyText"/>
      </w:pPr>
      <w:r>
        <w:t>The owner has the following major responsibilities:</w:t>
      </w:r>
    </w:p>
    <w:p w:rsidR="004E13A5" w:rsidRDefault="00681463">
      <w:pPr>
        <w:pStyle w:val="ListParagraph"/>
        <w:numPr>
          <w:ilvl w:val="0"/>
          <w:numId w:val="93"/>
        </w:numPr>
        <w:tabs>
          <w:tab w:val="left" w:pos="460"/>
          <w:tab w:val="left" w:pos="461"/>
        </w:tabs>
        <w:rPr>
          <w:rFonts w:ascii="Symbol"/>
          <w:sz w:val="24"/>
        </w:rPr>
      </w:pPr>
      <w:r>
        <w:rPr>
          <w:sz w:val="24"/>
        </w:rPr>
        <w:t>Screen families who apply for tenancy, to determine suitability as</w:t>
      </w:r>
      <w:r>
        <w:rPr>
          <w:spacing w:val="-12"/>
          <w:sz w:val="24"/>
        </w:rPr>
        <w:t xml:space="preserve"> </w:t>
      </w:r>
      <w:r>
        <w:rPr>
          <w:sz w:val="24"/>
        </w:rPr>
        <w:t>renters.</w:t>
      </w:r>
    </w:p>
    <w:p w:rsidR="004E13A5" w:rsidRDefault="00681463">
      <w:pPr>
        <w:pStyle w:val="ListParagraph"/>
        <w:numPr>
          <w:ilvl w:val="1"/>
          <w:numId w:val="93"/>
        </w:numPr>
        <w:tabs>
          <w:tab w:val="left" w:pos="820"/>
          <w:tab w:val="left" w:pos="821"/>
        </w:tabs>
        <w:spacing w:before="120"/>
        <w:ind w:right="293"/>
        <w:rPr>
          <w:sz w:val="24"/>
        </w:rPr>
      </w:pPr>
      <w:r>
        <w:rPr>
          <w:sz w:val="24"/>
        </w:rPr>
        <w:t>The PHA can provide some information to the owner, but the primary responsibility for tenant screening rests with the</w:t>
      </w:r>
      <w:r>
        <w:rPr>
          <w:spacing w:val="-7"/>
          <w:sz w:val="24"/>
        </w:rPr>
        <w:t xml:space="preserve"> </w:t>
      </w:r>
      <w:r>
        <w:rPr>
          <w:sz w:val="24"/>
        </w:rPr>
        <w:t>owner.</w:t>
      </w:r>
    </w:p>
    <w:p w:rsidR="004E13A5" w:rsidRDefault="00681463">
      <w:pPr>
        <w:pStyle w:val="ListParagraph"/>
        <w:numPr>
          <w:ilvl w:val="1"/>
          <w:numId w:val="93"/>
        </w:numPr>
        <w:tabs>
          <w:tab w:val="left" w:pos="820"/>
          <w:tab w:val="left" w:pos="821"/>
        </w:tabs>
        <w:ind w:right="252"/>
        <w:rPr>
          <w:sz w:val="24"/>
        </w:rPr>
      </w:pPr>
      <w:r>
        <w:rPr>
          <w:sz w:val="24"/>
        </w:rPr>
        <w:t>The owner should consider family background factors such as rent and bill-paying history, history of caring for property, respecting the rights of others to peaceful enjoyment of the property, compliance with essential conditions of tenancy, whether</w:t>
      </w:r>
      <w:r>
        <w:rPr>
          <w:spacing w:val="-15"/>
          <w:sz w:val="24"/>
        </w:rPr>
        <w:t xml:space="preserve"> </w:t>
      </w:r>
      <w:r>
        <w:rPr>
          <w:sz w:val="24"/>
        </w:rPr>
        <w:t>the family is engaging in drug-related criminal activity or other criminal activity that might threaten</w:t>
      </w:r>
      <w:r>
        <w:rPr>
          <w:spacing w:val="-3"/>
          <w:sz w:val="24"/>
        </w:rPr>
        <w:t xml:space="preserve"> </w:t>
      </w:r>
      <w:r>
        <w:rPr>
          <w:sz w:val="24"/>
        </w:rPr>
        <w:t>others.</w:t>
      </w:r>
    </w:p>
    <w:p w:rsidR="004E13A5" w:rsidRDefault="00681463">
      <w:pPr>
        <w:pStyle w:val="ListParagraph"/>
        <w:numPr>
          <w:ilvl w:val="0"/>
          <w:numId w:val="93"/>
        </w:numPr>
        <w:tabs>
          <w:tab w:val="left" w:pos="460"/>
          <w:tab w:val="left" w:pos="461"/>
        </w:tabs>
        <w:rPr>
          <w:rFonts w:ascii="Symbol"/>
          <w:sz w:val="24"/>
        </w:rPr>
      </w:pPr>
      <w:r>
        <w:rPr>
          <w:sz w:val="24"/>
        </w:rPr>
        <w:t>Comply with the terms of the Housing Assistance Payments contract executed with the</w:t>
      </w:r>
      <w:r>
        <w:rPr>
          <w:spacing w:val="-14"/>
          <w:sz w:val="24"/>
        </w:rPr>
        <w:t xml:space="preserve"> </w:t>
      </w:r>
      <w:r>
        <w:rPr>
          <w:sz w:val="24"/>
        </w:rPr>
        <w:t>PHA;</w:t>
      </w:r>
    </w:p>
    <w:p w:rsidR="004E13A5" w:rsidRDefault="004E13A5">
      <w:pPr>
        <w:rPr>
          <w:rFonts w:ascii="Symbol"/>
          <w:sz w:val="24"/>
        </w:rPr>
        <w:sectPr w:rsidR="004E13A5">
          <w:pgSz w:w="12240" w:h="15840"/>
          <w:pgMar w:top="1360" w:right="1360" w:bottom="640" w:left="1340" w:header="0" w:footer="381" w:gutter="0"/>
          <w:cols w:space="720"/>
        </w:sectPr>
      </w:pPr>
    </w:p>
    <w:p w:rsidR="004E13A5" w:rsidRDefault="00681463">
      <w:pPr>
        <w:pStyle w:val="ListParagraph"/>
        <w:numPr>
          <w:ilvl w:val="0"/>
          <w:numId w:val="93"/>
        </w:numPr>
        <w:tabs>
          <w:tab w:val="left" w:pos="460"/>
          <w:tab w:val="left" w:pos="461"/>
        </w:tabs>
        <w:spacing w:before="79"/>
        <w:rPr>
          <w:rFonts w:ascii="Symbol"/>
          <w:sz w:val="24"/>
        </w:rPr>
      </w:pPr>
      <w:r>
        <w:rPr>
          <w:sz w:val="24"/>
        </w:rPr>
        <w:lastRenderedPageBreak/>
        <w:t>Comply with all applicable fair housing laws and do not discriminate against</w:t>
      </w:r>
      <w:r>
        <w:rPr>
          <w:spacing w:val="-12"/>
          <w:sz w:val="24"/>
        </w:rPr>
        <w:t xml:space="preserve"> </w:t>
      </w:r>
      <w:r>
        <w:rPr>
          <w:sz w:val="24"/>
        </w:rPr>
        <w:t>anyone;</w:t>
      </w:r>
    </w:p>
    <w:p w:rsidR="004E13A5" w:rsidRDefault="00681463">
      <w:pPr>
        <w:pStyle w:val="ListParagraph"/>
        <w:numPr>
          <w:ilvl w:val="0"/>
          <w:numId w:val="93"/>
        </w:numPr>
        <w:tabs>
          <w:tab w:val="left" w:pos="460"/>
          <w:tab w:val="left" w:pos="461"/>
        </w:tabs>
        <w:spacing w:before="118"/>
        <w:ind w:right="369"/>
        <w:rPr>
          <w:rFonts w:ascii="Symbol"/>
          <w:sz w:val="24"/>
        </w:rPr>
      </w:pPr>
      <w:r>
        <w:rPr>
          <w:sz w:val="24"/>
        </w:rPr>
        <w:t>Maintain the housing unit in accordance with Housing Quality Standards (</w:t>
      </w:r>
      <w:r w:rsidR="002C4221">
        <w:rPr>
          <w:sz w:val="24"/>
        </w:rPr>
        <w:t>NSPIRE</w:t>
      </w:r>
      <w:r>
        <w:rPr>
          <w:sz w:val="24"/>
        </w:rPr>
        <w:t>) and</w:t>
      </w:r>
      <w:r>
        <w:rPr>
          <w:spacing w:val="-15"/>
          <w:sz w:val="24"/>
        </w:rPr>
        <w:t xml:space="preserve"> </w:t>
      </w:r>
      <w:r>
        <w:rPr>
          <w:sz w:val="24"/>
        </w:rPr>
        <w:t>make necessary repairs in a timely</w:t>
      </w:r>
      <w:r>
        <w:rPr>
          <w:spacing w:val="-11"/>
          <w:sz w:val="24"/>
        </w:rPr>
        <w:t xml:space="preserve"> </w:t>
      </w:r>
      <w:r>
        <w:rPr>
          <w:sz w:val="24"/>
        </w:rPr>
        <w:t>manner;</w:t>
      </w:r>
    </w:p>
    <w:p w:rsidR="004E13A5" w:rsidRDefault="00681463">
      <w:pPr>
        <w:pStyle w:val="ListParagraph"/>
        <w:numPr>
          <w:ilvl w:val="0"/>
          <w:numId w:val="93"/>
        </w:numPr>
        <w:tabs>
          <w:tab w:val="left" w:pos="460"/>
          <w:tab w:val="left" w:pos="461"/>
        </w:tabs>
        <w:ind w:right="243"/>
        <w:rPr>
          <w:rFonts w:ascii="Symbol"/>
          <w:sz w:val="24"/>
        </w:rPr>
      </w:pPr>
      <w:r>
        <w:rPr>
          <w:sz w:val="24"/>
        </w:rPr>
        <w:t>Collect rent due from the assisted family and otherwise comply with and enforce</w:t>
      </w:r>
      <w:r>
        <w:rPr>
          <w:spacing w:val="-14"/>
          <w:sz w:val="24"/>
        </w:rPr>
        <w:t xml:space="preserve"> </w:t>
      </w:r>
      <w:r>
        <w:rPr>
          <w:sz w:val="24"/>
        </w:rPr>
        <w:t>provisions of the dwelling</w:t>
      </w:r>
      <w:r>
        <w:rPr>
          <w:spacing w:val="-8"/>
          <w:sz w:val="24"/>
        </w:rPr>
        <w:t xml:space="preserve"> </w:t>
      </w:r>
      <w:r>
        <w:rPr>
          <w:sz w:val="24"/>
        </w:rPr>
        <w:t>lease.</w:t>
      </w:r>
    </w:p>
    <w:p w:rsidR="004E13A5" w:rsidRDefault="00681463">
      <w:pPr>
        <w:pStyle w:val="Heading4"/>
        <w:spacing w:before="120"/>
      </w:pPr>
      <w:r>
        <w:t>What Does the Family Do?</w:t>
      </w:r>
    </w:p>
    <w:p w:rsidR="004E13A5" w:rsidRDefault="00681463">
      <w:pPr>
        <w:pStyle w:val="BodyText"/>
        <w:spacing w:before="120"/>
      </w:pPr>
      <w:r>
        <w:t>The family has the following responsibilities:</w:t>
      </w:r>
    </w:p>
    <w:p w:rsidR="004E13A5" w:rsidRDefault="00681463">
      <w:pPr>
        <w:pStyle w:val="ListParagraph"/>
        <w:numPr>
          <w:ilvl w:val="0"/>
          <w:numId w:val="93"/>
        </w:numPr>
        <w:tabs>
          <w:tab w:val="left" w:pos="460"/>
          <w:tab w:val="left" w:pos="461"/>
        </w:tabs>
        <w:ind w:right="403"/>
        <w:rPr>
          <w:rFonts w:ascii="Symbol"/>
          <w:sz w:val="24"/>
        </w:rPr>
      </w:pPr>
      <w:r>
        <w:rPr>
          <w:sz w:val="24"/>
        </w:rPr>
        <w:t>Provide the PHA with complete and accurate information as determined by the PHA to be necessary for administration of the</w:t>
      </w:r>
      <w:r>
        <w:rPr>
          <w:spacing w:val="-13"/>
          <w:sz w:val="24"/>
        </w:rPr>
        <w:t xml:space="preserve"> </w:t>
      </w:r>
      <w:r>
        <w:rPr>
          <w:sz w:val="24"/>
        </w:rPr>
        <w:t>program;</w:t>
      </w:r>
    </w:p>
    <w:p w:rsidR="004E13A5" w:rsidRDefault="00681463">
      <w:pPr>
        <w:pStyle w:val="ListParagraph"/>
        <w:numPr>
          <w:ilvl w:val="0"/>
          <w:numId w:val="93"/>
        </w:numPr>
        <w:tabs>
          <w:tab w:val="left" w:pos="460"/>
          <w:tab w:val="left" w:pos="461"/>
        </w:tabs>
        <w:rPr>
          <w:rFonts w:ascii="Symbol"/>
          <w:sz w:val="24"/>
        </w:rPr>
      </w:pPr>
      <w:r>
        <w:rPr>
          <w:sz w:val="24"/>
        </w:rPr>
        <w:t>Make their best and most timely efforts to locate qualified and suitable</w:t>
      </w:r>
      <w:r>
        <w:rPr>
          <w:spacing w:val="-10"/>
          <w:sz w:val="24"/>
        </w:rPr>
        <w:t xml:space="preserve"> </w:t>
      </w:r>
      <w:r>
        <w:rPr>
          <w:sz w:val="24"/>
        </w:rPr>
        <w:t>housing;</w:t>
      </w:r>
    </w:p>
    <w:p w:rsidR="004E13A5" w:rsidRDefault="00681463">
      <w:pPr>
        <w:pStyle w:val="ListParagraph"/>
        <w:numPr>
          <w:ilvl w:val="0"/>
          <w:numId w:val="93"/>
        </w:numPr>
        <w:tabs>
          <w:tab w:val="left" w:pos="460"/>
          <w:tab w:val="left" w:pos="461"/>
        </w:tabs>
        <w:rPr>
          <w:rFonts w:ascii="Symbol"/>
          <w:sz w:val="24"/>
        </w:rPr>
      </w:pPr>
      <w:r>
        <w:rPr>
          <w:sz w:val="24"/>
        </w:rPr>
        <w:t>Attend all appointments scheduled by the</w:t>
      </w:r>
      <w:r>
        <w:rPr>
          <w:spacing w:val="-8"/>
          <w:sz w:val="24"/>
        </w:rPr>
        <w:t xml:space="preserve"> </w:t>
      </w:r>
      <w:r>
        <w:rPr>
          <w:sz w:val="24"/>
        </w:rPr>
        <w:t>PHA;</w:t>
      </w:r>
    </w:p>
    <w:p w:rsidR="004E13A5" w:rsidRDefault="00681463">
      <w:pPr>
        <w:pStyle w:val="ListParagraph"/>
        <w:numPr>
          <w:ilvl w:val="0"/>
          <w:numId w:val="93"/>
        </w:numPr>
        <w:tabs>
          <w:tab w:val="left" w:pos="460"/>
          <w:tab w:val="left" w:pos="461"/>
        </w:tabs>
        <w:spacing w:before="118"/>
        <w:rPr>
          <w:rFonts w:ascii="Symbol"/>
          <w:sz w:val="24"/>
        </w:rPr>
      </w:pPr>
      <w:r>
        <w:rPr>
          <w:sz w:val="24"/>
        </w:rPr>
        <w:t>Allow the PHA to inspect the unit at reasonable times and after reasonable</w:t>
      </w:r>
      <w:r>
        <w:rPr>
          <w:spacing w:val="-8"/>
          <w:sz w:val="24"/>
        </w:rPr>
        <w:t xml:space="preserve"> </w:t>
      </w:r>
      <w:r>
        <w:rPr>
          <w:sz w:val="24"/>
        </w:rPr>
        <w:t>notice;</w:t>
      </w:r>
    </w:p>
    <w:p w:rsidR="004E13A5" w:rsidRDefault="00681463">
      <w:pPr>
        <w:pStyle w:val="ListParagraph"/>
        <w:numPr>
          <w:ilvl w:val="0"/>
          <w:numId w:val="93"/>
        </w:numPr>
        <w:tabs>
          <w:tab w:val="left" w:pos="460"/>
          <w:tab w:val="left" w:pos="461"/>
        </w:tabs>
        <w:spacing w:before="118"/>
        <w:ind w:right="299"/>
        <w:rPr>
          <w:rFonts w:ascii="Symbol"/>
          <w:sz w:val="24"/>
        </w:rPr>
      </w:pPr>
      <w:r>
        <w:rPr>
          <w:sz w:val="24"/>
        </w:rPr>
        <w:t>Take responsibility for care of the housing unit, including any violations of housing quality standards caused by the</w:t>
      </w:r>
      <w:r>
        <w:rPr>
          <w:spacing w:val="-10"/>
          <w:sz w:val="24"/>
        </w:rPr>
        <w:t xml:space="preserve"> </w:t>
      </w:r>
      <w:r>
        <w:rPr>
          <w:sz w:val="24"/>
        </w:rPr>
        <w:t>family;</w:t>
      </w:r>
    </w:p>
    <w:p w:rsidR="004E13A5" w:rsidRDefault="00681463">
      <w:pPr>
        <w:pStyle w:val="ListParagraph"/>
        <w:numPr>
          <w:ilvl w:val="0"/>
          <w:numId w:val="93"/>
        </w:numPr>
        <w:tabs>
          <w:tab w:val="left" w:pos="460"/>
          <w:tab w:val="left" w:pos="461"/>
        </w:tabs>
        <w:rPr>
          <w:rFonts w:ascii="Symbol"/>
          <w:sz w:val="24"/>
        </w:rPr>
      </w:pPr>
      <w:r>
        <w:rPr>
          <w:sz w:val="24"/>
        </w:rPr>
        <w:t>Comply with the terms of the lease with the</w:t>
      </w:r>
      <w:r>
        <w:rPr>
          <w:spacing w:val="-9"/>
          <w:sz w:val="24"/>
        </w:rPr>
        <w:t xml:space="preserve"> </w:t>
      </w:r>
      <w:r>
        <w:rPr>
          <w:sz w:val="24"/>
        </w:rPr>
        <w:t>owner;</w:t>
      </w:r>
    </w:p>
    <w:p w:rsidR="004E13A5" w:rsidRDefault="00681463">
      <w:pPr>
        <w:pStyle w:val="ListParagraph"/>
        <w:numPr>
          <w:ilvl w:val="0"/>
          <w:numId w:val="93"/>
        </w:numPr>
        <w:tabs>
          <w:tab w:val="left" w:pos="460"/>
          <w:tab w:val="left" w:pos="461"/>
        </w:tabs>
        <w:spacing w:before="118"/>
        <w:rPr>
          <w:rFonts w:ascii="Symbol"/>
          <w:sz w:val="24"/>
        </w:rPr>
      </w:pPr>
      <w:r>
        <w:rPr>
          <w:sz w:val="24"/>
        </w:rPr>
        <w:t>Comply with the family obligations of the</w:t>
      </w:r>
      <w:r>
        <w:rPr>
          <w:spacing w:val="-11"/>
          <w:sz w:val="24"/>
        </w:rPr>
        <w:t xml:space="preserve"> </w:t>
      </w:r>
      <w:r>
        <w:rPr>
          <w:sz w:val="24"/>
        </w:rPr>
        <w:t>voucher;</w:t>
      </w:r>
    </w:p>
    <w:p w:rsidR="004E13A5" w:rsidRDefault="00681463">
      <w:pPr>
        <w:pStyle w:val="ListParagraph"/>
        <w:numPr>
          <w:ilvl w:val="0"/>
          <w:numId w:val="93"/>
        </w:numPr>
        <w:tabs>
          <w:tab w:val="left" w:pos="460"/>
          <w:tab w:val="left" w:pos="461"/>
        </w:tabs>
        <w:spacing w:before="120"/>
        <w:rPr>
          <w:rFonts w:ascii="Symbol"/>
          <w:sz w:val="24"/>
        </w:rPr>
      </w:pPr>
      <w:r>
        <w:rPr>
          <w:sz w:val="24"/>
        </w:rPr>
        <w:t>Not commit serious or repeated violations of the</w:t>
      </w:r>
      <w:r>
        <w:rPr>
          <w:spacing w:val="-8"/>
          <w:sz w:val="24"/>
        </w:rPr>
        <w:t xml:space="preserve"> </w:t>
      </w:r>
      <w:r>
        <w:rPr>
          <w:sz w:val="24"/>
        </w:rPr>
        <w:t>lease;</w:t>
      </w:r>
    </w:p>
    <w:p w:rsidR="004E13A5" w:rsidRDefault="00681463">
      <w:pPr>
        <w:pStyle w:val="ListParagraph"/>
        <w:numPr>
          <w:ilvl w:val="0"/>
          <w:numId w:val="93"/>
        </w:numPr>
        <w:tabs>
          <w:tab w:val="left" w:pos="460"/>
          <w:tab w:val="left" w:pos="461"/>
        </w:tabs>
        <w:spacing w:before="118"/>
        <w:rPr>
          <w:rFonts w:ascii="Symbol"/>
          <w:sz w:val="24"/>
        </w:rPr>
      </w:pPr>
      <w:r>
        <w:rPr>
          <w:sz w:val="24"/>
        </w:rPr>
        <w:t>Not engage in drug-related or violent criminal</w:t>
      </w:r>
      <w:r>
        <w:rPr>
          <w:spacing w:val="-15"/>
          <w:sz w:val="24"/>
        </w:rPr>
        <w:t xml:space="preserve"> </w:t>
      </w:r>
      <w:r>
        <w:rPr>
          <w:sz w:val="24"/>
        </w:rPr>
        <w:t>activity;</w:t>
      </w:r>
    </w:p>
    <w:p w:rsidR="004E13A5" w:rsidRDefault="00681463">
      <w:pPr>
        <w:pStyle w:val="ListParagraph"/>
        <w:numPr>
          <w:ilvl w:val="0"/>
          <w:numId w:val="93"/>
        </w:numPr>
        <w:tabs>
          <w:tab w:val="left" w:pos="460"/>
          <w:tab w:val="left" w:pos="461"/>
        </w:tabs>
        <w:spacing w:before="118"/>
        <w:rPr>
          <w:rFonts w:ascii="Symbol"/>
          <w:sz w:val="24"/>
        </w:rPr>
      </w:pPr>
      <w:r>
        <w:rPr>
          <w:sz w:val="24"/>
        </w:rPr>
        <w:t>Notify the PHA and the owner before moving or terminating the</w:t>
      </w:r>
      <w:r>
        <w:rPr>
          <w:spacing w:val="-11"/>
          <w:sz w:val="24"/>
        </w:rPr>
        <w:t xml:space="preserve"> </w:t>
      </w:r>
      <w:r>
        <w:rPr>
          <w:sz w:val="24"/>
        </w:rPr>
        <w:t>lease;</w:t>
      </w:r>
    </w:p>
    <w:p w:rsidR="004E13A5" w:rsidRDefault="00681463">
      <w:pPr>
        <w:pStyle w:val="ListParagraph"/>
        <w:numPr>
          <w:ilvl w:val="0"/>
          <w:numId w:val="93"/>
        </w:numPr>
        <w:tabs>
          <w:tab w:val="left" w:pos="460"/>
          <w:tab w:val="left" w:pos="461"/>
        </w:tabs>
        <w:spacing w:before="118"/>
        <w:ind w:right="98"/>
        <w:rPr>
          <w:rFonts w:ascii="Symbol"/>
          <w:sz w:val="24"/>
        </w:rPr>
      </w:pPr>
      <w:r>
        <w:rPr>
          <w:sz w:val="24"/>
        </w:rPr>
        <w:t>Use the assisted unit only for residence and as the sole residence of the family. Not sublet the unit, assign the lease, or have any interest in the</w:t>
      </w:r>
      <w:r>
        <w:rPr>
          <w:spacing w:val="-8"/>
          <w:sz w:val="24"/>
        </w:rPr>
        <w:t xml:space="preserve"> </w:t>
      </w:r>
      <w:r>
        <w:rPr>
          <w:sz w:val="24"/>
        </w:rPr>
        <w:t>unit;</w:t>
      </w:r>
    </w:p>
    <w:p w:rsidR="004E13A5" w:rsidRDefault="00681463">
      <w:pPr>
        <w:pStyle w:val="ListParagraph"/>
        <w:numPr>
          <w:ilvl w:val="0"/>
          <w:numId w:val="93"/>
        </w:numPr>
        <w:tabs>
          <w:tab w:val="left" w:pos="460"/>
          <w:tab w:val="left" w:pos="461"/>
        </w:tabs>
        <w:rPr>
          <w:rFonts w:ascii="Symbol"/>
          <w:sz w:val="24"/>
        </w:rPr>
      </w:pPr>
      <w:r>
        <w:rPr>
          <w:sz w:val="24"/>
        </w:rPr>
        <w:t>Promptly notify the PHA of any changes in family</w:t>
      </w:r>
      <w:r>
        <w:rPr>
          <w:spacing w:val="-11"/>
          <w:sz w:val="24"/>
        </w:rPr>
        <w:t xml:space="preserve"> </w:t>
      </w:r>
      <w:r>
        <w:rPr>
          <w:sz w:val="24"/>
        </w:rPr>
        <w:t>composition;</w:t>
      </w:r>
    </w:p>
    <w:p w:rsidR="004E13A5" w:rsidRDefault="00681463">
      <w:pPr>
        <w:pStyle w:val="ListParagraph"/>
        <w:numPr>
          <w:ilvl w:val="0"/>
          <w:numId w:val="93"/>
        </w:numPr>
        <w:tabs>
          <w:tab w:val="left" w:pos="460"/>
          <w:tab w:val="left" w:pos="461"/>
        </w:tabs>
        <w:ind w:right="783"/>
        <w:rPr>
          <w:rFonts w:ascii="Symbol"/>
          <w:sz w:val="24"/>
        </w:rPr>
      </w:pPr>
      <w:r>
        <w:rPr>
          <w:sz w:val="24"/>
        </w:rPr>
        <w:t>Not commit fraud, bribery, or any other corrupt or criminal act in connection with</w:t>
      </w:r>
      <w:r>
        <w:rPr>
          <w:spacing w:val="-14"/>
          <w:sz w:val="24"/>
        </w:rPr>
        <w:t xml:space="preserve"> </w:t>
      </w:r>
      <w:r>
        <w:rPr>
          <w:sz w:val="24"/>
        </w:rPr>
        <w:t>any housing</w:t>
      </w:r>
      <w:r>
        <w:rPr>
          <w:spacing w:val="-6"/>
          <w:sz w:val="24"/>
        </w:rPr>
        <w:t xml:space="preserve"> </w:t>
      </w:r>
      <w:r>
        <w:rPr>
          <w:sz w:val="24"/>
        </w:rPr>
        <w:t>programs.</w:t>
      </w:r>
    </w:p>
    <w:p w:rsidR="004E13A5" w:rsidRDefault="004E13A5">
      <w:pPr>
        <w:pStyle w:val="BodyText"/>
        <w:spacing w:before="10"/>
        <w:ind w:left="0"/>
        <w:rPr>
          <w:sz w:val="20"/>
        </w:rPr>
      </w:pPr>
    </w:p>
    <w:p w:rsidR="004E13A5" w:rsidRDefault="00681463">
      <w:pPr>
        <w:pStyle w:val="Heading4"/>
      </w:pPr>
      <w:r>
        <w:t>1-II.D. APPLICABLE REGULATIONS</w:t>
      </w:r>
    </w:p>
    <w:p w:rsidR="004E13A5" w:rsidRDefault="00681463">
      <w:pPr>
        <w:pStyle w:val="BodyText"/>
      </w:pPr>
      <w:r>
        <w:t>Applicable regulations include:</w:t>
      </w:r>
    </w:p>
    <w:p w:rsidR="004E13A5" w:rsidRDefault="00681463">
      <w:pPr>
        <w:pStyle w:val="ListParagraph"/>
        <w:numPr>
          <w:ilvl w:val="0"/>
          <w:numId w:val="93"/>
        </w:numPr>
        <w:tabs>
          <w:tab w:val="left" w:pos="460"/>
          <w:tab w:val="left" w:pos="461"/>
        </w:tabs>
        <w:rPr>
          <w:rFonts w:ascii="Symbol"/>
          <w:sz w:val="24"/>
        </w:rPr>
      </w:pPr>
      <w:r>
        <w:rPr>
          <w:sz w:val="24"/>
        </w:rPr>
        <w:t>24 CFR Part 5: General Program</w:t>
      </w:r>
      <w:r>
        <w:rPr>
          <w:spacing w:val="-13"/>
          <w:sz w:val="24"/>
        </w:rPr>
        <w:t xml:space="preserve"> </w:t>
      </w:r>
      <w:r>
        <w:rPr>
          <w:sz w:val="24"/>
        </w:rPr>
        <w:t>Requirements</w:t>
      </w:r>
    </w:p>
    <w:p w:rsidR="004E13A5" w:rsidRDefault="00681463">
      <w:pPr>
        <w:pStyle w:val="ListParagraph"/>
        <w:numPr>
          <w:ilvl w:val="0"/>
          <w:numId w:val="93"/>
        </w:numPr>
        <w:tabs>
          <w:tab w:val="left" w:pos="460"/>
          <w:tab w:val="left" w:pos="461"/>
        </w:tabs>
        <w:rPr>
          <w:rFonts w:ascii="Symbol"/>
          <w:sz w:val="24"/>
        </w:rPr>
      </w:pPr>
      <w:r>
        <w:rPr>
          <w:sz w:val="24"/>
        </w:rPr>
        <w:t>24 CFR Part 8:</w:t>
      </w:r>
      <w:r>
        <w:rPr>
          <w:spacing w:val="-6"/>
          <w:sz w:val="24"/>
        </w:rPr>
        <w:t xml:space="preserve"> </w:t>
      </w:r>
      <w:r>
        <w:rPr>
          <w:sz w:val="24"/>
        </w:rPr>
        <w:t>Nondiscrimination</w:t>
      </w:r>
    </w:p>
    <w:p w:rsidR="004E13A5" w:rsidRDefault="00681463">
      <w:pPr>
        <w:pStyle w:val="ListParagraph"/>
        <w:numPr>
          <w:ilvl w:val="0"/>
          <w:numId w:val="93"/>
        </w:numPr>
        <w:tabs>
          <w:tab w:val="left" w:pos="460"/>
          <w:tab w:val="left" w:pos="461"/>
        </w:tabs>
        <w:spacing w:before="118"/>
        <w:rPr>
          <w:rFonts w:ascii="Symbol"/>
          <w:sz w:val="24"/>
        </w:rPr>
      </w:pPr>
      <w:r>
        <w:rPr>
          <w:sz w:val="24"/>
        </w:rPr>
        <w:t>24 CFR Part 35: Lead-Based</w:t>
      </w:r>
      <w:r>
        <w:rPr>
          <w:spacing w:val="-8"/>
          <w:sz w:val="24"/>
        </w:rPr>
        <w:t xml:space="preserve"> </w:t>
      </w:r>
      <w:r>
        <w:rPr>
          <w:sz w:val="24"/>
        </w:rPr>
        <w:t>Paint</w:t>
      </w:r>
    </w:p>
    <w:p w:rsidR="004E13A5" w:rsidRDefault="00681463">
      <w:pPr>
        <w:pStyle w:val="ListParagraph"/>
        <w:numPr>
          <w:ilvl w:val="0"/>
          <w:numId w:val="93"/>
        </w:numPr>
        <w:tabs>
          <w:tab w:val="left" w:pos="460"/>
          <w:tab w:val="left" w:pos="461"/>
        </w:tabs>
        <w:spacing w:before="118"/>
        <w:rPr>
          <w:rFonts w:ascii="Symbol"/>
          <w:sz w:val="24"/>
        </w:rPr>
      </w:pPr>
      <w:r>
        <w:rPr>
          <w:sz w:val="24"/>
        </w:rPr>
        <w:t>24 CFR Part 100: The Fair Housing</w:t>
      </w:r>
      <w:r>
        <w:rPr>
          <w:spacing w:val="-10"/>
          <w:sz w:val="24"/>
        </w:rPr>
        <w:t xml:space="preserve"> </w:t>
      </w:r>
      <w:r>
        <w:rPr>
          <w:sz w:val="24"/>
        </w:rPr>
        <w:t>Act</w:t>
      </w:r>
    </w:p>
    <w:p w:rsidR="004E13A5" w:rsidRDefault="00681463">
      <w:pPr>
        <w:pStyle w:val="ListParagraph"/>
        <w:numPr>
          <w:ilvl w:val="0"/>
          <w:numId w:val="93"/>
        </w:numPr>
        <w:tabs>
          <w:tab w:val="left" w:pos="460"/>
          <w:tab w:val="left" w:pos="461"/>
        </w:tabs>
        <w:spacing w:before="118"/>
        <w:rPr>
          <w:rFonts w:ascii="Symbol"/>
          <w:sz w:val="24"/>
        </w:rPr>
      </w:pPr>
      <w:r>
        <w:rPr>
          <w:sz w:val="24"/>
        </w:rPr>
        <w:t>24 CFR Part 982: Section 8 Tenant-Based Assistance: Housing Choice Voucher</w:t>
      </w:r>
      <w:r>
        <w:rPr>
          <w:spacing w:val="-14"/>
          <w:sz w:val="24"/>
        </w:rPr>
        <w:t xml:space="preserve"> </w:t>
      </w:r>
      <w:r>
        <w:rPr>
          <w:sz w:val="24"/>
        </w:rPr>
        <w:t>Program</w:t>
      </w:r>
    </w:p>
    <w:p w:rsidR="004E13A5" w:rsidRDefault="00681463">
      <w:pPr>
        <w:pStyle w:val="ListParagraph"/>
        <w:numPr>
          <w:ilvl w:val="0"/>
          <w:numId w:val="93"/>
        </w:numPr>
        <w:tabs>
          <w:tab w:val="left" w:pos="460"/>
          <w:tab w:val="left" w:pos="461"/>
        </w:tabs>
        <w:spacing w:before="118"/>
        <w:rPr>
          <w:rFonts w:ascii="Symbol"/>
          <w:sz w:val="24"/>
        </w:rPr>
      </w:pPr>
      <w:r>
        <w:rPr>
          <w:sz w:val="24"/>
        </w:rPr>
        <w:t>24 CFR Part 983: Project-Based</w:t>
      </w:r>
      <w:r>
        <w:rPr>
          <w:spacing w:val="-9"/>
          <w:sz w:val="24"/>
        </w:rPr>
        <w:t xml:space="preserve"> </w:t>
      </w:r>
      <w:r>
        <w:rPr>
          <w:sz w:val="24"/>
        </w:rPr>
        <w:t>Vouchers</w:t>
      </w:r>
    </w:p>
    <w:p w:rsidR="004E13A5" w:rsidRDefault="00681463">
      <w:pPr>
        <w:pStyle w:val="ListParagraph"/>
        <w:numPr>
          <w:ilvl w:val="0"/>
          <w:numId w:val="93"/>
        </w:numPr>
        <w:tabs>
          <w:tab w:val="left" w:pos="460"/>
          <w:tab w:val="left" w:pos="461"/>
        </w:tabs>
        <w:spacing w:before="120"/>
        <w:rPr>
          <w:rFonts w:ascii="Symbol"/>
          <w:sz w:val="24"/>
        </w:rPr>
      </w:pPr>
      <w:r>
        <w:rPr>
          <w:sz w:val="24"/>
        </w:rPr>
        <w:t>24 CFR Part 985: The Section 8 Management Assessment Program</w:t>
      </w:r>
      <w:r>
        <w:rPr>
          <w:spacing w:val="-12"/>
          <w:sz w:val="24"/>
        </w:rPr>
        <w:t xml:space="preserve"> </w:t>
      </w:r>
      <w:r>
        <w:rPr>
          <w:sz w:val="24"/>
        </w:rPr>
        <w:t>(SEMAP)</w:t>
      </w:r>
    </w:p>
    <w:p w:rsidR="004E13A5" w:rsidRDefault="004E13A5">
      <w:pPr>
        <w:rPr>
          <w:rFonts w:ascii="Symbol"/>
          <w:sz w:val="24"/>
        </w:rPr>
        <w:sectPr w:rsidR="004E13A5">
          <w:pgSz w:w="12240" w:h="15840"/>
          <w:pgMar w:top="1360" w:right="1380" w:bottom="640" w:left="1340" w:header="0" w:footer="381" w:gutter="0"/>
          <w:cols w:space="720"/>
        </w:sectPr>
      </w:pPr>
    </w:p>
    <w:p w:rsidR="004E13A5" w:rsidRDefault="00681463">
      <w:pPr>
        <w:pStyle w:val="Heading4"/>
        <w:spacing w:before="79"/>
        <w:ind w:left="2195"/>
      </w:pPr>
      <w:r>
        <w:lastRenderedPageBreak/>
        <w:t>PART III: THE HCV ADMINISTRATIVE PLAN</w:t>
      </w:r>
    </w:p>
    <w:p w:rsidR="004E13A5" w:rsidRDefault="004E13A5">
      <w:pPr>
        <w:pStyle w:val="BodyText"/>
        <w:spacing w:before="9"/>
        <w:ind w:left="0"/>
        <w:rPr>
          <w:b/>
          <w:sz w:val="20"/>
        </w:rPr>
      </w:pPr>
    </w:p>
    <w:p w:rsidR="004E13A5" w:rsidRDefault="00681463">
      <w:pPr>
        <w:ind w:left="100"/>
        <w:rPr>
          <w:b/>
          <w:sz w:val="24"/>
        </w:rPr>
      </w:pPr>
      <w:r>
        <w:rPr>
          <w:b/>
          <w:sz w:val="24"/>
        </w:rPr>
        <w:t>1-III.A. OVERVIEW AND PURPOSE OF THE PLAN</w:t>
      </w:r>
    </w:p>
    <w:p w:rsidR="004E13A5" w:rsidRDefault="00681463">
      <w:pPr>
        <w:pStyle w:val="BodyText"/>
        <w:ind w:right="202"/>
      </w:pPr>
      <w:r>
        <w:t>The administrative plan is required by HUD. The purpose of the administrative plan is to establish policies for carrying out the programs in a manner consistent with HUD requirements and local goals and objectives contained in the PHA’s agency plan. This administrative plan is a supporting document to the PHA agency plan, and is available for public review as required by CFR 24 Part 903.</w:t>
      </w:r>
    </w:p>
    <w:p w:rsidR="004E13A5" w:rsidRDefault="00681463">
      <w:pPr>
        <w:pStyle w:val="BodyText"/>
        <w:ind w:right="142"/>
      </w:pPr>
      <w:r>
        <w:t>This administrative plan is set forth to define the PHA's local policies for operation of the housing programs in accordance with federal laws and regulations. All issues related to the HCV program not addressed in this document are governed by such federal regulations, HUD handbooks and guidebooks, notices, and other applicable law. The policies in this administrative plan have been designed to ensure compliance with the consolidated ACC and all HUD- approved applications for program funding.</w:t>
      </w:r>
    </w:p>
    <w:p w:rsidR="004E13A5" w:rsidRDefault="00681463">
      <w:pPr>
        <w:pStyle w:val="BodyText"/>
        <w:ind w:right="262"/>
      </w:pPr>
      <w:r>
        <w:t>The PHA is responsible for complying with all changes in HUD regulations pertaining to the HCV program. If such changes conflict with this plan, HUD regulations will have precedence.</w:t>
      </w:r>
    </w:p>
    <w:p w:rsidR="004E13A5" w:rsidRDefault="00681463">
      <w:pPr>
        <w:pStyle w:val="BodyText"/>
        <w:ind w:right="237"/>
        <w:jc w:val="both"/>
      </w:pPr>
      <w:r>
        <w:t>Administration of the HCV program and the functions and responsibilities of PHA staff shall</w:t>
      </w:r>
      <w:r>
        <w:rPr>
          <w:spacing w:val="-17"/>
        </w:rPr>
        <w:t xml:space="preserve"> </w:t>
      </w:r>
      <w:r>
        <w:t>be in compliance with the PHA's personnel policy and HUD regulations as well as all federal, state and local fair housing laws and</w:t>
      </w:r>
      <w:r>
        <w:rPr>
          <w:spacing w:val="-11"/>
        </w:rPr>
        <w:t xml:space="preserve"> </w:t>
      </w:r>
      <w:r>
        <w:t>regulations.</w:t>
      </w:r>
    </w:p>
    <w:p w:rsidR="004E13A5" w:rsidRDefault="004E13A5">
      <w:pPr>
        <w:pStyle w:val="BodyText"/>
        <w:spacing w:before="9"/>
        <w:ind w:left="0"/>
        <w:rPr>
          <w:sz w:val="20"/>
        </w:rPr>
      </w:pPr>
    </w:p>
    <w:p w:rsidR="004E13A5" w:rsidRDefault="00681463">
      <w:pPr>
        <w:pStyle w:val="Heading4"/>
      </w:pPr>
      <w:r>
        <w:t>1-III.B. CONTENTS OF THE PLAN [24 CFR 982.54]</w:t>
      </w:r>
    </w:p>
    <w:p w:rsidR="004E13A5" w:rsidRDefault="00681463">
      <w:pPr>
        <w:pStyle w:val="BodyText"/>
        <w:ind w:right="1054"/>
      </w:pPr>
      <w:r>
        <w:t>The HUD regulations at 24 CFR 982.54 define the policies that must be included in the administrative plan. They are as follow:</w:t>
      </w:r>
    </w:p>
    <w:p w:rsidR="004E13A5" w:rsidRDefault="00681463">
      <w:pPr>
        <w:pStyle w:val="ListParagraph"/>
        <w:numPr>
          <w:ilvl w:val="0"/>
          <w:numId w:val="93"/>
        </w:numPr>
        <w:tabs>
          <w:tab w:val="left" w:pos="460"/>
          <w:tab w:val="left" w:pos="461"/>
        </w:tabs>
        <w:ind w:right="377"/>
        <w:rPr>
          <w:rFonts w:ascii="Symbol"/>
          <w:sz w:val="24"/>
        </w:rPr>
      </w:pPr>
      <w:r>
        <w:rPr>
          <w:sz w:val="24"/>
        </w:rPr>
        <w:t>Selection and admission of applicants from the PHA waiting list, including any PHA admission preferences, procedures for removing applicant names from the waiting list,</w:t>
      </w:r>
      <w:r>
        <w:rPr>
          <w:spacing w:val="-16"/>
          <w:sz w:val="24"/>
        </w:rPr>
        <w:t xml:space="preserve"> </w:t>
      </w:r>
      <w:r>
        <w:rPr>
          <w:sz w:val="24"/>
        </w:rPr>
        <w:t>and procedures for closing and reopening the PHA waiting list (Chapter</w:t>
      </w:r>
      <w:r>
        <w:rPr>
          <w:spacing w:val="-12"/>
          <w:sz w:val="24"/>
        </w:rPr>
        <w:t xml:space="preserve"> </w:t>
      </w:r>
      <w:r>
        <w:rPr>
          <w:sz w:val="24"/>
        </w:rPr>
        <w:t>4);</w:t>
      </w:r>
    </w:p>
    <w:p w:rsidR="004E13A5" w:rsidRDefault="00681463">
      <w:pPr>
        <w:pStyle w:val="ListParagraph"/>
        <w:numPr>
          <w:ilvl w:val="0"/>
          <w:numId w:val="93"/>
        </w:numPr>
        <w:tabs>
          <w:tab w:val="left" w:pos="460"/>
          <w:tab w:val="left" w:pos="461"/>
        </w:tabs>
        <w:ind w:right="270"/>
        <w:rPr>
          <w:rFonts w:ascii="Symbol"/>
          <w:sz w:val="24"/>
        </w:rPr>
      </w:pPr>
      <w:r>
        <w:rPr>
          <w:sz w:val="24"/>
        </w:rPr>
        <w:t>Issuing or denying vouchers, including PHA policy governing the voucher term and any extensions of the voucher term. If the PHA decides to allow extensions of the voucher</w:t>
      </w:r>
      <w:r>
        <w:rPr>
          <w:spacing w:val="-17"/>
          <w:sz w:val="24"/>
        </w:rPr>
        <w:t xml:space="preserve"> </w:t>
      </w:r>
      <w:r>
        <w:rPr>
          <w:sz w:val="24"/>
        </w:rPr>
        <w:t>term, the PHA administrative plan must describe how the PHA determines whether to grant extensions, and how the PHA determines the length of any extension (Chapter</w:t>
      </w:r>
      <w:r>
        <w:rPr>
          <w:spacing w:val="-13"/>
          <w:sz w:val="24"/>
        </w:rPr>
        <w:t xml:space="preserve"> </w:t>
      </w:r>
      <w:r>
        <w:rPr>
          <w:sz w:val="24"/>
        </w:rPr>
        <w:t>5);</w:t>
      </w:r>
    </w:p>
    <w:p w:rsidR="004E13A5" w:rsidRDefault="00681463">
      <w:pPr>
        <w:pStyle w:val="ListParagraph"/>
        <w:numPr>
          <w:ilvl w:val="0"/>
          <w:numId w:val="93"/>
        </w:numPr>
        <w:tabs>
          <w:tab w:val="left" w:pos="460"/>
          <w:tab w:val="left" w:pos="461"/>
        </w:tabs>
        <w:ind w:right="314"/>
        <w:rPr>
          <w:rFonts w:ascii="Symbol"/>
          <w:sz w:val="24"/>
        </w:rPr>
      </w:pPr>
      <w:r>
        <w:rPr>
          <w:sz w:val="24"/>
        </w:rPr>
        <w:t>Any special rules for use of available funds when HUD provides funding to the PHA for a special purpose (e.g., desegregation), including funding for specified families or a</w:t>
      </w:r>
      <w:r>
        <w:rPr>
          <w:spacing w:val="-20"/>
          <w:sz w:val="24"/>
        </w:rPr>
        <w:t xml:space="preserve"> </w:t>
      </w:r>
      <w:r>
        <w:rPr>
          <w:sz w:val="24"/>
        </w:rPr>
        <w:t>specified category of families (Chapter</w:t>
      </w:r>
      <w:r>
        <w:rPr>
          <w:spacing w:val="-10"/>
          <w:sz w:val="24"/>
        </w:rPr>
        <w:t xml:space="preserve"> </w:t>
      </w:r>
      <w:r>
        <w:rPr>
          <w:sz w:val="24"/>
        </w:rPr>
        <w:t>4);</w:t>
      </w:r>
    </w:p>
    <w:p w:rsidR="004E13A5" w:rsidRDefault="00681463">
      <w:pPr>
        <w:pStyle w:val="ListParagraph"/>
        <w:numPr>
          <w:ilvl w:val="0"/>
          <w:numId w:val="93"/>
        </w:numPr>
        <w:tabs>
          <w:tab w:val="left" w:pos="460"/>
          <w:tab w:val="left" w:pos="461"/>
        </w:tabs>
        <w:ind w:right="116"/>
        <w:rPr>
          <w:rFonts w:ascii="Symbol"/>
          <w:sz w:val="24"/>
        </w:rPr>
      </w:pPr>
      <w:r>
        <w:rPr>
          <w:sz w:val="24"/>
        </w:rPr>
        <w:t>Occupancy policies, including definition of what group of persons may qualify as a 'family', definition of when a family is considered to be 'continuously assisted'; standards for denying admission or terminating assistance based on criminal activity or alcohol abuse in</w:t>
      </w:r>
      <w:r>
        <w:rPr>
          <w:spacing w:val="-16"/>
          <w:sz w:val="24"/>
        </w:rPr>
        <w:t xml:space="preserve"> </w:t>
      </w:r>
      <w:r>
        <w:rPr>
          <w:sz w:val="24"/>
        </w:rPr>
        <w:t>accordance with 982.553 (Chapters 3 and</w:t>
      </w:r>
      <w:r>
        <w:rPr>
          <w:spacing w:val="-3"/>
          <w:sz w:val="24"/>
        </w:rPr>
        <w:t xml:space="preserve"> </w:t>
      </w:r>
      <w:r>
        <w:rPr>
          <w:sz w:val="24"/>
        </w:rPr>
        <w:t>12);</w:t>
      </w:r>
    </w:p>
    <w:p w:rsidR="004E13A5" w:rsidRDefault="00681463">
      <w:pPr>
        <w:pStyle w:val="ListParagraph"/>
        <w:numPr>
          <w:ilvl w:val="0"/>
          <w:numId w:val="93"/>
        </w:numPr>
        <w:tabs>
          <w:tab w:val="left" w:pos="460"/>
          <w:tab w:val="left" w:pos="461"/>
        </w:tabs>
        <w:ind w:right="189"/>
        <w:rPr>
          <w:rFonts w:ascii="Symbol"/>
          <w:sz w:val="24"/>
        </w:rPr>
      </w:pPr>
      <w:r>
        <w:rPr>
          <w:sz w:val="24"/>
        </w:rPr>
        <w:t>Encouraging participation by owners of suitable units located outside areas of low income</w:t>
      </w:r>
      <w:r>
        <w:rPr>
          <w:spacing w:val="-15"/>
          <w:sz w:val="24"/>
        </w:rPr>
        <w:t xml:space="preserve"> </w:t>
      </w:r>
      <w:r>
        <w:rPr>
          <w:sz w:val="24"/>
        </w:rPr>
        <w:t>or minority concentration (Chapter</w:t>
      </w:r>
      <w:r>
        <w:rPr>
          <w:spacing w:val="-9"/>
          <w:sz w:val="24"/>
        </w:rPr>
        <w:t xml:space="preserve"> </w:t>
      </w:r>
      <w:r>
        <w:rPr>
          <w:sz w:val="24"/>
        </w:rPr>
        <w:t>13);</w:t>
      </w:r>
    </w:p>
    <w:p w:rsidR="004E13A5" w:rsidRDefault="00681463">
      <w:pPr>
        <w:pStyle w:val="ListParagraph"/>
        <w:numPr>
          <w:ilvl w:val="0"/>
          <w:numId w:val="93"/>
        </w:numPr>
        <w:tabs>
          <w:tab w:val="left" w:pos="460"/>
          <w:tab w:val="left" w:pos="461"/>
        </w:tabs>
        <w:ind w:right="768"/>
        <w:rPr>
          <w:rFonts w:ascii="Symbol"/>
          <w:sz w:val="24"/>
        </w:rPr>
      </w:pPr>
      <w:r>
        <w:rPr>
          <w:sz w:val="24"/>
        </w:rPr>
        <w:t>Assisting a family that claims that illegal discrimination has prevented the family</w:t>
      </w:r>
      <w:r>
        <w:rPr>
          <w:spacing w:val="-15"/>
          <w:sz w:val="24"/>
        </w:rPr>
        <w:t xml:space="preserve"> </w:t>
      </w:r>
      <w:r>
        <w:rPr>
          <w:sz w:val="24"/>
        </w:rPr>
        <w:t>from leasing a suitable unit (Chapter</w:t>
      </w:r>
      <w:r>
        <w:rPr>
          <w:spacing w:val="-7"/>
          <w:sz w:val="24"/>
        </w:rPr>
        <w:t xml:space="preserve"> </w:t>
      </w:r>
      <w:r>
        <w:rPr>
          <w:sz w:val="24"/>
        </w:rPr>
        <w:t>2);</w:t>
      </w:r>
    </w:p>
    <w:p w:rsidR="004E13A5" w:rsidRDefault="00681463">
      <w:pPr>
        <w:pStyle w:val="ListParagraph"/>
        <w:numPr>
          <w:ilvl w:val="0"/>
          <w:numId w:val="93"/>
        </w:numPr>
        <w:tabs>
          <w:tab w:val="left" w:pos="460"/>
          <w:tab w:val="left" w:pos="461"/>
        </w:tabs>
        <w:rPr>
          <w:rFonts w:ascii="Symbol"/>
          <w:sz w:val="24"/>
        </w:rPr>
      </w:pPr>
      <w:r>
        <w:rPr>
          <w:sz w:val="24"/>
        </w:rPr>
        <w:t>Providing information about a family to prospective owners (Chapters 3 and</w:t>
      </w:r>
      <w:r>
        <w:rPr>
          <w:spacing w:val="-8"/>
          <w:sz w:val="24"/>
        </w:rPr>
        <w:t xml:space="preserve"> </w:t>
      </w:r>
      <w:r>
        <w:rPr>
          <w:sz w:val="24"/>
        </w:rPr>
        <w:t>9);</w:t>
      </w:r>
    </w:p>
    <w:p w:rsidR="004E13A5" w:rsidRDefault="004E13A5">
      <w:pPr>
        <w:rPr>
          <w:rFonts w:ascii="Symbol"/>
          <w:sz w:val="24"/>
        </w:rPr>
        <w:sectPr w:rsidR="004E13A5">
          <w:pgSz w:w="12240" w:h="15840"/>
          <w:pgMar w:top="1360" w:right="1340" w:bottom="640" w:left="1340" w:header="0" w:footer="381" w:gutter="0"/>
          <w:cols w:space="720"/>
        </w:sectPr>
      </w:pPr>
    </w:p>
    <w:p w:rsidR="004E13A5" w:rsidRDefault="00681463">
      <w:pPr>
        <w:pStyle w:val="ListParagraph"/>
        <w:numPr>
          <w:ilvl w:val="0"/>
          <w:numId w:val="93"/>
        </w:numPr>
        <w:tabs>
          <w:tab w:val="left" w:pos="460"/>
          <w:tab w:val="left" w:pos="461"/>
        </w:tabs>
        <w:spacing w:before="79"/>
        <w:rPr>
          <w:rFonts w:ascii="Symbol"/>
          <w:sz w:val="24"/>
        </w:rPr>
      </w:pPr>
      <w:r>
        <w:rPr>
          <w:sz w:val="24"/>
        </w:rPr>
        <w:lastRenderedPageBreak/>
        <w:t>Disapproval of owners (Chapter</w:t>
      </w:r>
      <w:r>
        <w:rPr>
          <w:spacing w:val="-7"/>
          <w:sz w:val="24"/>
        </w:rPr>
        <w:t xml:space="preserve"> </w:t>
      </w:r>
      <w:r>
        <w:rPr>
          <w:sz w:val="24"/>
        </w:rPr>
        <w:t>13);</w:t>
      </w:r>
    </w:p>
    <w:p w:rsidR="004E13A5" w:rsidRDefault="00681463">
      <w:pPr>
        <w:pStyle w:val="ListParagraph"/>
        <w:numPr>
          <w:ilvl w:val="0"/>
          <w:numId w:val="93"/>
        </w:numPr>
        <w:tabs>
          <w:tab w:val="left" w:pos="460"/>
          <w:tab w:val="left" w:pos="461"/>
        </w:tabs>
        <w:spacing w:before="118"/>
        <w:rPr>
          <w:rFonts w:ascii="Symbol"/>
          <w:sz w:val="24"/>
        </w:rPr>
      </w:pPr>
      <w:r>
        <w:rPr>
          <w:sz w:val="24"/>
        </w:rPr>
        <w:t>Subsidy standards (Chapter</w:t>
      </w:r>
      <w:r>
        <w:rPr>
          <w:spacing w:val="-10"/>
          <w:sz w:val="24"/>
        </w:rPr>
        <w:t xml:space="preserve"> </w:t>
      </w:r>
      <w:r>
        <w:rPr>
          <w:sz w:val="24"/>
        </w:rPr>
        <w:t>5);</w:t>
      </w:r>
    </w:p>
    <w:p w:rsidR="004E13A5" w:rsidRDefault="00681463">
      <w:pPr>
        <w:pStyle w:val="ListParagraph"/>
        <w:numPr>
          <w:ilvl w:val="0"/>
          <w:numId w:val="93"/>
        </w:numPr>
        <w:tabs>
          <w:tab w:val="left" w:pos="460"/>
          <w:tab w:val="left" w:pos="461"/>
        </w:tabs>
        <w:spacing w:before="118"/>
        <w:rPr>
          <w:rFonts w:ascii="Symbol"/>
          <w:sz w:val="24"/>
        </w:rPr>
      </w:pPr>
      <w:r>
        <w:rPr>
          <w:sz w:val="24"/>
        </w:rPr>
        <w:t>Family absence from the dwelling unit (Chapter 12)</w:t>
      </w:r>
      <w:r>
        <w:rPr>
          <w:spacing w:val="-13"/>
          <w:sz w:val="24"/>
        </w:rPr>
        <w:t xml:space="preserve"> </w:t>
      </w:r>
      <w:r>
        <w:rPr>
          <w:sz w:val="24"/>
        </w:rPr>
        <w:t>;</w:t>
      </w:r>
    </w:p>
    <w:p w:rsidR="004E13A5" w:rsidRDefault="00681463">
      <w:pPr>
        <w:pStyle w:val="ListParagraph"/>
        <w:numPr>
          <w:ilvl w:val="0"/>
          <w:numId w:val="93"/>
        </w:numPr>
        <w:tabs>
          <w:tab w:val="left" w:pos="460"/>
          <w:tab w:val="left" w:pos="461"/>
        </w:tabs>
        <w:spacing w:before="121"/>
        <w:rPr>
          <w:rFonts w:ascii="Symbol"/>
          <w:sz w:val="24"/>
        </w:rPr>
      </w:pPr>
      <w:r>
        <w:rPr>
          <w:sz w:val="24"/>
        </w:rPr>
        <w:t>How to determine who remains in the program if a family breaks up (Chapter</w:t>
      </w:r>
      <w:r>
        <w:rPr>
          <w:spacing w:val="-17"/>
          <w:sz w:val="24"/>
        </w:rPr>
        <w:t xml:space="preserve"> </w:t>
      </w:r>
      <w:r>
        <w:rPr>
          <w:sz w:val="24"/>
        </w:rPr>
        <w:t>3);</w:t>
      </w:r>
    </w:p>
    <w:p w:rsidR="004E13A5" w:rsidRDefault="00681463">
      <w:pPr>
        <w:pStyle w:val="ListParagraph"/>
        <w:numPr>
          <w:ilvl w:val="0"/>
          <w:numId w:val="93"/>
        </w:numPr>
        <w:tabs>
          <w:tab w:val="left" w:pos="460"/>
          <w:tab w:val="left" w:pos="461"/>
        </w:tabs>
        <w:spacing w:before="118"/>
        <w:rPr>
          <w:rFonts w:ascii="Symbol"/>
          <w:sz w:val="24"/>
        </w:rPr>
      </w:pPr>
      <w:r>
        <w:rPr>
          <w:sz w:val="24"/>
        </w:rPr>
        <w:t>Informal review procedures for applicants (Chapter</w:t>
      </w:r>
      <w:r>
        <w:rPr>
          <w:spacing w:val="-12"/>
          <w:sz w:val="24"/>
        </w:rPr>
        <w:t xml:space="preserve"> </w:t>
      </w:r>
      <w:r>
        <w:rPr>
          <w:sz w:val="24"/>
        </w:rPr>
        <w:t>16);</w:t>
      </w:r>
    </w:p>
    <w:p w:rsidR="004E13A5" w:rsidRDefault="00681463">
      <w:pPr>
        <w:pStyle w:val="ListParagraph"/>
        <w:numPr>
          <w:ilvl w:val="0"/>
          <w:numId w:val="93"/>
        </w:numPr>
        <w:tabs>
          <w:tab w:val="left" w:pos="460"/>
          <w:tab w:val="left" w:pos="461"/>
        </w:tabs>
        <w:spacing w:before="118"/>
        <w:rPr>
          <w:rFonts w:ascii="Symbol"/>
          <w:sz w:val="24"/>
        </w:rPr>
      </w:pPr>
      <w:r>
        <w:rPr>
          <w:sz w:val="24"/>
        </w:rPr>
        <w:t>Informal hearing procedures for participants (Chapter</w:t>
      </w:r>
      <w:r>
        <w:rPr>
          <w:spacing w:val="-12"/>
          <w:sz w:val="24"/>
        </w:rPr>
        <w:t xml:space="preserve"> </w:t>
      </w:r>
      <w:r>
        <w:rPr>
          <w:sz w:val="24"/>
        </w:rPr>
        <w:t>16);</w:t>
      </w:r>
    </w:p>
    <w:p w:rsidR="004E13A5" w:rsidRDefault="00681463">
      <w:pPr>
        <w:pStyle w:val="ListParagraph"/>
        <w:numPr>
          <w:ilvl w:val="0"/>
          <w:numId w:val="93"/>
        </w:numPr>
        <w:tabs>
          <w:tab w:val="left" w:pos="460"/>
          <w:tab w:val="left" w:pos="461"/>
        </w:tabs>
        <w:spacing w:before="118"/>
        <w:ind w:right="180"/>
        <w:rPr>
          <w:rFonts w:ascii="Symbol"/>
          <w:sz w:val="24"/>
        </w:rPr>
      </w:pPr>
      <w:r>
        <w:rPr>
          <w:sz w:val="24"/>
        </w:rPr>
        <w:t>The process for establishing and revising voucher payment standards, include policies on administering decreases in the payment standard during the HAP contract term (Chapter</w:t>
      </w:r>
      <w:r>
        <w:rPr>
          <w:spacing w:val="-11"/>
          <w:sz w:val="24"/>
        </w:rPr>
        <w:t xml:space="preserve"> </w:t>
      </w:r>
      <w:r>
        <w:rPr>
          <w:sz w:val="24"/>
        </w:rPr>
        <w:t>16);</w:t>
      </w:r>
    </w:p>
    <w:p w:rsidR="004E13A5" w:rsidRDefault="00681463">
      <w:pPr>
        <w:pStyle w:val="ListParagraph"/>
        <w:numPr>
          <w:ilvl w:val="0"/>
          <w:numId w:val="93"/>
        </w:numPr>
        <w:tabs>
          <w:tab w:val="left" w:pos="460"/>
          <w:tab w:val="left" w:pos="461"/>
        </w:tabs>
        <w:ind w:right="471"/>
        <w:rPr>
          <w:rFonts w:ascii="Symbol"/>
          <w:sz w:val="24"/>
        </w:rPr>
      </w:pPr>
      <w:r>
        <w:rPr>
          <w:sz w:val="24"/>
        </w:rPr>
        <w:t>The method of determining that rent to owner is a reasonable rent (initially and during</w:t>
      </w:r>
      <w:r>
        <w:rPr>
          <w:spacing w:val="-17"/>
          <w:sz w:val="24"/>
        </w:rPr>
        <w:t xml:space="preserve"> </w:t>
      </w:r>
      <w:r>
        <w:rPr>
          <w:sz w:val="24"/>
        </w:rPr>
        <w:t>the term of a HAP contract) (Chapter</w:t>
      </w:r>
      <w:r>
        <w:rPr>
          <w:spacing w:val="-10"/>
          <w:sz w:val="24"/>
        </w:rPr>
        <w:t xml:space="preserve"> </w:t>
      </w:r>
      <w:r>
        <w:rPr>
          <w:sz w:val="24"/>
        </w:rPr>
        <w:t>8);</w:t>
      </w:r>
    </w:p>
    <w:p w:rsidR="004E13A5" w:rsidRDefault="00681463">
      <w:pPr>
        <w:pStyle w:val="ListParagraph"/>
        <w:numPr>
          <w:ilvl w:val="0"/>
          <w:numId w:val="93"/>
        </w:numPr>
        <w:tabs>
          <w:tab w:val="left" w:pos="460"/>
          <w:tab w:val="left" w:pos="461"/>
        </w:tabs>
        <w:ind w:right="100"/>
        <w:rPr>
          <w:rFonts w:ascii="Symbol"/>
          <w:sz w:val="24"/>
        </w:rPr>
      </w:pPr>
      <w:r>
        <w:rPr>
          <w:sz w:val="24"/>
        </w:rPr>
        <w:t>Special policies concerning special housing types in the program (e.g., use of shared housing) (Chapter</w:t>
      </w:r>
      <w:r>
        <w:rPr>
          <w:spacing w:val="-3"/>
          <w:sz w:val="24"/>
        </w:rPr>
        <w:t xml:space="preserve"> </w:t>
      </w:r>
      <w:r>
        <w:rPr>
          <w:sz w:val="24"/>
        </w:rPr>
        <w:t>15);</w:t>
      </w:r>
    </w:p>
    <w:p w:rsidR="004E13A5" w:rsidRDefault="00681463">
      <w:pPr>
        <w:pStyle w:val="ListParagraph"/>
        <w:numPr>
          <w:ilvl w:val="0"/>
          <w:numId w:val="93"/>
        </w:numPr>
        <w:tabs>
          <w:tab w:val="left" w:pos="460"/>
          <w:tab w:val="left" w:pos="461"/>
        </w:tabs>
        <w:ind w:right="417"/>
        <w:rPr>
          <w:rFonts w:ascii="Symbol"/>
          <w:sz w:val="24"/>
        </w:rPr>
      </w:pPr>
      <w:r>
        <w:rPr>
          <w:sz w:val="24"/>
        </w:rPr>
        <w:t>Policies concerning payment by a family to the PHA of amounts the family owes the</w:t>
      </w:r>
      <w:r>
        <w:rPr>
          <w:spacing w:val="-19"/>
          <w:sz w:val="24"/>
        </w:rPr>
        <w:t xml:space="preserve"> </w:t>
      </w:r>
      <w:r>
        <w:rPr>
          <w:sz w:val="24"/>
        </w:rPr>
        <w:t>PHA (Chapter</w:t>
      </w:r>
      <w:r>
        <w:rPr>
          <w:spacing w:val="-3"/>
          <w:sz w:val="24"/>
        </w:rPr>
        <w:t xml:space="preserve"> </w:t>
      </w:r>
      <w:r>
        <w:rPr>
          <w:sz w:val="24"/>
        </w:rPr>
        <w:t>16);</w:t>
      </w:r>
    </w:p>
    <w:p w:rsidR="004E13A5" w:rsidRDefault="00681463">
      <w:pPr>
        <w:pStyle w:val="ListParagraph"/>
        <w:numPr>
          <w:ilvl w:val="0"/>
          <w:numId w:val="93"/>
        </w:numPr>
        <w:tabs>
          <w:tab w:val="left" w:pos="460"/>
          <w:tab w:val="left" w:pos="461"/>
        </w:tabs>
        <w:rPr>
          <w:rFonts w:ascii="Symbol"/>
          <w:sz w:val="24"/>
        </w:rPr>
      </w:pPr>
      <w:r>
        <w:rPr>
          <w:sz w:val="24"/>
        </w:rPr>
        <w:t>Interim redeterminations of family income and composition (Chapter</w:t>
      </w:r>
      <w:r>
        <w:rPr>
          <w:spacing w:val="-12"/>
          <w:sz w:val="24"/>
        </w:rPr>
        <w:t xml:space="preserve"> </w:t>
      </w:r>
      <w:r>
        <w:rPr>
          <w:sz w:val="24"/>
        </w:rPr>
        <w:t>11);</w:t>
      </w:r>
    </w:p>
    <w:p w:rsidR="004E13A5" w:rsidRDefault="00681463">
      <w:pPr>
        <w:pStyle w:val="ListParagraph"/>
        <w:numPr>
          <w:ilvl w:val="0"/>
          <w:numId w:val="93"/>
        </w:numPr>
        <w:tabs>
          <w:tab w:val="left" w:pos="460"/>
          <w:tab w:val="left" w:pos="461"/>
        </w:tabs>
        <w:spacing w:before="118"/>
        <w:rPr>
          <w:rFonts w:ascii="Symbol"/>
          <w:sz w:val="24"/>
        </w:rPr>
      </w:pPr>
      <w:r>
        <w:rPr>
          <w:sz w:val="24"/>
        </w:rPr>
        <w:t>Restrictions, if any, on the number of moves by a participant family (Chapter</w:t>
      </w:r>
      <w:r>
        <w:rPr>
          <w:spacing w:val="-12"/>
          <w:sz w:val="24"/>
        </w:rPr>
        <w:t xml:space="preserve"> </w:t>
      </w:r>
      <w:r>
        <w:rPr>
          <w:sz w:val="24"/>
        </w:rPr>
        <w:t>10);</w:t>
      </w:r>
    </w:p>
    <w:p w:rsidR="004E13A5" w:rsidRDefault="00681463">
      <w:pPr>
        <w:pStyle w:val="ListParagraph"/>
        <w:numPr>
          <w:ilvl w:val="0"/>
          <w:numId w:val="93"/>
        </w:numPr>
        <w:tabs>
          <w:tab w:val="left" w:pos="460"/>
          <w:tab w:val="left" w:pos="461"/>
        </w:tabs>
        <w:spacing w:before="118"/>
        <w:ind w:right="1143"/>
        <w:rPr>
          <w:rFonts w:ascii="Symbol"/>
          <w:sz w:val="24"/>
        </w:rPr>
      </w:pPr>
      <w:r>
        <w:rPr>
          <w:sz w:val="24"/>
        </w:rPr>
        <w:t xml:space="preserve">Approval </w:t>
      </w:r>
      <w:r>
        <w:rPr>
          <w:spacing w:val="2"/>
          <w:sz w:val="24"/>
        </w:rPr>
        <w:t xml:space="preserve">by </w:t>
      </w:r>
      <w:r>
        <w:rPr>
          <w:sz w:val="24"/>
        </w:rPr>
        <w:t>the board of commissioners or other authorized officials to charge</w:t>
      </w:r>
      <w:r>
        <w:rPr>
          <w:spacing w:val="-19"/>
          <w:sz w:val="24"/>
        </w:rPr>
        <w:t xml:space="preserve"> </w:t>
      </w:r>
      <w:r>
        <w:rPr>
          <w:sz w:val="24"/>
        </w:rPr>
        <w:t>the administrative fee reserve (Chapter</w:t>
      </w:r>
      <w:r>
        <w:rPr>
          <w:spacing w:val="-7"/>
          <w:sz w:val="24"/>
        </w:rPr>
        <w:t xml:space="preserve"> </w:t>
      </w:r>
      <w:r>
        <w:rPr>
          <w:sz w:val="24"/>
        </w:rPr>
        <w:t>16);</w:t>
      </w:r>
    </w:p>
    <w:p w:rsidR="004E13A5" w:rsidRDefault="00681463">
      <w:pPr>
        <w:pStyle w:val="ListParagraph"/>
        <w:numPr>
          <w:ilvl w:val="0"/>
          <w:numId w:val="93"/>
        </w:numPr>
        <w:tabs>
          <w:tab w:val="left" w:pos="460"/>
          <w:tab w:val="left" w:pos="461"/>
        </w:tabs>
        <w:ind w:right="494"/>
        <w:rPr>
          <w:rFonts w:ascii="Symbol"/>
          <w:sz w:val="24"/>
        </w:rPr>
      </w:pPr>
      <w:r>
        <w:rPr>
          <w:sz w:val="24"/>
        </w:rPr>
        <w:t>Procedural guidelines and performance standards for conducting required housing</w:t>
      </w:r>
      <w:r>
        <w:rPr>
          <w:spacing w:val="-13"/>
          <w:sz w:val="24"/>
        </w:rPr>
        <w:t xml:space="preserve"> </w:t>
      </w:r>
      <w:r>
        <w:rPr>
          <w:sz w:val="24"/>
        </w:rPr>
        <w:t>quality standards inspections (Chapter 8);</w:t>
      </w:r>
      <w:r>
        <w:rPr>
          <w:spacing w:val="-8"/>
          <w:sz w:val="24"/>
        </w:rPr>
        <w:t xml:space="preserve"> </w:t>
      </w:r>
      <w:r>
        <w:rPr>
          <w:sz w:val="24"/>
        </w:rPr>
        <w:t>and</w:t>
      </w:r>
    </w:p>
    <w:p w:rsidR="004E13A5" w:rsidRDefault="00681463">
      <w:pPr>
        <w:pStyle w:val="ListParagraph"/>
        <w:numPr>
          <w:ilvl w:val="0"/>
          <w:numId w:val="93"/>
        </w:numPr>
        <w:tabs>
          <w:tab w:val="left" w:pos="460"/>
          <w:tab w:val="left" w:pos="461"/>
        </w:tabs>
        <w:rPr>
          <w:rFonts w:ascii="Symbol"/>
          <w:sz w:val="24"/>
        </w:rPr>
      </w:pPr>
      <w:r>
        <w:rPr>
          <w:sz w:val="24"/>
        </w:rPr>
        <w:t>PHA screening of applicants for family behavior or suitability for tenancy (Chapter</w:t>
      </w:r>
      <w:r>
        <w:rPr>
          <w:spacing w:val="-18"/>
          <w:sz w:val="24"/>
        </w:rPr>
        <w:t xml:space="preserve"> </w:t>
      </w:r>
      <w:r>
        <w:rPr>
          <w:sz w:val="24"/>
        </w:rPr>
        <w:t>3).</w:t>
      </w:r>
    </w:p>
    <w:p w:rsidR="004E13A5" w:rsidRDefault="00681463">
      <w:pPr>
        <w:pStyle w:val="Heading4"/>
        <w:spacing w:before="118"/>
      </w:pPr>
      <w:r>
        <w:t>Mandatory vs. Discretionary Policy</w:t>
      </w:r>
    </w:p>
    <w:p w:rsidR="004E13A5" w:rsidRDefault="00681463">
      <w:pPr>
        <w:pStyle w:val="BodyText"/>
      </w:pPr>
      <w:r>
        <w:t>HUD makes a distinction between:</w:t>
      </w:r>
    </w:p>
    <w:p w:rsidR="004E13A5" w:rsidRDefault="00681463">
      <w:pPr>
        <w:pStyle w:val="ListParagraph"/>
        <w:numPr>
          <w:ilvl w:val="0"/>
          <w:numId w:val="93"/>
        </w:numPr>
        <w:tabs>
          <w:tab w:val="left" w:pos="460"/>
          <w:tab w:val="left" w:pos="461"/>
        </w:tabs>
        <w:ind w:right="1429"/>
        <w:rPr>
          <w:rFonts w:ascii="Symbol"/>
          <w:sz w:val="24"/>
        </w:rPr>
      </w:pPr>
      <w:r>
        <w:rPr>
          <w:sz w:val="24"/>
          <w:u w:val="single"/>
        </w:rPr>
        <w:t>Mandatory policies</w:t>
      </w:r>
      <w:r>
        <w:rPr>
          <w:sz w:val="24"/>
        </w:rPr>
        <w:t>: those driven by legislation, regulations, current</w:t>
      </w:r>
      <w:r>
        <w:rPr>
          <w:spacing w:val="-14"/>
          <w:sz w:val="24"/>
        </w:rPr>
        <w:t xml:space="preserve"> </w:t>
      </w:r>
      <w:r>
        <w:rPr>
          <w:sz w:val="24"/>
        </w:rPr>
        <w:t>handbooks, notices, and legal opinions,</w:t>
      </w:r>
      <w:r>
        <w:rPr>
          <w:spacing w:val="-6"/>
          <w:sz w:val="24"/>
        </w:rPr>
        <w:t xml:space="preserve"> </w:t>
      </w:r>
      <w:r>
        <w:rPr>
          <w:sz w:val="24"/>
        </w:rPr>
        <w:t>and</w:t>
      </w:r>
    </w:p>
    <w:p w:rsidR="004E13A5" w:rsidRDefault="00681463">
      <w:pPr>
        <w:pStyle w:val="ListParagraph"/>
        <w:numPr>
          <w:ilvl w:val="0"/>
          <w:numId w:val="93"/>
        </w:numPr>
        <w:tabs>
          <w:tab w:val="left" w:pos="460"/>
          <w:tab w:val="left" w:pos="461"/>
        </w:tabs>
        <w:ind w:right="926"/>
        <w:rPr>
          <w:rFonts w:ascii="Symbol"/>
          <w:sz w:val="24"/>
        </w:rPr>
      </w:pPr>
      <w:r>
        <w:rPr>
          <w:sz w:val="24"/>
          <w:u w:val="single"/>
        </w:rPr>
        <w:t>Optional, non-binding guidance</w:t>
      </w:r>
      <w:r>
        <w:rPr>
          <w:sz w:val="24"/>
        </w:rPr>
        <w:t>, including guidebooks, notices that have expired and recommendations from individual HUD</w:t>
      </w:r>
      <w:r>
        <w:rPr>
          <w:spacing w:val="-9"/>
          <w:sz w:val="24"/>
        </w:rPr>
        <w:t xml:space="preserve"> </w:t>
      </w:r>
      <w:r>
        <w:rPr>
          <w:sz w:val="24"/>
        </w:rPr>
        <w:t>staff.</w:t>
      </w:r>
    </w:p>
    <w:p w:rsidR="004E13A5" w:rsidRDefault="00681463">
      <w:pPr>
        <w:pStyle w:val="BodyText"/>
        <w:ind w:right="449"/>
      </w:pPr>
      <w:r>
        <w:t>HUD expects PHAs to adopt local policies and procedures that are consistent with mandatory policies in areas where HUD gives the PHA discretion. The PHA's administrative plan is the foundation of those policies and procedures. HUD’s directions require PHAs to make policy choices that provide sufficient guidance to staff and ensure consistency to program applicants and participants.</w:t>
      </w:r>
    </w:p>
    <w:p w:rsidR="004E13A5" w:rsidRDefault="00681463">
      <w:pPr>
        <w:pStyle w:val="BodyText"/>
      </w:pPr>
      <w:r>
        <w:t>Creating policies based upon HUD guidance is not mandatory, but provides a PHA with a “safe harbor.” HUD has already determined that the recommendations and suggestions it makes are consistent with mandatory policies. If a PHA adopts an alternative strategy, it must make its own determination that the alternative approach is consistent with legislation, regulations, and other mandatory requirements. There may be very good reasons for adopting a policy or procedure that is different than HUD’s safe harbor, but PHAs should carefully think through those decisions.</w:t>
      </w:r>
    </w:p>
    <w:p w:rsidR="004E13A5" w:rsidRDefault="004E13A5">
      <w:pPr>
        <w:sectPr w:rsidR="004E13A5">
          <w:pgSz w:w="12240" w:h="15840"/>
          <w:pgMar w:top="1360" w:right="1340" w:bottom="640" w:left="1340" w:header="0" w:footer="381" w:gutter="0"/>
          <w:cols w:space="720"/>
        </w:sectPr>
      </w:pPr>
    </w:p>
    <w:p w:rsidR="004E13A5" w:rsidRDefault="00681463">
      <w:pPr>
        <w:pStyle w:val="Heading4"/>
        <w:spacing w:before="79"/>
      </w:pPr>
      <w:r>
        <w:lastRenderedPageBreak/>
        <w:t>1-III.C. ORGANIZATION OF THE PLAN</w:t>
      </w:r>
    </w:p>
    <w:p w:rsidR="004E13A5" w:rsidRDefault="00681463">
      <w:pPr>
        <w:pStyle w:val="BodyText"/>
      </w:pPr>
      <w:r>
        <w:t>The plan is organized to provide information to users in particular areas of operation.</w:t>
      </w:r>
    </w:p>
    <w:p w:rsidR="004E13A5" w:rsidRDefault="004E13A5">
      <w:pPr>
        <w:pStyle w:val="BodyText"/>
        <w:spacing w:before="9"/>
        <w:ind w:left="0"/>
        <w:rPr>
          <w:sz w:val="20"/>
        </w:rPr>
      </w:pPr>
    </w:p>
    <w:p w:rsidR="004E13A5" w:rsidRDefault="00681463">
      <w:pPr>
        <w:pStyle w:val="Heading4"/>
      </w:pPr>
      <w:r>
        <w:t>1-III.D. UPDATING AND REVISING THE PLAN</w:t>
      </w:r>
    </w:p>
    <w:p w:rsidR="004E13A5" w:rsidRDefault="00681463">
      <w:pPr>
        <w:pStyle w:val="BodyText"/>
      </w:pPr>
      <w:r>
        <w:t>The PHA will revise this administrative plan as needed to comply with changes in HUD regulations. The original plan and any changes must be approved by the board of commissioners of the agency, the pertinent sections included in the Agency Plan, and a copy provided to HUD.</w:t>
      </w:r>
    </w:p>
    <w:p w:rsidR="004E13A5" w:rsidRDefault="00681463">
      <w:pPr>
        <w:pStyle w:val="BodyText"/>
        <w:ind w:left="820"/>
      </w:pPr>
      <w:r>
        <w:rPr>
          <w:u w:val="single"/>
        </w:rPr>
        <w:t>PHA Policy</w:t>
      </w:r>
    </w:p>
    <w:p w:rsidR="004E13A5" w:rsidRDefault="00681463">
      <w:pPr>
        <w:pStyle w:val="BodyText"/>
        <w:ind w:left="820" w:right="182"/>
      </w:pPr>
      <w:r>
        <w:t>The PHA will review and update the plan as needed, to reflect changes in regulations, PHA operations, or when needed to ensure staff consistency in operation. The PHA will follow HUD guidance regarding providing updated plans to their office.</w:t>
      </w:r>
    </w:p>
    <w:p w:rsidR="004E13A5" w:rsidRDefault="004E13A5">
      <w:pPr>
        <w:sectPr w:rsidR="004E13A5">
          <w:pgSz w:w="12240" w:h="15840"/>
          <w:pgMar w:top="1360" w:right="1420" w:bottom="640" w:left="1340" w:header="0" w:footer="381"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4"/>
        <w:ind w:left="0"/>
        <w:rPr>
          <w:sz w:val="27"/>
        </w:rPr>
      </w:pPr>
    </w:p>
    <w:p w:rsidR="004E13A5" w:rsidRDefault="00681463">
      <w:pPr>
        <w:pStyle w:val="Heading4"/>
      </w:pPr>
      <w:r>
        <w:rPr>
          <w:spacing w:val="-1"/>
        </w:rPr>
        <w:t>INTRODUCTION</w:t>
      </w:r>
    </w:p>
    <w:p w:rsidR="004E13A5" w:rsidRDefault="00681463">
      <w:pPr>
        <w:spacing w:before="179"/>
        <w:ind w:left="78" w:right="2205"/>
        <w:jc w:val="center"/>
        <w:rPr>
          <w:b/>
          <w:sz w:val="24"/>
        </w:rPr>
      </w:pPr>
      <w:r>
        <w:br w:type="column"/>
      </w:r>
      <w:r>
        <w:rPr>
          <w:b/>
          <w:sz w:val="24"/>
        </w:rPr>
        <w:t>Chapter 2</w:t>
      </w:r>
    </w:p>
    <w:p w:rsidR="004E13A5" w:rsidRDefault="004E13A5">
      <w:pPr>
        <w:pStyle w:val="BodyText"/>
        <w:spacing w:before="9"/>
        <w:ind w:left="0"/>
        <w:rPr>
          <w:b/>
          <w:sz w:val="20"/>
        </w:rPr>
      </w:pPr>
    </w:p>
    <w:p w:rsidR="004E13A5" w:rsidRDefault="00681463">
      <w:pPr>
        <w:ind w:left="81" w:right="2205"/>
        <w:jc w:val="center"/>
        <w:rPr>
          <w:b/>
          <w:sz w:val="24"/>
        </w:rPr>
      </w:pPr>
      <w:r>
        <w:rPr>
          <w:b/>
          <w:sz w:val="24"/>
        </w:rPr>
        <w:t>FAIR HOUSING AND EQUAL OPPORTUNITY</w:t>
      </w:r>
    </w:p>
    <w:p w:rsidR="004E13A5" w:rsidRDefault="004E13A5">
      <w:pPr>
        <w:jc w:val="center"/>
        <w:rPr>
          <w:sz w:val="24"/>
        </w:rPr>
        <w:sectPr w:rsidR="004E13A5">
          <w:pgSz w:w="12240" w:h="15840"/>
          <w:pgMar w:top="1500" w:right="1340" w:bottom="640" w:left="1340" w:header="0" w:footer="381" w:gutter="0"/>
          <w:cols w:num="2" w:space="720" w:equalWidth="0">
            <w:col w:w="2020" w:space="106"/>
            <w:col w:w="7434"/>
          </w:cols>
        </w:sectPr>
      </w:pPr>
    </w:p>
    <w:p w:rsidR="004E13A5" w:rsidRDefault="00681463">
      <w:pPr>
        <w:pStyle w:val="BodyText"/>
        <w:spacing w:before="120"/>
        <w:ind w:right="89"/>
      </w:pPr>
      <w:r>
        <w:t>This chapter explains the laws and HUD regulations requiring PHAs to affirmatively further civil rights and fair housing in all federally-assisted housing programs. The letter and spirit of these laws are implemented through consistent policy and processes. The responsibility to further nondiscrimination pertains to all areas of the PHA’s housing choice voucher (HCV) operations.</w:t>
      </w:r>
    </w:p>
    <w:p w:rsidR="004E13A5" w:rsidRDefault="00681463">
      <w:pPr>
        <w:pStyle w:val="BodyText"/>
        <w:spacing w:before="120"/>
      </w:pPr>
      <w:r>
        <w:t>This chapter describes HUD regulations and PHA policies related to these topics in three parts:</w:t>
      </w:r>
    </w:p>
    <w:p w:rsidR="004E13A5" w:rsidRDefault="00681463">
      <w:pPr>
        <w:pStyle w:val="BodyText"/>
        <w:spacing w:before="120"/>
        <w:ind w:left="820"/>
      </w:pPr>
      <w:r>
        <w:rPr>
          <w:u w:val="single"/>
        </w:rPr>
        <w:t>Part I: Nondiscrimination</w:t>
      </w:r>
      <w:r>
        <w:t>. This part presents the body of laws and regulations governing the responsibilities of the PHA regarding nondiscrimination.</w:t>
      </w:r>
    </w:p>
    <w:p w:rsidR="004E13A5" w:rsidRDefault="00681463">
      <w:pPr>
        <w:pStyle w:val="BodyText"/>
        <w:spacing w:before="120"/>
        <w:ind w:left="820" w:right="169"/>
      </w:pPr>
      <w:r>
        <w:rPr>
          <w:u w:val="single"/>
        </w:rPr>
        <w:t>Part II: Policies Related to Persons with Disabilities</w:t>
      </w:r>
      <w:r>
        <w:t>. This part discusses the rules and policies of the housing choice voucher program related to reasonable accommodation for persons with disabilities. These rules and policies are based on the Fair Housing Act (42.U.S.C.) and Section 504 of the Rehabilitation Act of 1973, and incorporate guidance from the Joint Statement of the Department of Housing and Urban Development and the Department of Justice (DOJ), issued May 17, 2004.</w:t>
      </w:r>
    </w:p>
    <w:p w:rsidR="004E13A5" w:rsidRDefault="00681463">
      <w:pPr>
        <w:pStyle w:val="BodyText"/>
        <w:spacing w:before="120"/>
        <w:ind w:left="820" w:right="127"/>
        <w:rPr>
          <w:i/>
        </w:rPr>
      </w:pPr>
      <w:r>
        <w:rPr>
          <w:u w:val="single"/>
        </w:rPr>
        <w:t>Part III: Prohibition of Discrimination Against Limited English Proficiency Persons</w:t>
      </w:r>
      <w:r>
        <w:t xml:space="preserve">. This part details the obligations of the PHA to ensure meaningful access to the HCV program and its activities by persons with limited English proficiency (LEP). This part incorporates the Final Guidance to Federal Financial Assistance Recipients Regarding Title VI Prohibition against National Origin Discrimination Affecting Limited English Proficient Persons published January 22, 2007, in the </w:t>
      </w:r>
      <w:r>
        <w:rPr>
          <w:i/>
        </w:rPr>
        <w:t>Federal Register.</w:t>
      </w:r>
    </w:p>
    <w:p w:rsidR="004E13A5" w:rsidRDefault="004E13A5">
      <w:pPr>
        <w:pStyle w:val="BodyText"/>
        <w:spacing w:before="10"/>
        <w:ind w:left="0"/>
        <w:rPr>
          <w:i/>
          <w:sz w:val="20"/>
        </w:rPr>
      </w:pPr>
    </w:p>
    <w:p w:rsidR="004E13A5" w:rsidRDefault="00681463">
      <w:pPr>
        <w:pStyle w:val="Heading4"/>
        <w:ind w:left="2981"/>
      </w:pPr>
      <w:r>
        <w:t>PART I: NONDISCRIMINATION</w:t>
      </w:r>
    </w:p>
    <w:p w:rsidR="004E13A5" w:rsidRDefault="004E13A5">
      <w:pPr>
        <w:pStyle w:val="BodyText"/>
        <w:spacing w:before="0"/>
        <w:ind w:left="0"/>
        <w:rPr>
          <w:b/>
          <w:sz w:val="13"/>
        </w:rPr>
      </w:pPr>
    </w:p>
    <w:p w:rsidR="004E13A5" w:rsidRDefault="00681463">
      <w:pPr>
        <w:spacing w:before="90"/>
        <w:ind w:left="100"/>
        <w:rPr>
          <w:b/>
          <w:sz w:val="24"/>
        </w:rPr>
      </w:pPr>
      <w:r>
        <w:rPr>
          <w:b/>
          <w:sz w:val="24"/>
        </w:rPr>
        <w:t>2-I.A. OVERVIEW</w:t>
      </w:r>
    </w:p>
    <w:p w:rsidR="004E13A5" w:rsidRDefault="00681463">
      <w:pPr>
        <w:pStyle w:val="BodyText"/>
        <w:ind w:right="122"/>
      </w:pPr>
      <w:r>
        <w:t>Federal laws require PHAs to treat all applicants and participants equally, providing the same opportunity to access services, regardless of family characteristics and background. Federal law prohibits discrimination in housing on the basis of race, color, religion, sex, national origin, age, familial status, and disability. In addition, HUD regulations provide for additional protections regarding sexual orientation, gender identity, and marital status. The PHA will comply fully with all federal, state, and local nondiscrimination laws, and with rules and regulations governing fair housing and equal opportunity in housing and employment, including:</w:t>
      </w:r>
    </w:p>
    <w:p w:rsidR="004E13A5" w:rsidRDefault="00681463">
      <w:pPr>
        <w:pStyle w:val="ListParagraph"/>
        <w:numPr>
          <w:ilvl w:val="0"/>
          <w:numId w:val="93"/>
        </w:numPr>
        <w:tabs>
          <w:tab w:val="left" w:pos="460"/>
          <w:tab w:val="left" w:pos="461"/>
        </w:tabs>
        <w:rPr>
          <w:rFonts w:ascii="Symbol"/>
          <w:sz w:val="24"/>
        </w:rPr>
      </w:pPr>
      <w:r>
        <w:rPr>
          <w:sz w:val="24"/>
        </w:rPr>
        <w:t>Title VI of the Civil Rights Act of</w:t>
      </w:r>
      <w:r>
        <w:rPr>
          <w:spacing w:val="-9"/>
          <w:sz w:val="24"/>
        </w:rPr>
        <w:t xml:space="preserve"> </w:t>
      </w:r>
      <w:r>
        <w:rPr>
          <w:sz w:val="24"/>
        </w:rPr>
        <w:t>1964</w:t>
      </w:r>
    </w:p>
    <w:p w:rsidR="004E13A5" w:rsidRDefault="00681463">
      <w:pPr>
        <w:pStyle w:val="ListParagraph"/>
        <w:numPr>
          <w:ilvl w:val="0"/>
          <w:numId w:val="93"/>
        </w:numPr>
        <w:tabs>
          <w:tab w:val="left" w:pos="460"/>
          <w:tab w:val="left" w:pos="461"/>
        </w:tabs>
        <w:spacing w:before="118"/>
        <w:ind w:right="245"/>
        <w:rPr>
          <w:rFonts w:ascii="Symbol"/>
          <w:sz w:val="24"/>
        </w:rPr>
      </w:pPr>
      <w:r>
        <w:rPr>
          <w:sz w:val="24"/>
        </w:rPr>
        <w:t>Title VIII of the Civil Rights Act of 1968 (as amended by the Community Development</w:t>
      </w:r>
      <w:r>
        <w:rPr>
          <w:spacing w:val="-21"/>
          <w:sz w:val="24"/>
        </w:rPr>
        <w:t xml:space="preserve"> </w:t>
      </w:r>
      <w:r>
        <w:rPr>
          <w:sz w:val="24"/>
        </w:rPr>
        <w:t>Act of 1974 and the Fair Housing Amendments Act of</w:t>
      </w:r>
      <w:r>
        <w:rPr>
          <w:spacing w:val="-5"/>
          <w:sz w:val="24"/>
        </w:rPr>
        <w:t xml:space="preserve"> </w:t>
      </w:r>
      <w:r>
        <w:rPr>
          <w:sz w:val="24"/>
        </w:rPr>
        <w:t>1988)</w:t>
      </w:r>
    </w:p>
    <w:p w:rsidR="004E13A5" w:rsidRDefault="00681463">
      <w:pPr>
        <w:pStyle w:val="ListParagraph"/>
        <w:numPr>
          <w:ilvl w:val="0"/>
          <w:numId w:val="93"/>
        </w:numPr>
        <w:tabs>
          <w:tab w:val="left" w:pos="460"/>
          <w:tab w:val="left" w:pos="461"/>
        </w:tabs>
        <w:rPr>
          <w:rFonts w:ascii="Symbol"/>
          <w:sz w:val="24"/>
        </w:rPr>
      </w:pPr>
      <w:r>
        <w:rPr>
          <w:sz w:val="24"/>
        </w:rPr>
        <w:t>Executive Orders 11063 and</w:t>
      </w:r>
      <w:r>
        <w:rPr>
          <w:spacing w:val="-4"/>
          <w:sz w:val="24"/>
        </w:rPr>
        <w:t xml:space="preserve"> </w:t>
      </w:r>
      <w:r>
        <w:rPr>
          <w:sz w:val="24"/>
        </w:rPr>
        <w:t>13988</w:t>
      </w:r>
    </w:p>
    <w:p w:rsidR="004E13A5" w:rsidRDefault="00681463">
      <w:pPr>
        <w:pStyle w:val="ListParagraph"/>
        <w:numPr>
          <w:ilvl w:val="0"/>
          <w:numId w:val="93"/>
        </w:numPr>
        <w:tabs>
          <w:tab w:val="left" w:pos="460"/>
          <w:tab w:val="left" w:pos="461"/>
        </w:tabs>
        <w:spacing w:before="118"/>
        <w:rPr>
          <w:rFonts w:ascii="Symbol"/>
          <w:sz w:val="24"/>
        </w:rPr>
      </w:pPr>
      <w:r>
        <w:rPr>
          <w:sz w:val="24"/>
        </w:rPr>
        <w:t>Section 504 of the Rehabilitation Act of</w:t>
      </w:r>
      <w:r>
        <w:rPr>
          <w:spacing w:val="-7"/>
          <w:sz w:val="24"/>
        </w:rPr>
        <w:t xml:space="preserve"> </w:t>
      </w:r>
      <w:r>
        <w:rPr>
          <w:sz w:val="24"/>
        </w:rPr>
        <w:t>1973</w:t>
      </w:r>
    </w:p>
    <w:p w:rsidR="004E13A5" w:rsidRDefault="00681463">
      <w:pPr>
        <w:pStyle w:val="ListParagraph"/>
        <w:numPr>
          <w:ilvl w:val="0"/>
          <w:numId w:val="93"/>
        </w:numPr>
        <w:tabs>
          <w:tab w:val="left" w:pos="460"/>
          <w:tab w:val="left" w:pos="461"/>
        </w:tabs>
        <w:spacing w:before="118"/>
        <w:rPr>
          <w:rFonts w:ascii="Symbol"/>
          <w:sz w:val="24"/>
        </w:rPr>
      </w:pPr>
      <w:r>
        <w:rPr>
          <w:sz w:val="24"/>
        </w:rPr>
        <w:t>The Age Discrimination Act of</w:t>
      </w:r>
      <w:r>
        <w:rPr>
          <w:spacing w:val="-8"/>
          <w:sz w:val="24"/>
        </w:rPr>
        <w:t xml:space="preserve"> </w:t>
      </w:r>
      <w:r>
        <w:rPr>
          <w:sz w:val="24"/>
        </w:rPr>
        <w:t>1975</w:t>
      </w:r>
    </w:p>
    <w:p w:rsidR="004E13A5" w:rsidRDefault="00681463">
      <w:pPr>
        <w:pStyle w:val="ListParagraph"/>
        <w:numPr>
          <w:ilvl w:val="0"/>
          <w:numId w:val="93"/>
        </w:numPr>
        <w:tabs>
          <w:tab w:val="left" w:pos="460"/>
          <w:tab w:val="left" w:pos="461"/>
        </w:tabs>
        <w:spacing w:before="121"/>
        <w:rPr>
          <w:rFonts w:ascii="Symbol"/>
          <w:sz w:val="24"/>
        </w:rPr>
      </w:pPr>
      <w:r>
        <w:rPr>
          <w:sz w:val="24"/>
        </w:rPr>
        <w:t>Title II of the Americans with Disabilities Act (to the extent that it applies,</w:t>
      </w:r>
      <w:r>
        <w:rPr>
          <w:spacing w:val="-15"/>
          <w:sz w:val="24"/>
        </w:rPr>
        <w:t xml:space="preserve"> </w:t>
      </w:r>
      <w:r>
        <w:rPr>
          <w:sz w:val="24"/>
        </w:rPr>
        <w:t>otherwise</w:t>
      </w:r>
    </w:p>
    <w:p w:rsidR="004E13A5" w:rsidRDefault="004E13A5">
      <w:pPr>
        <w:rPr>
          <w:rFonts w:ascii="Symbol"/>
          <w:sz w:val="24"/>
        </w:rPr>
        <w:sectPr w:rsidR="004E13A5">
          <w:type w:val="continuous"/>
          <w:pgSz w:w="12240" w:h="15840"/>
          <w:pgMar w:top="1500" w:right="1340" w:bottom="280" w:left="1340" w:header="720" w:footer="720" w:gutter="0"/>
          <w:cols w:space="720"/>
        </w:sectPr>
      </w:pPr>
    </w:p>
    <w:p w:rsidR="004E13A5" w:rsidRDefault="00681463">
      <w:pPr>
        <w:pStyle w:val="BodyText"/>
        <w:spacing w:before="79"/>
        <w:ind w:left="460"/>
      </w:pPr>
      <w:r>
        <w:lastRenderedPageBreak/>
        <w:t>Section 504 and the Fair Housing Amendments govern)</w:t>
      </w:r>
    </w:p>
    <w:p w:rsidR="004E13A5" w:rsidRDefault="00681463">
      <w:pPr>
        <w:pStyle w:val="ListParagraph"/>
        <w:numPr>
          <w:ilvl w:val="0"/>
          <w:numId w:val="93"/>
        </w:numPr>
        <w:tabs>
          <w:tab w:val="left" w:pos="460"/>
          <w:tab w:val="left" w:pos="461"/>
        </w:tabs>
        <w:ind w:right="98"/>
        <w:rPr>
          <w:rFonts w:ascii="Symbol"/>
          <w:sz w:val="24"/>
        </w:rPr>
      </w:pPr>
      <w:r>
        <w:rPr>
          <w:sz w:val="24"/>
        </w:rPr>
        <w:t>The Equal Access to Housing in HUD Programs Regardless of Sexual Orientation or</w:t>
      </w:r>
      <w:r>
        <w:rPr>
          <w:spacing w:val="-15"/>
          <w:sz w:val="24"/>
        </w:rPr>
        <w:t xml:space="preserve"> </w:t>
      </w:r>
      <w:r>
        <w:rPr>
          <w:sz w:val="24"/>
        </w:rPr>
        <w:t xml:space="preserve">Gender Identity Final Rule, published in the </w:t>
      </w:r>
      <w:r>
        <w:rPr>
          <w:i/>
          <w:sz w:val="24"/>
        </w:rPr>
        <w:t xml:space="preserve">Federal Register </w:t>
      </w:r>
      <w:r>
        <w:rPr>
          <w:sz w:val="24"/>
        </w:rPr>
        <w:t>February 3, 2012 and further clarified in Notice PIH</w:t>
      </w:r>
      <w:r>
        <w:rPr>
          <w:spacing w:val="-6"/>
          <w:sz w:val="24"/>
        </w:rPr>
        <w:t xml:space="preserve"> </w:t>
      </w:r>
      <w:r>
        <w:rPr>
          <w:sz w:val="24"/>
        </w:rPr>
        <w:t>2014-20</w:t>
      </w:r>
    </w:p>
    <w:p w:rsidR="004E13A5" w:rsidRDefault="00681463">
      <w:pPr>
        <w:pStyle w:val="ListParagraph"/>
        <w:numPr>
          <w:ilvl w:val="0"/>
          <w:numId w:val="93"/>
        </w:numPr>
        <w:tabs>
          <w:tab w:val="left" w:pos="460"/>
          <w:tab w:val="left" w:pos="461"/>
        </w:tabs>
        <w:rPr>
          <w:rFonts w:ascii="Symbol"/>
          <w:sz w:val="24"/>
        </w:rPr>
      </w:pPr>
      <w:r>
        <w:rPr>
          <w:sz w:val="24"/>
        </w:rPr>
        <w:t>Violence Against Women Reauthorization Act of 2013</w:t>
      </w:r>
      <w:r>
        <w:rPr>
          <w:spacing w:val="-7"/>
          <w:sz w:val="24"/>
        </w:rPr>
        <w:t xml:space="preserve"> </w:t>
      </w:r>
      <w:r>
        <w:rPr>
          <w:sz w:val="24"/>
        </w:rPr>
        <w:t>(VAWA)</w:t>
      </w:r>
    </w:p>
    <w:p w:rsidR="004E13A5" w:rsidRDefault="00681463">
      <w:pPr>
        <w:pStyle w:val="BodyText"/>
        <w:tabs>
          <w:tab w:val="left" w:pos="460"/>
        </w:tabs>
        <w:spacing w:before="118"/>
      </w:pPr>
      <w:r>
        <w:rPr>
          <w:rFonts w:ascii="Symbol" w:hAnsi="Symbol"/>
        </w:rPr>
        <w:t></w:t>
      </w:r>
      <w:r>
        <w:tab/>
        <w:t>ORS</w:t>
      </w:r>
      <w:r>
        <w:rPr>
          <w:spacing w:val="-1"/>
        </w:rPr>
        <w:t xml:space="preserve"> </w:t>
      </w:r>
      <w:r>
        <w:t>659A.403</w:t>
      </w:r>
    </w:p>
    <w:p w:rsidR="004E13A5" w:rsidRDefault="00681463">
      <w:pPr>
        <w:pStyle w:val="BodyText"/>
        <w:ind w:right="535"/>
      </w:pPr>
      <w:r>
        <w:t>When more than one civil rights law applies to a situation, the laws will be read and applied together.</w:t>
      </w:r>
    </w:p>
    <w:p w:rsidR="004E13A5" w:rsidRDefault="00681463">
      <w:pPr>
        <w:pStyle w:val="BodyText"/>
        <w:spacing w:before="120"/>
      </w:pPr>
      <w:r>
        <w:t>Any applicable state laws or local ordinances and any legislation protecting individual rights of tenants, applicants, or staff that may subsequently be enacted will also apply.</w:t>
      </w:r>
    </w:p>
    <w:p w:rsidR="004E13A5" w:rsidRDefault="00681463">
      <w:pPr>
        <w:pStyle w:val="BodyText"/>
        <w:spacing w:before="120"/>
        <w:ind w:left="820"/>
      </w:pPr>
      <w:r>
        <w:rPr>
          <w:u w:val="single"/>
        </w:rPr>
        <w:t>PHA Policy</w:t>
      </w:r>
    </w:p>
    <w:p w:rsidR="004E13A5" w:rsidRDefault="00681463">
      <w:pPr>
        <w:pStyle w:val="BodyText"/>
        <w:ind w:left="820" w:right="229" w:firstLine="60"/>
      </w:pPr>
      <w:r>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p>
    <w:p w:rsidR="004E13A5" w:rsidRDefault="004E13A5">
      <w:pPr>
        <w:pStyle w:val="BodyText"/>
        <w:spacing w:before="9"/>
        <w:ind w:left="0"/>
        <w:rPr>
          <w:sz w:val="20"/>
        </w:rPr>
      </w:pPr>
    </w:p>
    <w:p w:rsidR="004E13A5" w:rsidRDefault="00681463">
      <w:pPr>
        <w:pStyle w:val="Heading4"/>
      </w:pPr>
      <w:r>
        <w:t>2-I.B. NONDISCRIMINATION</w:t>
      </w:r>
    </w:p>
    <w:p w:rsidR="004E13A5" w:rsidRDefault="00681463">
      <w:pPr>
        <w:pStyle w:val="BodyText"/>
        <w:ind w:right="167"/>
        <w:jc w:val="both"/>
      </w:pPr>
      <w:r>
        <w:t>Federal regulations prohibit discrimination against certain protected classes and other groups of people. State and local requirements, as well as PHA policies, can prohibit discrimination based on other factors.</w:t>
      </w:r>
    </w:p>
    <w:p w:rsidR="004E13A5" w:rsidRDefault="00681463">
      <w:pPr>
        <w:pStyle w:val="BodyText"/>
        <w:ind w:right="182"/>
      </w:pPr>
      <w:r>
        <w:t>The PHA shall not discriminate because of race, color, sex, religion, familial status, age, disability or national origin (called “protected classes”)</w:t>
      </w:r>
    </w:p>
    <w:p w:rsidR="004E13A5" w:rsidRDefault="00681463">
      <w:pPr>
        <w:pStyle w:val="BodyText"/>
      </w:pPr>
      <w:r>
        <w:t>Familial status includes children under the age of 18 living with parents or legal custodians, pregnant women, and people securing custody of children under the age of 18.</w:t>
      </w:r>
    </w:p>
    <w:p w:rsidR="004E13A5" w:rsidRDefault="00681463">
      <w:pPr>
        <w:pStyle w:val="BodyText"/>
        <w:ind w:right="182"/>
      </w:pPr>
      <w:r>
        <w:t>The PHA will not discriminate on the basis of marital status, gender identity, or sexual orientation [FR Notice 02/03/12; Executive Order 13988].</w:t>
      </w:r>
    </w:p>
    <w:p w:rsidR="004E13A5" w:rsidRDefault="00681463">
      <w:pPr>
        <w:pStyle w:val="BodyText"/>
        <w:ind w:left="820"/>
      </w:pPr>
      <w:r>
        <w:rPr>
          <w:u w:val="single"/>
        </w:rPr>
        <w:t>PHA Policy</w:t>
      </w:r>
    </w:p>
    <w:p w:rsidR="004E13A5" w:rsidRDefault="00681463">
      <w:pPr>
        <w:pStyle w:val="BodyText"/>
        <w:ind w:left="820" w:right="229" w:firstLine="60"/>
      </w:pPr>
      <w:r>
        <w:t>The PHA will abide by Oregon state law ORS 659A.403 which states: A person may not, because of the race, color, religion, sex, sexual orientation, national origin, marital status, familial status or source of income of any person: refuse to sell, lease or rent any real property to a purchaser.</w:t>
      </w:r>
    </w:p>
    <w:p w:rsidR="004E13A5" w:rsidRDefault="00681463">
      <w:pPr>
        <w:pStyle w:val="BodyText"/>
      </w:pPr>
      <w:r>
        <w:t>The PHA will not use any of these factors to:</w:t>
      </w:r>
    </w:p>
    <w:p w:rsidR="004E13A5" w:rsidRDefault="00681463">
      <w:pPr>
        <w:pStyle w:val="ListParagraph"/>
        <w:numPr>
          <w:ilvl w:val="0"/>
          <w:numId w:val="93"/>
        </w:numPr>
        <w:tabs>
          <w:tab w:val="left" w:pos="460"/>
          <w:tab w:val="left" w:pos="461"/>
        </w:tabs>
        <w:ind w:right="158"/>
        <w:rPr>
          <w:rFonts w:ascii="Symbol"/>
          <w:sz w:val="24"/>
        </w:rPr>
      </w:pPr>
      <w:r>
        <w:rPr>
          <w:sz w:val="24"/>
        </w:rPr>
        <w:t>Deny to any family the opportunity to apply for housing, nor deny to any qualified</w:t>
      </w:r>
      <w:r>
        <w:rPr>
          <w:spacing w:val="-20"/>
          <w:sz w:val="24"/>
        </w:rPr>
        <w:t xml:space="preserve"> </w:t>
      </w:r>
      <w:r>
        <w:rPr>
          <w:sz w:val="24"/>
        </w:rPr>
        <w:t>applicant the opportunity to participate in the housing choice voucher</w:t>
      </w:r>
      <w:r>
        <w:rPr>
          <w:spacing w:val="-11"/>
          <w:sz w:val="24"/>
        </w:rPr>
        <w:t xml:space="preserve"> </w:t>
      </w:r>
      <w:r>
        <w:rPr>
          <w:sz w:val="24"/>
        </w:rPr>
        <w:t>program</w:t>
      </w:r>
    </w:p>
    <w:p w:rsidR="004E13A5" w:rsidRDefault="00681463">
      <w:pPr>
        <w:pStyle w:val="ListParagraph"/>
        <w:numPr>
          <w:ilvl w:val="0"/>
          <w:numId w:val="93"/>
        </w:numPr>
        <w:tabs>
          <w:tab w:val="left" w:pos="460"/>
          <w:tab w:val="left" w:pos="461"/>
        </w:tabs>
        <w:rPr>
          <w:rFonts w:ascii="Symbol"/>
          <w:sz w:val="24"/>
        </w:rPr>
      </w:pPr>
      <w:r>
        <w:rPr>
          <w:sz w:val="24"/>
        </w:rPr>
        <w:t>Provide housing that is different from that provided to</w:t>
      </w:r>
      <w:r>
        <w:rPr>
          <w:spacing w:val="-10"/>
          <w:sz w:val="24"/>
        </w:rPr>
        <w:t xml:space="preserve"> </w:t>
      </w:r>
      <w:r>
        <w:rPr>
          <w:sz w:val="24"/>
        </w:rPr>
        <w:t>others</w:t>
      </w:r>
    </w:p>
    <w:p w:rsidR="004E13A5" w:rsidRDefault="00681463">
      <w:pPr>
        <w:pStyle w:val="ListParagraph"/>
        <w:numPr>
          <w:ilvl w:val="0"/>
          <w:numId w:val="93"/>
        </w:numPr>
        <w:tabs>
          <w:tab w:val="left" w:pos="460"/>
          <w:tab w:val="left" w:pos="461"/>
        </w:tabs>
        <w:spacing w:before="121"/>
        <w:rPr>
          <w:rFonts w:ascii="Symbol"/>
          <w:sz w:val="24"/>
        </w:rPr>
      </w:pPr>
      <w:r>
        <w:rPr>
          <w:sz w:val="24"/>
        </w:rPr>
        <w:t>Subject anyone to segregation or disparate</w:t>
      </w:r>
      <w:r>
        <w:rPr>
          <w:spacing w:val="-10"/>
          <w:sz w:val="24"/>
        </w:rPr>
        <w:t xml:space="preserve"> </w:t>
      </w:r>
      <w:r>
        <w:rPr>
          <w:sz w:val="24"/>
        </w:rPr>
        <w:t>treatment</w:t>
      </w:r>
    </w:p>
    <w:p w:rsidR="004E13A5" w:rsidRDefault="00681463">
      <w:pPr>
        <w:pStyle w:val="ListParagraph"/>
        <w:numPr>
          <w:ilvl w:val="0"/>
          <w:numId w:val="93"/>
        </w:numPr>
        <w:tabs>
          <w:tab w:val="left" w:pos="460"/>
          <w:tab w:val="left" w:pos="461"/>
        </w:tabs>
        <w:spacing w:before="118"/>
        <w:rPr>
          <w:rFonts w:ascii="Symbol"/>
          <w:sz w:val="24"/>
        </w:rPr>
      </w:pPr>
      <w:r>
        <w:rPr>
          <w:sz w:val="24"/>
        </w:rPr>
        <w:t>Subject anyone to sexual</w:t>
      </w:r>
      <w:r>
        <w:rPr>
          <w:spacing w:val="-10"/>
          <w:sz w:val="24"/>
        </w:rPr>
        <w:t xml:space="preserve"> </w:t>
      </w:r>
      <w:r>
        <w:rPr>
          <w:sz w:val="24"/>
        </w:rPr>
        <w:t>harassment</w:t>
      </w:r>
    </w:p>
    <w:p w:rsidR="004E13A5" w:rsidRDefault="00681463">
      <w:pPr>
        <w:pStyle w:val="ListParagraph"/>
        <w:numPr>
          <w:ilvl w:val="0"/>
          <w:numId w:val="93"/>
        </w:numPr>
        <w:tabs>
          <w:tab w:val="left" w:pos="460"/>
          <w:tab w:val="left" w:pos="461"/>
        </w:tabs>
        <w:spacing w:before="118"/>
        <w:ind w:right="540"/>
        <w:rPr>
          <w:rFonts w:ascii="Symbol"/>
          <w:sz w:val="24"/>
        </w:rPr>
      </w:pPr>
      <w:r>
        <w:rPr>
          <w:sz w:val="24"/>
        </w:rPr>
        <w:t>Restrict anyone's access to any benefit enjoyed by others in connection with the housing program</w:t>
      </w:r>
    </w:p>
    <w:p w:rsidR="004E13A5" w:rsidRDefault="004E13A5">
      <w:pPr>
        <w:rPr>
          <w:rFonts w:ascii="Symbol"/>
          <w:sz w:val="24"/>
        </w:rPr>
        <w:sectPr w:rsidR="004E13A5">
          <w:pgSz w:w="12240" w:h="15840"/>
          <w:pgMar w:top="1360" w:right="1420" w:bottom="640" w:left="1340" w:header="0" w:footer="381" w:gutter="0"/>
          <w:cols w:space="720"/>
        </w:sectPr>
      </w:pPr>
    </w:p>
    <w:p w:rsidR="004E13A5" w:rsidRDefault="00681463">
      <w:pPr>
        <w:pStyle w:val="ListParagraph"/>
        <w:numPr>
          <w:ilvl w:val="0"/>
          <w:numId w:val="93"/>
        </w:numPr>
        <w:tabs>
          <w:tab w:val="left" w:pos="460"/>
          <w:tab w:val="left" w:pos="461"/>
        </w:tabs>
        <w:spacing w:before="79"/>
        <w:rPr>
          <w:rFonts w:ascii="Symbol"/>
          <w:sz w:val="24"/>
        </w:rPr>
      </w:pPr>
      <w:r>
        <w:rPr>
          <w:sz w:val="24"/>
        </w:rPr>
        <w:lastRenderedPageBreak/>
        <w:t>Treat a person differently in determining eligibility or other requirements for</w:t>
      </w:r>
      <w:r>
        <w:rPr>
          <w:spacing w:val="-17"/>
          <w:sz w:val="24"/>
        </w:rPr>
        <w:t xml:space="preserve"> </w:t>
      </w:r>
      <w:r>
        <w:rPr>
          <w:sz w:val="24"/>
        </w:rPr>
        <w:t>admission</w:t>
      </w:r>
    </w:p>
    <w:p w:rsidR="004E13A5" w:rsidRDefault="00681463">
      <w:pPr>
        <w:pStyle w:val="ListParagraph"/>
        <w:numPr>
          <w:ilvl w:val="0"/>
          <w:numId w:val="93"/>
        </w:numPr>
        <w:tabs>
          <w:tab w:val="left" w:pos="460"/>
          <w:tab w:val="left" w:pos="461"/>
        </w:tabs>
        <w:spacing w:before="118"/>
        <w:ind w:right="505"/>
        <w:rPr>
          <w:rFonts w:ascii="Symbol"/>
          <w:sz w:val="24"/>
        </w:rPr>
      </w:pPr>
      <w:r>
        <w:rPr>
          <w:sz w:val="24"/>
        </w:rPr>
        <w:t>Steer an applicant or participant toward or away from a particular area based any of</w:t>
      </w:r>
      <w:r>
        <w:rPr>
          <w:spacing w:val="-17"/>
          <w:sz w:val="24"/>
        </w:rPr>
        <w:t xml:space="preserve"> </w:t>
      </w:r>
      <w:r>
        <w:rPr>
          <w:sz w:val="24"/>
        </w:rPr>
        <w:t>these factors</w:t>
      </w:r>
    </w:p>
    <w:p w:rsidR="004E13A5" w:rsidRDefault="00681463">
      <w:pPr>
        <w:pStyle w:val="ListParagraph"/>
        <w:numPr>
          <w:ilvl w:val="0"/>
          <w:numId w:val="93"/>
        </w:numPr>
        <w:tabs>
          <w:tab w:val="left" w:pos="460"/>
          <w:tab w:val="left" w:pos="461"/>
        </w:tabs>
        <w:rPr>
          <w:rFonts w:ascii="Symbol"/>
          <w:sz w:val="24"/>
        </w:rPr>
      </w:pPr>
      <w:r>
        <w:rPr>
          <w:sz w:val="24"/>
        </w:rPr>
        <w:t>Deny anyone access to the same level of</w:t>
      </w:r>
      <w:r>
        <w:rPr>
          <w:spacing w:val="-9"/>
          <w:sz w:val="24"/>
        </w:rPr>
        <w:t xml:space="preserve"> </w:t>
      </w:r>
      <w:r>
        <w:rPr>
          <w:sz w:val="24"/>
        </w:rPr>
        <w:t>services</w:t>
      </w:r>
    </w:p>
    <w:p w:rsidR="004E13A5" w:rsidRDefault="00681463">
      <w:pPr>
        <w:pStyle w:val="ListParagraph"/>
        <w:numPr>
          <w:ilvl w:val="0"/>
          <w:numId w:val="93"/>
        </w:numPr>
        <w:tabs>
          <w:tab w:val="left" w:pos="460"/>
          <w:tab w:val="left" w:pos="461"/>
        </w:tabs>
        <w:ind w:right="158"/>
        <w:rPr>
          <w:rFonts w:ascii="Symbol"/>
          <w:sz w:val="24"/>
        </w:rPr>
      </w:pPr>
      <w:r>
        <w:rPr>
          <w:sz w:val="24"/>
        </w:rPr>
        <w:t>Deny anyone the opportunity to participate in a planning or advisory group that is an</w:t>
      </w:r>
      <w:r>
        <w:rPr>
          <w:spacing w:val="-19"/>
          <w:sz w:val="24"/>
        </w:rPr>
        <w:t xml:space="preserve"> </w:t>
      </w:r>
      <w:r>
        <w:rPr>
          <w:sz w:val="24"/>
        </w:rPr>
        <w:t>integral part of the housing</w:t>
      </w:r>
      <w:r>
        <w:rPr>
          <w:spacing w:val="-5"/>
          <w:sz w:val="24"/>
        </w:rPr>
        <w:t xml:space="preserve"> </w:t>
      </w:r>
      <w:r>
        <w:rPr>
          <w:sz w:val="24"/>
        </w:rPr>
        <w:t>program</w:t>
      </w:r>
    </w:p>
    <w:p w:rsidR="004E13A5" w:rsidRDefault="00681463">
      <w:pPr>
        <w:pStyle w:val="ListParagraph"/>
        <w:numPr>
          <w:ilvl w:val="0"/>
          <w:numId w:val="93"/>
        </w:numPr>
        <w:tabs>
          <w:tab w:val="left" w:pos="460"/>
          <w:tab w:val="left" w:pos="461"/>
        </w:tabs>
        <w:rPr>
          <w:rFonts w:ascii="Symbol"/>
          <w:sz w:val="24"/>
        </w:rPr>
      </w:pPr>
      <w:r>
        <w:rPr>
          <w:sz w:val="24"/>
        </w:rPr>
        <w:t>Discriminate in the provision of residential real estate</w:t>
      </w:r>
      <w:r>
        <w:rPr>
          <w:spacing w:val="-9"/>
          <w:sz w:val="24"/>
        </w:rPr>
        <w:t xml:space="preserve"> </w:t>
      </w:r>
      <w:r>
        <w:rPr>
          <w:sz w:val="24"/>
        </w:rPr>
        <w:t>transactions</w:t>
      </w:r>
    </w:p>
    <w:p w:rsidR="004E13A5" w:rsidRDefault="00681463">
      <w:pPr>
        <w:pStyle w:val="ListParagraph"/>
        <w:numPr>
          <w:ilvl w:val="0"/>
          <w:numId w:val="93"/>
        </w:numPr>
        <w:tabs>
          <w:tab w:val="left" w:pos="460"/>
          <w:tab w:val="left" w:pos="461"/>
        </w:tabs>
        <w:spacing w:before="118"/>
        <w:ind w:right="348"/>
        <w:rPr>
          <w:rFonts w:ascii="Symbol"/>
          <w:sz w:val="24"/>
        </w:rPr>
      </w:pPr>
      <w:r>
        <w:rPr>
          <w:sz w:val="24"/>
        </w:rPr>
        <w:t>Discriminate against someone because they are related to or associated with a member of a protected</w:t>
      </w:r>
      <w:r>
        <w:rPr>
          <w:spacing w:val="-5"/>
          <w:sz w:val="24"/>
        </w:rPr>
        <w:t xml:space="preserve"> </w:t>
      </w:r>
      <w:r>
        <w:rPr>
          <w:sz w:val="24"/>
        </w:rPr>
        <w:t>class</w:t>
      </w:r>
    </w:p>
    <w:p w:rsidR="004E13A5" w:rsidRDefault="00681463">
      <w:pPr>
        <w:pStyle w:val="ListParagraph"/>
        <w:numPr>
          <w:ilvl w:val="0"/>
          <w:numId w:val="93"/>
        </w:numPr>
        <w:tabs>
          <w:tab w:val="left" w:pos="460"/>
          <w:tab w:val="left" w:pos="461"/>
        </w:tabs>
        <w:ind w:right="610"/>
        <w:rPr>
          <w:rFonts w:ascii="Symbol"/>
          <w:sz w:val="24"/>
        </w:rPr>
      </w:pPr>
      <w:r>
        <w:rPr>
          <w:sz w:val="24"/>
        </w:rPr>
        <w:t>Publish or cause to be published an advertisement or notice indicating the availability</w:t>
      </w:r>
      <w:r>
        <w:rPr>
          <w:spacing w:val="-16"/>
          <w:sz w:val="24"/>
        </w:rPr>
        <w:t xml:space="preserve"> </w:t>
      </w:r>
      <w:r>
        <w:rPr>
          <w:sz w:val="24"/>
        </w:rPr>
        <w:t>of housing that prefers or excludes persons who are members of a protected</w:t>
      </w:r>
      <w:r>
        <w:rPr>
          <w:spacing w:val="-12"/>
          <w:sz w:val="24"/>
        </w:rPr>
        <w:t xml:space="preserve"> </w:t>
      </w:r>
      <w:r>
        <w:rPr>
          <w:sz w:val="24"/>
        </w:rPr>
        <w:t>class</w:t>
      </w:r>
    </w:p>
    <w:p w:rsidR="004E13A5" w:rsidRDefault="00681463">
      <w:pPr>
        <w:pStyle w:val="Heading4"/>
        <w:spacing w:before="119"/>
      </w:pPr>
      <w:r>
        <w:t>Providing Information to Families and Owners</w:t>
      </w:r>
    </w:p>
    <w:p w:rsidR="004E13A5" w:rsidRDefault="00681463">
      <w:pPr>
        <w:pStyle w:val="BodyText"/>
        <w:ind w:right="123"/>
      </w:pPr>
      <w:r>
        <w:t>The PHA must take steps to ensure that families and owners are fully aware of all applicable civil rights laws. As part of the briefing process, the PHA must provide information to HCV applicant families about civil rights requirements and the opportunity to rent in a broad range of neighborhoods [24 CFR 982.301]. The Housing Assistance Payments (HAP) contract informs owners of the requirement not to discriminate against any person because of race, color, religion, sex, national origin, age, familial status, or disability in connection with the contract.</w:t>
      </w:r>
    </w:p>
    <w:p w:rsidR="00043B4E" w:rsidRPr="005325D1" w:rsidRDefault="00043B4E" w:rsidP="00043B4E">
      <w:pPr>
        <w:widowControl/>
        <w:spacing w:before="120"/>
        <w:rPr>
          <w:b/>
          <w:sz w:val="24"/>
        </w:rPr>
      </w:pPr>
      <w:bookmarkStart w:id="2" w:name="_Hlk177729404"/>
      <w:r w:rsidRPr="005325D1">
        <w:rPr>
          <w:b/>
          <w:sz w:val="24"/>
        </w:rPr>
        <w:t xml:space="preserve">2-I.C. </w:t>
      </w:r>
      <w:bookmarkStart w:id="3" w:name="_Hlk145090691"/>
      <w:r w:rsidRPr="005325D1">
        <w:rPr>
          <w:b/>
          <w:sz w:val="24"/>
        </w:rPr>
        <w:t>DISCRIMINATION COMPLA</w:t>
      </w:r>
      <w:r>
        <w:rPr>
          <w:b/>
          <w:sz w:val="24"/>
        </w:rPr>
        <w:t>I</w:t>
      </w:r>
      <w:r w:rsidRPr="005325D1">
        <w:rPr>
          <w:b/>
          <w:sz w:val="24"/>
        </w:rPr>
        <w:t>NTS</w:t>
      </w:r>
      <w:bookmarkEnd w:id="3"/>
    </w:p>
    <w:bookmarkEnd w:id="2"/>
    <w:p w:rsidR="00043B4E" w:rsidRPr="00BD0F53" w:rsidRDefault="00043B4E" w:rsidP="00043B4E">
      <w:pPr>
        <w:widowControl/>
        <w:spacing w:before="120"/>
        <w:rPr>
          <w:b/>
          <w:bCs/>
          <w:iCs/>
          <w:caps/>
          <w:sz w:val="24"/>
          <w:u w:val="single"/>
        </w:rPr>
      </w:pPr>
      <w:r w:rsidRPr="005325D1">
        <w:rPr>
          <w:b/>
          <w:bCs/>
          <w:iCs/>
          <w:sz w:val="24"/>
        </w:rPr>
        <w:t>General Housing</w:t>
      </w:r>
      <w:r>
        <w:rPr>
          <w:b/>
          <w:bCs/>
          <w:iCs/>
        </w:rPr>
        <w:t xml:space="preserve"> </w:t>
      </w:r>
      <w:r w:rsidRPr="00BD0F53">
        <w:rPr>
          <w:b/>
          <w:bCs/>
          <w:iCs/>
          <w:sz w:val="24"/>
        </w:rPr>
        <w:t>Discrimination Complaints</w:t>
      </w:r>
    </w:p>
    <w:p w:rsidR="004E13A5" w:rsidRDefault="00681463">
      <w:pPr>
        <w:pStyle w:val="BodyText"/>
        <w:ind w:right="183"/>
      </w:pPr>
      <w:r>
        <w:t>If an applicant or participant believes that any family member has been discriminated against by the PHA or an owner, the family should advise the PHA. The PHA should make every reasonable attempt to determine whether the applicant’s or participant’s assertions have merit and take any warranted corrective action. In addition, the PHA is required to provide the applicant or participant with information about how to file a discrimination complaint [24 CFR 982.304].</w:t>
      </w:r>
    </w:p>
    <w:p w:rsidR="004E13A5" w:rsidRDefault="00681463">
      <w:pPr>
        <w:pStyle w:val="BodyText"/>
        <w:ind w:left="460"/>
      </w:pPr>
      <w:r>
        <w:t>Upon receipt of a housing discrimination complaint, the PHA is required to:</w:t>
      </w:r>
    </w:p>
    <w:p w:rsidR="004E13A5" w:rsidRDefault="00681463">
      <w:pPr>
        <w:pStyle w:val="ListParagraph"/>
        <w:numPr>
          <w:ilvl w:val="0"/>
          <w:numId w:val="93"/>
        </w:numPr>
        <w:tabs>
          <w:tab w:val="left" w:pos="460"/>
          <w:tab w:val="left" w:pos="461"/>
        </w:tabs>
        <w:ind w:right="108"/>
        <w:rPr>
          <w:rFonts w:ascii="Symbol"/>
          <w:sz w:val="24"/>
        </w:rPr>
      </w:pPr>
      <w:r>
        <w:rPr>
          <w:sz w:val="24"/>
        </w:rPr>
        <w:t>Provide written notice of the complaint to those alleged and inform the complainant that</w:t>
      </w:r>
      <w:r>
        <w:rPr>
          <w:spacing w:val="-14"/>
          <w:sz w:val="24"/>
        </w:rPr>
        <w:t xml:space="preserve"> </w:t>
      </w:r>
      <w:r>
        <w:rPr>
          <w:sz w:val="24"/>
        </w:rPr>
        <w:t>such notice was</w:t>
      </w:r>
      <w:r>
        <w:rPr>
          <w:spacing w:val="-5"/>
          <w:sz w:val="24"/>
        </w:rPr>
        <w:t xml:space="preserve"> </w:t>
      </w:r>
      <w:r>
        <w:rPr>
          <w:sz w:val="24"/>
        </w:rPr>
        <w:t>made</w:t>
      </w:r>
    </w:p>
    <w:p w:rsidR="004E13A5" w:rsidRDefault="00681463">
      <w:pPr>
        <w:pStyle w:val="ListParagraph"/>
        <w:numPr>
          <w:ilvl w:val="0"/>
          <w:numId w:val="93"/>
        </w:numPr>
        <w:tabs>
          <w:tab w:val="left" w:pos="460"/>
          <w:tab w:val="left" w:pos="461"/>
        </w:tabs>
        <w:ind w:right="718"/>
        <w:rPr>
          <w:rFonts w:ascii="Symbol"/>
          <w:sz w:val="24"/>
        </w:rPr>
      </w:pPr>
      <w:r>
        <w:rPr>
          <w:sz w:val="24"/>
        </w:rPr>
        <w:t>Investigate the allegations and provide the complainant and those alleged with</w:t>
      </w:r>
      <w:r>
        <w:rPr>
          <w:spacing w:val="-17"/>
          <w:sz w:val="24"/>
        </w:rPr>
        <w:t xml:space="preserve"> </w:t>
      </w:r>
      <w:r>
        <w:rPr>
          <w:sz w:val="24"/>
        </w:rPr>
        <w:t>findings and either a proposed corrective action or an explanation of why corrective action is not</w:t>
      </w:r>
      <w:r>
        <w:rPr>
          <w:spacing w:val="-5"/>
          <w:sz w:val="24"/>
        </w:rPr>
        <w:t xml:space="preserve"> </w:t>
      </w:r>
      <w:r>
        <w:rPr>
          <w:sz w:val="24"/>
        </w:rPr>
        <w:t>warranted</w:t>
      </w:r>
    </w:p>
    <w:p w:rsidR="004E13A5" w:rsidRDefault="00681463">
      <w:pPr>
        <w:pStyle w:val="ListParagraph"/>
        <w:numPr>
          <w:ilvl w:val="0"/>
          <w:numId w:val="93"/>
        </w:numPr>
        <w:tabs>
          <w:tab w:val="left" w:pos="460"/>
          <w:tab w:val="left" w:pos="461"/>
        </w:tabs>
        <w:ind w:right="1655"/>
        <w:rPr>
          <w:rFonts w:ascii="Symbol"/>
          <w:sz w:val="24"/>
        </w:rPr>
      </w:pPr>
      <w:r>
        <w:rPr>
          <w:sz w:val="24"/>
        </w:rPr>
        <w:t>Keep records of all complaints, investigations, notices, and corrective</w:t>
      </w:r>
      <w:r>
        <w:rPr>
          <w:spacing w:val="-13"/>
          <w:sz w:val="24"/>
        </w:rPr>
        <w:t xml:space="preserve"> </w:t>
      </w:r>
      <w:r>
        <w:rPr>
          <w:sz w:val="24"/>
        </w:rPr>
        <w:t>actions [Notice PIH</w:t>
      </w:r>
      <w:r>
        <w:rPr>
          <w:spacing w:val="-7"/>
          <w:sz w:val="24"/>
        </w:rPr>
        <w:t xml:space="preserve"> </w:t>
      </w:r>
      <w:r>
        <w:rPr>
          <w:sz w:val="24"/>
        </w:rPr>
        <w:t>2014-20]</w:t>
      </w:r>
    </w:p>
    <w:p w:rsidR="004E13A5" w:rsidRDefault="00681463">
      <w:pPr>
        <w:pStyle w:val="BodyText"/>
        <w:ind w:left="820"/>
      </w:pPr>
      <w:r>
        <w:rPr>
          <w:u w:val="single"/>
        </w:rPr>
        <w:t>PHA Policy</w:t>
      </w:r>
    </w:p>
    <w:p w:rsidR="004E13A5" w:rsidRDefault="00681463">
      <w:pPr>
        <w:pStyle w:val="BodyText"/>
        <w:ind w:left="820" w:right="62"/>
      </w:pPr>
      <w:r>
        <w:t>Applicants or participants who believe that they have been subject to unlawful discrimination may notify the PHA in writing.</w:t>
      </w:r>
    </w:p>
    <w:p w:rsidR="004E13A5" w:rsidRDefault="00681463">
      <w:pPr>
        <w:pStyle w:val="BodyText"/>
        <w:ind w:left="820" w:right="202"/>
      </w:pPr>
      <w:r>
        <w:t>Within 10 business days of receiving the complaint, the PHA will provide a written notice to those alleged to have violated the rule. The PHA will also send a written notice to the complainant informing them that notice was sent to those alleged to have violated</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right="214"/>
      </w:pPr>
      <w:r>
        <w:lastRenderedPageBreak/>
        <w:t>the rule, as well as information on how to complete and submit a housing discrimination complaint form to HUD's Office of Fair Housing and Equal Opportunity (FHEO).</w:t>
      </w:r>
    </w:p>
    <w:p w:rsidR="004E13A5" w:rsidRDefault="00681463">
      <w:pPr>
        <w:pStyle w:val="BodyText"/>
        <w:ind w:left="820" w:right="202"/>
      </w:pPr>
      <w:r>
        <w:t>The PHA will attempt to remedy discrimination complaints made against the PHA by encouraging the participant or applicant to review the complaint with the PHA, allowing all parties an opportunity to resolve the complaint.</w:t>
      </w:r>
    </w:p>
    <w:p w:rsidR="004E13A5" w:rsidRDefault="00681463">
      <w:pPr>
        <w:pStyle w:val="BodyText"/>
        <w:ind w:left="820" w:right="62"/>
      </w:pPr>
      <w:r>
        <w:t>Within 10 business days following the conclusion of the PHA's investigation, the PHA will provide the complainant and those alleged to have violated the rule with findings and either a proposed corrective action plan or an explanation of why corrective action is not warranted.</w:t>
      </w:r>
    </w:p>
    <w:p w:rsidR="004E13A5" w:rsidRDefault="00681463">
      <w:pPr>
        <w:pStyle w:val="BodyText"/>
        <w:ind w:left="820" w:right="62"/>
      </w:pPr>
      <w:r>
        <w:t>The PHA will keep a record of all complaints, investigations, notices, and corrective actions. (See Chapter 16.)</w:t>
      </w:r>
    </w:p>
    <w:p w:rsidR="00A3152C" w:rsidRDefault="00A3152C">
      <w:pPr>
        <w:pStyle w:val="BodyText"/>
        <w:ind w:left="820" w:right="62"/>
      </w:pPr>
    </w:p>
    <w:p w:rsidR="00A3152C" w:rsidRDefault="00A3152C">
      <w:pPr>
        <w:pStyle w:val="BodyText"/>
        <w:ind w:left="820" w:right="62"/>
        <w:rPr>
          <w:b/>
          <w:bCs/>
          <w:iCs/>
        </w:rPr>
      </w:pPr>
      <w:bookmarkStart w:id="4" w:name="_Hlk177729431"/>
      <w:r w:rsidRPr="002F09F1">
        <w:rPr>
          <w:b/>
          <w:bCs/>
          <w:iCs/>
        </w:rPr>
        <w:t>Complaints under the Equal Access Final Rule</w:t>
      </w:r>
      <w:r>
        <w:rPr>
          <w:b/>
          <w:bCs/>
          <w:iCs/>
        </w:rPr>
        <w:t xml:space="preserve"> [Notice PIH 2014-20]</w:t>
      </w:r>
    </w:p>
    <w:p w:rsidR="00E858D2" w:rsidRDefault="00E858D2" w:rsidP="00E858D2">
      <w:pPr>
        <w:pStyle w:val="BodyText"/>
        <w:spacing w:before="120"/>
        <w:ind w:left="820"/>
      </w:pPr>
      <w:r>
        <w:rPr>
          <w:b/>
          <w:bCs/>
          <w:iCs/>
        </w:rPr>
        <w:tab/>
        <w:t xml:space="preserve">    </w:t>
      </w:r>
      <w:r>
        <w:rPr>
          <w:u w:val="single"/>
        </w:rPr>
        <w:t>PHA Policy</w:t>
      </w:r>
    </w:p>
    <w:p w:rsidR="00E858D2" w:rsidRDefault="00E858D2">
      <w:pPr>
        <w:pStyle w:val="BodyText"/>
        <w:ind w:left="820" w:right="62"/>
        <w:rPr>
          <w:b/>
          <w:bCs/>
          <w:iCs/>
        </w:rPr>
      </w:pPr>
    </w:p>
    <w:p w:rsidR="00E858D2" w:rsidRPr="005325D1" w:rsidRDefault="00E858D2" w:rsidP="00E858D2">
      <w:pPr>
        <w:widowControl/>
        <w:spacing w:before="120"/>
        <w:ind w:left="1800"/>
        <w:rPr>
          <w:sz w:val="24"/>
        </w:rPr>
      </w:pPr>
      <w:r w:rsidRPr="005325D1">
        <w:rPr>
          <w:sz w:val="24"/>
        </w:rPr>
        <w:t>Applicants or tenant families who believe that they have been subject to unlawful discrimination based on marital status, gender identity, or sexual orientation under the Equal Access Rule may notify the PHA either orally or in writing.</w:t>
      </w:r>
    </w:p>
    <w:p w:rsidR="00E858D2" w:rsidRPr="005325D1" w:rsidRDefault="00E858D2" w:rsidP="00E858D2">
      <w:pPr>
        <w:widowControl/>
        <w:spacing w:before="120"/>
        <w:ind w:left="1800"/>
        <w:rPr>
          <w:sz w:val="24"/>
        </w:rPr>
      </w:pPr>
      <w:r w:rsidRPr="005325D1">
        <w:rPr>
          <w:sz w:val="24"/>
        </w:rPr>
        <w:t>Within 10 business days of receiving the complaint, the PHA will provide a written notice to those alleged to have violated the rule. The PHA will also send a written notice to the complainant informing them that notice was sent to those alleged to have violated the rule, as well as information on how to complete and submit a housing discrimination complaint form to HUD’s Office of Fair Housing and Equal Opportunity (FHEO).</w:t>
      </w:r>
    </w:p>
    <w:p w:rsidR="00E858D2" w:rsidRPr="005325D1" w:rsidRDefault="00E858D2" w:rsidP="00E858D2">
      <w:pPr>
        <w:widowControl/>
        <w:spacing w:before="120"/>
        <w:ind w:left="1800"/>
        <w:rPr>
          <w:sz w:val="24"/>
        </w:rPr>
      </w:pPr>
      <w:r w:rsidRPr="005325D1">
        <w:rPr>
          <w:sz w:val="24"/>
        </w:rPr>
        <w:t>The PHA will attempt to remedy discrimination complaints made against the PHA and will conduct an investigation into all allegations of discrimination.</w:t>
      </w:r>
    </w:p>
    <w:p w:rsidR="00E858D2" w:rsidRPr="005325D1" w:rsidRDefault="00E858D2" w:rsidP="00E858D2">
      <w:pPr>
        <w:widowControl/>
        <w:spacing w:before="120"/>
        <w:ind w:left="1800"/>
        <w:rPr>
          <w:sz w:val="24"/>
        </w:rPr>
      </w:pPr>
      <w:r w:rsidRPr="005325D1">
        <w:rPr>
          <w:sz w:val="24"/>
        </w:rPr>
        <w:t>Within 10 business days following the conclusion of the PHA's investigation, the PHA will provide the complainant and those alleged to have violated the rule with findings and either a proposed corrective action plan or an explanation of why corrective action is not warranted.</w:t>
      </w:r>
    </w:p>
    <w:p w:rsidR="00E858D2" w:rsidRDefault="00E858D2" w:rsidP="00E858D2">
      <w:pPr>
        <w:widowControl/>
        <w:spacing w:before="120"/>
        <w:ind w:left="1800"/>
        <w:rPr>
          <w:sz w:val="24"/>
        </w:rPr>
      </w:pPr>
      <w:r w:rsidRPr="005325D1">
        <w:rPr>
          <w:sz w:val="24"/>
        </w:rPr>
        <w:t>The PHA will keep a record of all complaints, investigations, notices, and corrective actions. (See Chapter 16.)</w:t>
      </w:r>
    </w:p>
    <w:bookmarkEnd w:id="4"/>
    <w:p w:rsidR="00E858D2" w:rsidRDefault="00E858D2" w:rsidP="00E858D2">
      <w:pPr>
        <w:widowControl/>
        <w:spacing w:before="120"/>
        <w:ind w:left="1800"/>
        <w:rPr>
          <w:sz w:val="24"/>
        </w:rPr>
      </w:pPr>
    </w:p>
    <w:p w:rsidR="00E858D2" w:rsidRPr="005325D1" w:rsidRDefault="00E858D2" w:rsidP="00E858D2">
      <w:pPr>
        <w:widowControl/>
        <w:spacing w:before="120"/>
        <w:ind w:left="1074"/>
        <w:rPr>
          <w:sz w:val="24"/>
        </w:rPr>
      </w:pPr>
      <w:bookmarkStart w:id="5" w:name="_Hlk177729470"/>
      <w:r w:rsidRPr="005325D1">
        <w:rPr>
          <w:b/>
          <w:bCs/>
          <w:iCs/>
          <w:sz w:val="24"/>
        </w:rPr>
        <w:t>VAWA Complaint Processing [Notice FHEO 2023-01]</w:t>
      </w:r>
    </w:p>
    <w:p w:rsidR="00A3152C" w:rsidRDefault="00E858D2">
      <w:pPr>
        <w:pStyle w:val="BodyText"/>
        <w:ind w:left="820" w:right="62"/>
        <w:rPr>
          <w:u w:val="single"/>
        </w:rPr>
      </w:pPr>
      <w:r>
        <w:tab/>
      </w:r>
      <w:r>
        <w:rPr>
          <w:b/>
          <w:bCs/>
          <w:iCs/>
        </w:rPr>
        <w:t xml:space="preserve">    </w:t>
      </w:r>
      <w:r>
        <w:rPr>
          <w:u w:val="single"/>
        </w:rPr>
        <w:t>PHA Policy</w:t>
      </w:r>
    </w:p>
    <w:p w:rsidR="00E858D2" w:rsidRPr="005325D1" w:rsidRDefault="00E858D2" w:rsidP="00E858D2">
      <w:pPr>
        <w:widowControl/>
        <w:spacing w:before="120"/>
        <w:ind w:left="1800"/>
        <w:rPr>
          <w:sz w:val="24"/>
        </w:rPr>
      </w:pPr>
      <w:bookmarkStart w:id="6" w:name="_Hlk126668664"/>
      <w:r w:rsidRPr="005325D1">
        <w:rPr>
          <w:sz w:val="24"/>
        </w:rPr>
        <w:t xml:space="preserve">Applicants or tenant families who wish to file a VAWA complaint against the PHA may notify the PHA either orally or in writing. </w:t>
      </w:r>
    </w:p>
    <w:p w:rsidR="00E858D2" w:rsidRPr="005325D1" w:rsidRDefault="00E858D2" w:rsidP="00E858D2">
      <w:pPr>
        <w:widowControl/>
        <w:spacing w:before="120"/>
        <w:ind w:left="1800"/>
        <w:rPr>
          <w:sz w:val="24"/>
        </w:rPr>
      </w:pPr>
      <w:r w:rsidRPr="005325D1">
        <w:rPr>
          <w:sz w:val="24"/>
        </w:rPr>
        <w:t xml:space="preserve">The PHA will advise the family of their right to file a VAWA complaint with HUD’s Office of Fair Housing and Equal Opportunity (FHEO). The PHA will inform the family that not later than one year after an alleged VAWA violation has occurred or terminated, applicants and tenants who believe they have been </w:t>
      </w:r>
      <w:r w:rsidRPr="005325D1">
        <w:rPr>
          <w:sz w:val="24"/>
        </w:rPr>
        <w:lastRenderedPageBreak/>
        <w:t>injured by a VAWA violation or will be injured by such a violation that is about to occur may file a VAWA complaint using FHEO’s online complaint form via mail, email, or telephone.</w:t>
      </w:r>
    </w:p>
    <w:p w:rsidR="00E858D2" w:rsidRPr="005325D1" w:rsidRDefault="00E858D2" w:rsidP="00E858D2">
      <w:pPr>
        <w:widowControl/>
        <w:spacing w:before="120"/>
        <w:ind w:left="1800"/>
        <w:rPr>
          <w:sz w:val="24"/>
        </w:rPr>
      </w:pPr>
      <w:r w:rsidRPr="005325D1">
        <w:rPr>
          <w:sz w:val="24"/>
        </w:rPr>
        <w:t>The PHA will attempt to remedy complaints made against the PHA and will conduct an investigation into all allegations of discrimination.</w:t>
      </w:r>
    </w:p>
    <w:p w:rsidR="00E858D2" w:rsidRPr="005325D1" w:rsidRDefault="00E858D2" w:rsidP="00E858D2">
      <w:pPr>
        <w:widowControl/>
        <w:spacing w:before="120"/>
        <w:ind w:left="1800"/>
        <w:rPr>
          <w:sz w:val="24"/>
        </w:rPr>
      </w:pPr>
      <w:r w:rsidRPr="005325D1">
        <w:rPr>
          <w:sz w:val="24"/>
        </w:rPr>
        <w:t>The PHA will keep a record of all complaints, investigations, notices, and corrective actions. (See Chapter 16.)</w:t>
      </w:r>
    </w:p>
    <w:bookmarkEnd w:id="6"/>
    <w:bookmarkEnd w:id="5"/>
    <w:p w:rsidR="00E858D2" w:rsidRDefault="00E858D2">
      <w:pPr>
        <w:pStyle w:val="BodyText"/>
        <w:ind w:left="820" w:right="62"/>
      </w:pPr>
    </w:p>
    <w:p w:rsidR="004E13A5" w:rsidRDefault="00681463">
      <w:pPr>
        <w:pStyle w:val="Heading4"/>
        <w:spacing w:before="6" w:line="510" w:lineRule="atLeast"/>
        <w:ind w:right="1056" w:firstLine="974"/>
      </w:pPr>
      <w:r>
        <w:t>PART II: POLICIES RELATED TO PERSONS WITH DISABILITIES 2-II.A. OVERVIEW</w:t>
      </w:r>
    </w:p>
    <w:p w:rsidR="004E13A5" w:rsidRDefault="00681463">
      <w:pPr>
        <w:pStyle w:val="BodyText"/>
        <w:spacing w:before="120"/>
        <w:ind w:right="62"/>
      </w:pPr>
      <w:r>
        <w:t>One type of disability discrimination prohibited by the Fair Housing Act is the refusal to make reasonable accommodation in rules, policies, practices, or services when such accommodation may be necessary to afford a person with a disability the equal opportunity to use and enjoy a program or dwelling under the program.</w:t>
      </w:r>
    </w:p>
    <w:p w:rsidR="004E13A5" w:rsidRDefault="00681463">
      <w:pPr>
        <w:pStyle w:val="BodyText"/>
        <w:spacing w:before="120"/>
        <w:ind w:right="62"/>
      </w:pPr>
      <w:r>
        <w:t>The PHA must ensure that persons with disabilities have full access to the PHA’s programs and services. This responsibility begins with the first contact by an interested family and continues through every aspect of the program.</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The PHA will ask all applicants and participants if they require any type of accommodations, in writing, on the intake application, reexamination documents, and notices of adverse action by the PHA, by including the following language:</w:t>
      </w:r>
    </w:p>
    <w:p w:rsidR="004E13A5" w:rsidRDefault="00681463">
      <w:pPr>
        <w:pStyle w:val="BodyText"/>
        <w:ind w:left="1540" w:right="62"/>
      </w:pPr>
      <w:r>
        <w:t>“If you or anyone in your family is a person with disabilities, and you require a specific accommodation in order to fully utilize our programs and services, please contact the housing authority.”</w:t>
      </w:r>
    </w:p>
    <w:p w:rsidR="004E13A5" w:rsidRDefault="00681463">
      <w:pPr>
        <w:pStyle w:val="BodyText"/>
        <w:ind w:left="820" w:right="802"/>
      </w:pPr>
      <w:r>
        <w:t>A specific name and phone number of designated staff will be provided to process requests for accommodation.</w:t>
      </w:r>
    </w:p>
    <w:p w:rsidR="004E13A5" w:rsidRDefault="00681463">
      <w:pPr>
        <w:pStyle w:val="BodyText"/>
        <w:ind w:left="820" w:right="62"/>
      </w:pPr>
      <w:r>
        <w:t>The PHA will display posters and other housing information and signage in locations throughout the PHA’s office in such a manner as to be easily readable from a wheelchair.</w:t>
      </w:r>
    </w:p>
    <w:p w:rsidR="004E13A5" w:rsidRDefault="004E13A5">
      <w:pPr>
        <w:pStyle w:val="BodyText"/>
        <w:spacing w:before="10"/>
        <w:ind w:left="0"/>
        <w:rPr>
          <w:sz w:val="20"/>
        </w:rPr>
      </w:pPr>
    </w:p>
    <w:p w:rsidR="004E13A5" w:rsidRDefault="00681463">
      <w:pPr>
        <w:pStyle w:val="Heading4"/>
      </w:pPr>
      <w:r>
        <w:t>2-II.B. DEFINITION OF REASONABLE ACCOMMODATION</w:t>
      </w:r>
    </w:p>
    <w:p w:rsidR="004E13A5" w:rsidRDefault="00681463">
      <w:pPr>
        <w:pStyle w:val="BodyText"/>
        <w:spacing w:before="0"/>
        <w:ind w:right="149"/>
      </w:pPr>
      <w:r>
        <w:t>A reasonable accommodation is an adjustment made to a rule, policy, practice, or service that allows a person with a disability to have equal access to the HCV program. For example, reasonable accommodations may include making home visits, extending the voucher term, or approving an exception payment standard in order for a participant to lease an accessible dwelling unit.</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right="316"/>
      </w:pPr>
      <w:r>
        <w:lastRenderedPageBreak/>
        <w:t>Federal regulations stipulate that requests for accommodations will be considered reasonable if they do not create an "undue financial and administrative burden" for the PHA, or result in a “fundamental alteration” in the nature of the program or service offered. A fundamental alteration is a modification that alters the essential nature of a provider’s operations.</w:t>
      </w:r>
    </w:p>
    <w:p w:rsidR="004E13A5" w:rsidRDefault="00681463">
      <w:pPr>
        <w:pStyle w:val="Heading4"/>
        <w:spacing w:before="119"/>
      </w:pPr>
      <w:r>
        <w:t>Types of Reasonable Accommodations</w:t>
      </w:r>
    </w:p>
    <w:p w:rsidR="004E13A5" w:rsidRDefault="00681463">
      <w:pPr>
        <w:pStyle w:val="BodyText"/>
        <w:ind w:right="262"/>
      </w:pPr>
      <w:r>
        <w:t>When needed, the PHA will modify normal procedures to accommodate the needs of a person with disabilities. Examples include:</w:t>
      </w:r>
    </w:p>
    <w:p w:rsidR="004E13A5" w:rsidRDefault="00681463">
      <w:pPr>
        <w:pStyle w:val="ListParagraph"/>
        <w:numPr>
          <w:ilvl w:val="0"/>
          <w:numId w:val="93"/>
        </w:numPr>
        <w:tabs>
          <w:tab w:val="left" w:pos="460"/>
          <w:tab w:val="left" w:pos="461"/>
        </w:tabs>
        <w:rPr>
          <w:rFonts w:ascii="Symbol"/>
          <w:sz w:val="24"/>
        </w:rPr>
      </w:pPr>
      <w:r>
        <w:rPr>
          <w:sz w:val="24"/>
        </w:rPr>
        <w:t>Permitting applications and reexaminations to be completed by</w:t>
      </w:r>
      <w:r>
        <w:rPr>
          <w:spacing w:val="-12"/>
          <w:sz w:val="24"/>
        </w:rPr>
        <w:t xml:space="preserve"> </w:t>
      </w:r>
      <w:r>
        <w:rPr>
          <w:sz w:val="24"/>
        </w:rPr>
        <w:t>mail</w:t>
      </w:r>
    </w:p>
    <w:p w:rsidR="004E13A5" w:rsidRDefault="00681463">
      <w:pPr>
        <w:pStyle w:val="ListParagraph"/>
        <w:numPr>
          <w:ilvl w:val="0"/>
          <w:numId w:val="93"/>
        </w:numPr>
        <w:tabs>
          <w:tab w:val="left" w:pos="460"/>
          <w:tab w:val="left" w:pos="461"/>
        </w:tabs>
        <w:spacing w:before="118"/>
        <w:rPr>
          <w:rFonts w:ascii="Symbol"/>
          <w:sz w:val="24"/>
        </w:rPr>
      </w:pPr>
      <w:r>
        <w:rPr>
          <w:sz w:val="24"/>
        </w:rPr>
        <w:t>Conducting home</w:t>
      </w:r>
      <w:r>
        <w:rPr>
          <w:spacing w:val="-3"/>
          <w:sz w:val="24"/>
        </w:rPr>
        <w:t xml:space="preserve"> </w:t>
      </w:r>
      <w:r>
        <w:rPr>
          <w:sz w:val="24"/>
        </w:rPr>
        <w:t>visits</w:t>
      </w:r>
    </w:p>
    <w:p w:rsidR="004E13A5" w:rsidRDefault="00681463">
      <w:pPr>
        <w:pStyle w:val="ListParagraph"/>
        <w:numPr>
          <w:ilvl w:val="0"/>
          <w:numId w:val="93"/>
        </w:numPr>
        <w:tabs>
          <w:tab w:val="left" w:pos="461"/>
        </w:tabs>
        <w:spacing w:before="118"/>
        <w:ind w:right="141"/>
        <w:jc w:val="both"/>
        <w:rPr>
          <w:rFonts w:ascii="Symbol"/>
          <w:sz w:val="24"/>
        </w:rPr>
      </w:pPr>
      <w:r>
        <w:rPr>
          <w:sz w:val="24"/>
        </w:rPr>
        <w:t>Using higher payment standards (either within the acceptable range or with HUD approval</w:t>
      </w:r>
      <w:r>
        <w:rPr>
          <w:spacing w:val="-21"/>
          <w:sz w:val="24"/>
        </w:rPr>
        <w:t xml:space="preserve"> </w:t>
      </w:r>
      <w:r>
        <w:rPr>
          <w:sz w:val="24"/>
        </w:rPr>
        <w:t>of a payment standard outside the PHA range) if the PHA determines this is necessary to enable a person with disabilities to obtain a suitable housing</w:t>
      </w:r>
      <w:r>
        <w:rPr>
          <w:spacing w:val="-9"/>
          <w:sz w:val="24"/>
        </w:rPr>
        <w:t xml:space="preserve"> </w:t>
      </w:r>
      <w:r>
        <w:rPr>
          <w:sz w:val="24"/>
        </w:rPr>
        <w:t>unit</w:t>
      </w:r>
    </w:p>
    <w:p w:rsidR="004E13A5" w:rsidRDefault="00681463">
      <w:pPr>
        <w:pStyle w:val="ListParagraph"/>
        <w:numPr>
          <w:ilvl w:val="0"/>
          <w:numId w:val="93"/>
        </w:numPr>
        <w:tabs>
          <w:tab w:val="left" w:pos="460"/>
          <w:tab w:val="left" w:pos="461"/>
        </w:tabs>
        <w:ind w:right="307"/>
        <w:rPr>
          <w:rFonts w:ascii="Symbol"/>
          <w:sz w:val="24"/>
        </w:rPr>
      </w:pPr>
      <w:r>
        <w:rPr>
          <w:sz w:val="24"/>
        </w:rPr>
        <w:t>Providing time extensions for locating a unit when necessary because of lack of availability of accessible units or special challenges of the family in seeking a</w:t>
      </w:r>
      <w:r>
        <w:rPr>
          <w:spacing w:val="-15"/>
          <w:sz w:val="24"/>
        </w:rPr>
        <w:t xml:space="preserve"> </w:t>
      </w:r>
      <w:r>
        <w:rPr>
          <w:sz w:val="24"/>
        </w:rPr>
        <w:t>unit</w:t>
      </w:r>
    </w:p>
    <w:p w:rsidR="004E13A5" w:rsidRDefault="00681463">
      <w:pPr>
        <w:pStyle w:val="ListParagraph"/>
        <w:numPr>
          <w:ilvl w:val="0"/>
          <w:numId w:val="93"/>
        </w:numPr>
        <w:tabs>
          <w:tab w:val="left" w:pos="460"/>
          <w:tab w:val="left" w:pos="461"/>
        </w:tabs>
        <w:ind w:right="127"/>
        <w:rPr>
          <w:rFonts w:ascii="Symbol"/>
          <w:sz w:val="24"/>
        </w:rPr>
      </w:pPr>
      <w:r>
        <w:rPr>
          <w:sz w:val="24"/>
        </w:rPr>
        <w:t>Permitting an authorized designee or advocate to participate in the application or certification process and any other meetings with PHA</w:t>
      </w:r>
      <w:r>
        <w:rPr>
          <w:spacing w:val="-11"/>
          <w:sz w:val="24"/>
        </w:rPr>
        <w:t xml:space="preserve"> </w:t>
      </w:r>
      <w:r>
        <w:rPr>
          <w:sz w:val="24"/>
        </w:rPr>
        <w:t>staff</w:t>
      </w:r>
    </w:p>
    <w:p w:rsidR="004E13A5" w:rsidRDefault="004E13A5">
      <w:pPr>
        <w:pStyle w:val="BodyText"/>
        <w:spacing w:before="10"/>
        <w:ind w:left="0"/>
        <w:rPr>
          <w:sz w:val="20"/>
        </w:rPr>
      </w:pPr>
    </w:p>
    <w:p w:rsidR="004E13A5" w:rsidRDefault="00681463">
      <w:pPr>
        <w:pStyle w:val="Heading4"/>
      </w:pPr>
      <w:r>
        <w:t>2-II.C. REQUEST FOR AN ACCOMMODATION</w:t>
      </w:r>
    </w:p>
    <w:p w:rsidR="004E13A5" w:rsidRDefault="00681463">
      <w:pPr>
        <w:pStyle w:val="BodyText"/>
        <w:spacing w:before="120"/>
        <w:ind w:right="182"/>
      </w:pPr>
      <w:r>
        <w:t>If an applicant or participant indicates that an exception, change, or adjustment to a rule, policy, practice, or service is needed because of a disability, HUD requires that the PHA treat the information as a request for a reasonable accommodation, even if no formal request is made [Joint Statement of the Departments of HUD and Justice: Reasonable Accommodations under the Fair Housing Act].</w:t>
      </w:r>
    </w:p>
    <w:p w:rsidR="004E13A5" w:rsidRDefault="00681463">
      <w:pPr>
        <w:pStyle w:val="BodyText"/>
        <w:spacing w:before="120"/>
        <w:ind w:right="342"/>
      </w:pPr>
      <w:r>
        <w:t>The family must explain what type of accommodation is needed to provide the person with the disability full access to the PHA’s programs and services.</w:t>
      </w:r>
    </w:p>
    <w:p w:rsidR="004E13A5" w:rsidRDefault="00681463">
      <w:pPr>
        <w:pStyle w:val="BodyText"/>
        <w:spacing w:before="120"/>
        <w:ind w:right="214"/>
        <w:jc w:val="both"/>
      </w:pPr>
      <w:r>
        <w:t>If the need for the accommodation is not readily apparent or known to the PHA, the family</w:t>
      </w:r>
      <w:r>
        <w:rPr>
          <w:spacing w:val="-22"/>
        </w:rPr>
        <w:t xml:space="preserve"> </w:t>
      </w:r>
      <w:r>
        <w:t>must explain the relationship between the requested accommodation and the disability. There must be an identifiable connection, or nexus, between the requested accommodation and the individual’s disability.</w:t>
      </w:r>
    </w:p>
    <w:p w:rsidR="004E13A5" w:rsidRDefault="00681463">
      <w:pPr>
        <w:pStyle w:val="BodyText"/>
        <w:spacing w:before="120"/>
        <w:ind w:left="820"/>
      </w:pPr>
      <w:r>
        <w:rPr>
          <w:u w:val="single"/>
        </w:rPr>
        <w:t>PHA Policy</w:t>
      </w:r>
    </w:p>
    <w:p w:rsidR="004E13A5" w:rsidRDefault="00681463">
      <w:pPr>
        <w:pStyle w:val="BodyText"/>
        <w:spacing w:before="120"/>
        <w:ind w:left="820" w:right="295"/>
      </w:pPr>
      <w:r>
        <w:t>The PHA will encourage the family to make its request in writing using a reasonable accommodation request form. However, the PHA will consider the accommodation any time the family indicates that an accommodation is needed whether or not a formal written request is submitted.</w:t>
      </w:r>
    </w:p>
    <w:p w:rsidR="004E13A5" w:rsidRDefault="004E13A5">
      <w:pPr>
        <w:pStyle w:val="BodyText"/>
        <w:spacing w:before="10"/>
        <w:ind w:left="0"/>
        <w:rPr>
          <w:sz w:val="20"/>
        </w:rPr>
      </w:pPr>
    </w:p>
    <w:p w:rsidR="004E13A5" w:rsidRDefault="00681463">
      <w:pPr>
        <w:pStyle w:val="Heading4"/>
      </w:pPr>
      <w:r>
        <w:t>2-II.D. VERIFICATION OF DISABILITY</w:t>
      </w:r>
    </w:p>
    <w:p w:rsidR="004E13A5" w:rsidRDefault="00681463">
      <w:pPr>
        <w:pStyle w:val="BodyText"/>
        <w:spacing w:before="120"/>
        <w:ind w:right="101"/>
      </w:pPr>
      <w:r>
        <w:t>The regulatory civil rights definition for persons with disabilities is provided in Exhibit 2-1 at the end of this chapter. The definition of a person with a disability for the purpose of obtaining a reasonable accommodation is much broader than the HUD definition of disability which is used for waiting list preferences and income allowances.</w:t>
      </w:r>
    </w:p>
    <w:p w:rsidR="004E13A5" w:rsidRDefault="00681463">
      <w:pPr>
        <w:pStyle w:val="BodyText"/>
        <w:spacing w:before="125" w:line="274" w:lineRule="exact"/>
        <w:ind w:right="449"/>
      </w:pPr>
      <w:r>
        <w:t>Before providing an accommodation, the PHA must determine that the person meets the definition of a person with a disability, and that the accommodation will enhance the family’s</w:t>
      </w:r>
    </w:p>
    <w:p w:rsidR="004E13A5" w:rsidRDefault="004E13A5">
      <w:pPr>
        <w:spacing w:line="274" w:lineRule="exact"/>
        <w:sectPr w:rsidR="004E13A5">
          <w:pgSz w:w="12240" w:h="15840"/>
          <w:pgMar w:top="1360" w:right="1340" w:bottom="640" w:left="1340" w:header="0" w:footer="381" w:gutter="0"/>
          <w:cols w:space="720"/>
        </w:sectPr>
      </w:pPr>
    </w:p>
    <w:p w:rsidR="004E13A5" w:rsidRDefault="00681463">
      <w:pPr>
        <w:pStyle w:val="BodyText"/>
        <w:spacing w:before="79"/>
      </w:pPr>
      <w:r>
        <w:lastRenderedPageBreak/>
        <w:t>access to the PHA’s programs and services.</w:t>
      </w:r>
    </w:p>
    <w:p w:rsidR="004E13A5" w:rsidRDefault="00681463">
      <w:pPr>
        <w:pStyle w:val="BodyText"/>
        <w:ind w:right="89"/>
      </w:pPr>
      <w:r>
        <w:t>If a person’s disability is obvious or otherwise known to the PHA, and if the need for the requested accommodation is also readily apparent or known, no further verification will be required [Joint Statement of the Departments of HUD and Justice: Reasonable Accommodations under the Fair Housing Act].</w:t>
      </w:r>
    </w:p>
    <w:p w:rsidR="004E13A5" w:rsidRDefault="00681463">
      <w:pPr>
        <w:pStyle w:val="BodyText"/>
      </w:pPr>
      <w:r>
        <w:t>If a family indicates that an accommodation is required for a disability that is not obvious or otherwise known to the PHA, the PHA must verify that the person meets the definition of a person with a disability, and that the limitations imposed by the disability require the requested accommodation.</w:t>
      </w:r>
    </w:p>
    <w:p w:rsidR="004E13A5" w:rsidRDefault="00681463">
      <w:pPr>
        <w:pStyle w:val="BodyText"/>
      </w:pPr>
      <w:r>
        <w:t>When verifying a disability, the PHA will follow the verification policies provided in Chapter 7. All information related to a person’s disability will be treated in accordance with the confidentiality policies provided in Chapter 16. In addition to the general requirements that govern all verification efforts, the following requirements apply when verifying a disability:</w:t>
      </w:r>
    </w:p>
    <w:p w:rsidR="004E13A5" w:rsidRDefault="00681463">
      <w:pPr>
        <w:pStyle w:val="ListParagraph"/>
        <w:numPr>
          <w:ilvl w:val="0"/>
          <w:numId w:val="93"/>
        </w:numPr>
        <w:tabs>
          <w:tab w:val="left" w:pos="460"/>
          <w:tab w:val="left" w:pos="461"/>
        </w:tabs>
        <w:ind w:right="137"/>
        <w:rPr>
          <w:rFonts w:ascii="Symbol" w:hAnsi="Symbol"/>
          <w:sz w:val="24"/>
        </w:rPr>
      </w:pPr>
      <w:r>
        <w:rPr>
          <w:sz w:val="24"/>
        </w:rPr>
        <w:t>Third-party verification must be obtained from an individual identified by the family who is competent to make the determination. A doctor or other medical professional, a peer</w:t>
      </w:r>
      <w:r>
        <w:rPr>
          <w:spacing w:val="-16"/>
          <w:sz w:val="24"/>
        </w:rPr>
        <w:t xml:space="preserve"> </w:t>
      </w:r>
      <w:r>
        <w:rPr>
          <w:sz w:val="24"/>
        </w:rPr>
        <w:t>support group, a non-medical service agency, or a reliable third party who is in a position to know about the individual’s disability may provide verification of a disability [Joint Statement of the Departments of HUD and Justice: Reasonable Accommodations under the Fair Housing Act]</w:t>
      </w:r>
    </w:p>
    <w:p w:rsidR="004E13A5" w:rsidRDefault="00681463">
      <w:pPr>
        <w:pStyle w:val="ListParagraph"/>
        <w:numPr>
          <w:ilvl w:val="0"/>
          <w:numId w:val="93"/>
        </w:numPr>
        <w:tabs>
          <w:tab w:val="left" w:pos="460"/>
          <w:tab w:val="left" w:pos="461"/>
        </w:tabs>
        <w:ind w:right="366"/>
        <w:rPr>
          <w:rFonts w:ascii="Symbol"/>
          <w:sz w:val="24"/>
        </w:rPr>
      </w:pPr>
      <w:r>
        <w:rPr>
          <w:sz w:val="24"/>
        </w:rPr>
        <w:t>The PHA must request only information that is necessary to evaluate the disability-related need for the accommodation. The PHA will not inquire about the nature or extent of any disability.</w:t>
      </w:r>
    </w:p>
    <w:p w:rsidR="004E13A5" w:rsidRDefault="00681463">
      <w:pPr>
        <w:pStyle w:val="ListParagraph"/>
        <w:numPr>
          <w:ilvl w:val="0"/>
          <w:numId w:val="93"/>
        </w:numPr>
        <w:tabs>
          <w:tab w:val="left" w:pos="460"/>
          <w:tab w:val="left" w:pos="461"/>
        </w:tabs>
        <w:rPr>
          <w:rFonts w:ascii="Symbol"/>
          <w:sz w:val="24"/>
        </w:rPr>
      </w:pPr>
      <w:r>
        <w:rPr>
          <w:sz w:val="24"/>
        </w:rPr>
        <w:t>Medical records will not be accepted or retained in the participant</w:t>
      </w:r>
      <w:r>
        <w:rPr>
          <w:spacing w:val="-15"/>
          <w:sz w:val="24"/>
        </w:rPr>
        <w:t xml:space="preserve"> </w:t>
      </w:r>
      <w:r>
        <w:rPr>
          <w:sz w:val="24"/>
        </w:rPr>
        <w:t>file.</w:t>
      </w:r>
    </w:p>
    <w:p w:rsidR="004E13A5" w:rsidRDefault="00681463">
      <w:pPr>
        <w:pStyle w:val="ListParagraph"/>
        <w:numPr>
          <w:ilvl w:val="0"/>
          <w:numId w:val="93"/>
        </w:numPr>
        <w:tabs>
          <w:tab w:val="left" w:pos="460"/>
          <w:tab w:val="left" w:pos="461"/>
        </w:tabs>
        <w:ind w:right="169"/>
        <w:rPr>
          <w:rFonts w:ascii="Symbol" w:hAnsi="Symbol"/>
          <w:sz w:val="24"/>
        </w:rPr>
      </w:pPr>
      <w:r>
        <w:rPr>
          <w:sz w:val="24"/>
        </w:rPr>
        <w:t xml:space="preserve">In the event that the PHA does receive confidential information about a person’s specific diagnosis, treatment, or the nature or severity of the disability, the PHA will dispose of it. </w:t>
      </w:r>
      <w:r>
        <w:rPr>
          <w:spacing w:val="-3"/>
          <w:sz w:val="24"/>
        </w:rPr>
        <w:t xml:space="preserve">In </w:t>
      </w:r>
      <w:r>
        <w:rPr>
          <w:sz w:val="24"/>
        </w:rPr>
        <w:t>place of the information, the PHA will note in the file that the disability and other requested information have been verified, the date the verification was received, and the name and address of the knowledgeable professional who sent the information [Notice PIH</w:t>
      </w:r>
      <w:r>
        <w:rPr>
          <w:spacing w:val="-9"/>
          <w:sz w:val="24"/>
        </w:rPr>
        <w:t xml:space="preserve"> </w:t>
      </w:r>
      <w:r>
        <w:rPr>
          <w:sz w:val="24"/>
        </w:rPr>
        <w:t>2010-26].</w:t>
      </w:r>
    </w:p>
    <w:p w:rsidR="004E13A5" w:rsidRDefault="004E13A5">
      <w:pPr>
        <w:pStyle w:val="BodyText"/>
        <w:spacing w:before="9"/>
        <w:ind w:left="0"/>
        <w:rPr>
          <w:sz w:val="20"/>
        </w:rPr>
      </w:pPr>
    </w:p>
    <w:p w:rsidR="004E13A5" w:rsidRDefault="00681463">
      <w:pPr>
        <w:spacing w:before="1"/>
        <w:ind w:left="100"/>
        <w:rPr>
          <w:sz w:val="24"/>
        </w:rPr>
      </w:pPr>
      <w:r>
        <w:rPr>
          <w:b/>
          <w:sz w:val="24"/>
        </w:rPr>
        <w:t xml:space="preserve">2-II.E. APPROVAL/DENIAL OF A REQUESTED ACCOMMODATION </w:t>
      </w:r>
      <w:r>
        <w:rPr>
          <w:sz w:val="24"/>
        </w:rPr>
        <w:t>[Joint Statement</w:t>
      </w:r>
    </w:p>
    <w:p w:rsidR="004E13A5" w:rsidRDefault="00681463">
      <w:pPr>
        <w:pStyle w:val="BodyText"/>
        <w:spacing w:before="0"/>
        <w:ind w:right="295"/>
      </w:pPr>
      <w:r>
        <w:t>of the Departments of HUD and Justice: Reasonable Accommodations under the Fair Housing Act, Notice PIH 2010-26].</w:t>
      </w:r>
    </w:p>
    <w:p w:rsidR="004E13A5" w:rsidRDefault="00681463">
      <w:pPr>
        <w:pStyle w:val="BodyText"/>
        <w:spacing w:before="120"/>
        <w:ind w:right="442"/>
      </w:pPr>
      <w:r>
        <w:t>The PHA must approve a request for an accommodation if the following three conditions are met:</w:t>
      </w:r>
    </w:p>
    <w:p w:rsidR="004E13A5" w:rsidRDefault="00681463">
      <w:pPr>
        <w:pStyle w:val="ListParagraph"/>
        <w:numPr>
          <w:ilvl w:val="0"/>
          <w:numId w:val="93"/>
        </w:numPr>
        <w:tabs>
          <w:tab w:val="left" w:pos="460"/>
          <w:tab w:val="left" w:pos="461"/>
        </w:tabs>
        <w:spacing w:before="120"/>
        <w:rPr>
          <w:rFonts w:ascii="Symbol"/>
          <w:sz w:val="24"/>
        </w:rPr>
      </w:pPr>
      <w:r>
        <w:rPr>
          <w:sz w:val="24"/>
        </w:rPr>
        <w:t>The request was made by or on behalf of a person with a</w:t>
      </w:r>
      <w:r>
        <w:rPr>
          <w:spacing w:val="-13"/>
          <w:sz w:val="24"/>
        </w:rPr>
        <w:t xml:space="preserve"> </w:t>
      </w:r>
      <w:r>
        <w:rPr>
          <w:sz w:val="24"/>
        </w:rPr>
        <w:t>disability.</w:t>
      </w:r>
    </w:p>
    <w:p w:rsidR="004E13A5" w:rsidRDefault="00681463">
      <w:pPr>
        <w:pStyle w:val="ListParagraph"/>
        <w:numPr>
          <w:ilvl w:val="0"/>
          <w:numId w:val="93"/>
        </w:numPr>
        <w:tabs>
          <w:tab w:val="left" w:pos="460"/>
          <w:tab w:val="left" w:pos="461"/>
        </w:tabs>
        <w:spacing w:before="121"/>
        <w:rPr>
          <w:rFonts w:ascii="Symbol"/>
          <w:sz w:val="24"/>
        </w:rPr>
      </w:pPr>
      <w:r>
        <w:rPr>
          <w:sz w:val="24"/>
        </w:rPr>
        <w:t>There is a disability-related need for the</w:t>
      </w:r>
      <w:r>
        <w:rPr>
          <w:spacing w:val="-10"/>
          <w:sz w:val="24"/>
        </w:rPr>
        <w:t xml:space="preserve"> </w:t>
      </w:r>
      <w:r>
        <w:rPr>
          <w:sz w:val="24"/>
        </w:rPr>
        <w:t>accommodation.</w:t>
      </w:r>
    </w:p>
    <w:p w:rsidR="004E13A5" w:rsidRDefault="00681463">
      <w:pPr>
        <w:pStyle w:val="ListParagraph"/>
        <w:numPr>
          <w:ilvl w:val="0"/>
          <w:numId w:val="93"/>
        </w:numPr>
        <w:tabs>
          <w:tab w:val="left" w:pos="460"/>
          <w:tab w:val="left" w:pos="461"/>
        </w:tabs>
        <w:ind w:right="495"/>
        <w:rPr>
          <w:rFonts w:ascii="Symbol" w:hAnsi="Symbol"/>
          <w:sz w:val="24"/>
        </w:rPr>
      </w:pPr>
      <w:r>
        <w:rPr>
          <w:sz w:val="24"/>
        </w:rPr>
        <w:t>The requested accommodation is reasonable, meaning it would not impose an undue financial and administrative burden on the PHA, or fundamentally alter the nature of the PHA’s HCV operations (including the obligation to comply with HUD requirements</w:t>
      </w:r>
      <w:r>
        <w:rPr>
          <w:spacing w:val="-14"/>
          <w:sz w:val="24"/>
        </w:rPr>
        <w:t xml:space="preserve"> </w:t>
      </w:r>
      <w:r>
        <w:rPr>
          <w:sz w:val="24"/>
        </w:rPr>
        <w:t>and regulations).</w:t>
      </w:r>
    </w:p>
    <w:p w:rsidR="004E13A5" w:rsidRDefault="00681463">
      <w:pPr>
        <w:pStyle w:val="BodyText"/>
        <w:spacing w:before="120"/>
        <w:ind w:right="209"/>
      </w:pPr>
      <w:r>
        <w:t>Requests for accommodations must be assessed on a case-by-case basis, taking into account factors such as the overall size of the PHA’s program with respect to the number of employees,</w:t>
      </w:r>
    </w:p>
    <w:p w:rsidR="004E13A5" w:rsidRDefault="004E13A5">
      <w:pPr>
        <w:sectPr w:rsidR="004E13A5">
          <w:pgSz w:w="12240" w:h="15840"/>
          <w:pgMar w:top="1360" w:right="1420" w:bottom="640" w:left="1340" w:header="0" w:footer="381" w:gutter="0"/>
          <w:cols w:space="720"/>
        </w:sectPr>
      </w:pPr>
    </w:p>
    <w:p w:rsidR="004E13A5" w:rsidRDefault="00681463">
      <w:pPr>
        <w:pStyle w:val="BodyText"/>
        <w:spacing w:before="79"/>
        <w:ind w:right="463"/>
      </w:pPr>
      <w:r>
        <w:lastRenderedPageBreak/>
        <w:t>type of facilities and size of budget, type of operation including composition and structure of workforce, the nature and cost of the requested accommodation, and the availability of alternative accommodations that would effectively meet the family’s disability-related needs.</w:t>
      </w:r>
    </w:p>
    <w:p w:rsidR="004E13A5" w:rsidRDefault="00681463">
      <w:pPr>
        <w:pStyle w:val="BodyText"/>
        <w:ind w:right="276"/>
      </w:pPr>
      <w:r>
        <w:t>Before making a determination whether to approve the request, the PHA may enter into discussion and negotiation with the family, request more information from the family, or may require the family to sign a consent form so that the PHA may verify the need for the requested accommodation.</w:t>
      </w:r>
    </w:p>
    <w:p w:rsidR="004E13A5" w:rsidRDefault="00681463">
      <w:pPr>
        <w:pStyle w:val="BodyText"/>
        <w:ind w:left="820"/>
      </w:pPr>
      <w:r>
        <w:rPr>
          <w:u w:val="single"/>
        </w:rPr>
        <w:t>PHA Policy</w:t>
      </w:r>
    </w:p>
    <w:p w:rsidR="004E13A5" w:rsidRDefault="00681463">
      <w:pPr>
        <w:pStyle w:val="BodyText"/>
        <w:ind w:left="820" w:right="62"/>
      </w:pPr>
      <w:r>
        <w:t>After a request for an accommodation is presented, the PHA will respond, in writing, within 10 business days.</w:t>
      </w:r>
    </w:p>
    <w:p w:rsidR="004E13A5" w:rsidRDefault="00681463">
      <w:pPr>
        <w:pStyle w:val="BodyText"/>
        <w:ind w:left="820" w:right="149"/>
      </w:pPr>
      <w:r>
        <w:t>If the PHA denies a request for an accommodation because there is no relationship, or nexus, found between the disability and the requested accommodation, the notice will inform the family of the right to appeal the PHA’s decision through an informal review (if applicable) or informal hearing (see Chapter 16).</w:t>
      </w:r>
    </w:p>
    <w:p w:rsidR="004E13A5" w:rsidRDefault="004E13A5">
      <w:pPr>
        <w:pStyle w:val="BodyText"/>
        <w:spacing w:before="0"/>
        <w:ind w:left="0"/>
        <w:rPr>
          <w:sz w:val="26"/>
        </w:rPr>
      </w:pPr>
    </w:p>
    <w:p w:rsidR="004E13A5" w:rsidRDefault="00681463">
      <w:pPr>
        <w:pStyle w:val="BodyText"/>
        <w:spacing w:before="216"/>
        <w:ind w:left="820" w:right="62"/>
      </w:pPr>
      <w:r>
        <w:t>If the PHA denies a request for an accommodation because it is not reasonable (it would impose an undue financial and administrative burden or fundamentally alter the nature of the PHA’s operations), the PHA will discuss with the family whether an alternative accommodation could effectively address the family’s disability-related needs without a fundamental alteration to the HCV program and without imposing an undue financial and administrative burden to the PHA.</w:t>
      </w:r>
    </w:p>
    <w:p w:rsidR="004E13A5" w:rsidRDefault="00681463">
      <w:pPr>
        <w:pStyle w:val="BodyText"/>
        <w:ind w:left="820" w:right="62"/>
      </w:pPr>
      <w:r>
        <w:t>If the PHA believes that the family has failed to identify a reasonable alternative accommodation after interactive discussion and negotiation, the PHA will notify the family, in writing, of its determination within 10 business days from the date of the most recent discussion or communication with the family.</w:t>
      </w:r>
    </w:p>
    <w:p w:rsidR="004E13A5" w:rsidRDefault="004E13A5">
      <w:pPr>
        <w:pStyle w:val="BodyText"/>
        <w:spacing w:before="9"/>
        <w:ind w:left="0"/>
        <w:rPr>
          <w:sz w:val="20"/>
        </w:rPr>
      </w:pPr>
    </w:p>
    <w:p w:rsidR="004E13A5" w:rsidRDefault="00681463">
      <w:pPr>
        <w:pStyle w:val="Heading4"/>
        <w:ind w:right="485"/>
      </w:pPr>
      <w:r>
        <w:t>2-II.F. PROGRAM ACCESSIBILITY FOR PERSONS WITH HEARING OR VISION IMPAIRMENTS</w:t>
      </w:r>
    </w:p>
    <w:p w:rsidR="004E13A5" w:rsidRDefault="00681463">
      <w:pPr>
        <w:pStyle w:val="BodyText"/>
        <w:ind w:right="62"/>
      </w:pPr>
      <w:r>
        <w:t>HUD regulations require the PHA to ensure that persons with disabilities related to hearing and vision have reasonable access to the PHA's programs and services [24 CFR 8.6].</w:t>
      </w:r>
    </w:p>
    <w:p w:rsidR="004E13A5" w:rsidRDefault="00681463">
      <w:pPr>
        <w:pStyle w:val="BodyText"/>
        <w:ind w:right="62"/>
      </w:pPr>
      <w:r>
        <w:t>At the initial point of contact with each applicant, the PHA shall inform all applicants of alternative forms of communication that can be used other than plain language paperwork.</w:t>
      </w:r>
    </w:p>
    <w:p w:rsidR="004E13A5" w:rsidRDefault="00681463">
      <w:pPr>
        <w:pStyle w:val="BodyText"/>
        <w:ind w:left="820"/>
      </w:pPr>
      <w:r>
        <w:rPr>
          <w:u w:val="single"/>
        </w:rPr>
        <w:t>PHA Policy</w:t>
      </w:r>
    </w:p>
    <w:p w:rsidR="004E13A5" w:rsidRDefault="00681463">
      <w:pPr>
        <w:pStyle w:val="BodyText"/>
        <w:spacing w:before="120"/>
        <w:ind w:left="820" w:right="755"/>
      </w:pPr>
      <w:r>
        <w:t>To meet the needs of persons with hearing impairments, TTD/TTY (text telephone display/teletype) communication will be available.</w:t>
      </w:r>
    </w:p>
    <w:p w:rsidR="004E13A5" w:rsidRDefault="00681463">
      <w:pPr>
        <w:pStyle w:val="BodyText"/>
        <w:spacing w:before="120"/>
        <w:ind w:left="820" w:right="101"/>
      </w:pPr>
      <w:r>
        <w:t>To meet the needs of persons with vision impairments, large-print and audio versions of key program documents will be made available upon request. When visual aids are used in public meetings or presentations, or in meetings with PHA staff, one-on-one assistance will be provided upon request.</w:t>
      </w:r>
    </w:p>
    <w:p w:rsidR="004E13A5" w:rsidRDefault="00681463">
      <w:pPr>
        <w:pStyle w:val="BodyText"/>
        <w:spacing w:before="120"/>
        <w:ind w:left="820" w:right="62"/>
      </w:pPr>
      <w:r>
        <w:t>Additional examples of alternative forms of communication are sign language interpretation; having material explained orally by staff; or having a third party representative (a friend, relative or advocate, named by the applicant) to receive, interpret</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pPr>
      <w:r>
        <w:lastRenderedPageBreak/>
        <w:t>and explain housing materials and be present at all meetings.</w:t>
      </w:r>
    </w:p>
    <w:p w:rsidR="004E13A5" w:rsidRDefault="004E13A5">
      <w:pPr>
        <w:pStyle w:val="BodyText"/>
        <w:spacing w:before="9"/>
        <w:ind w:left="0"/>
        <w:rPr>
          <w:sz w:val="20"/>
        </w:rPr>
      </w:pPr>
    </w:p>
    <w:p w:rsidR="004E13A5" w:rsidRDefault="00681463">
      <w:pPr>
        <w:pStyle w:val="Heading4"/>
      </w:pPr>
      <w:r>
        <w:t>2-II.G. PHYSICAL ACCESSIBILITY</w:t>
      </w:r>
    </w:p>
    <w:p w:rsidR="004E13A5" w:rsidRDefault="00681463">
      <w:pPr>
        <w:pStyle w:val="BodyText"/>
        <w:ind w:right="928"/>
      </w:pPr>
      <w:r>
        <w:t>The PHA must comply with a variety of regulations pertaining to physical accessibility, including the following:</w:t>
      </w:r>
    </w:p>
    <w:p w:rsidR="004E13A5" w:rsidRDefault="00681463">
      <w:pPr>
        <w:pStyle w:val="ListParagraph"/>
        <w:numPr>
          <w:ilvl w:val="0"/>
          <w:numId w:val="93"/>
        </w:numPr>
        <w:tabs>
          <w:tab w:val="left" w:pos="460"/>
          <w:tab w:val="left" w:pos="461"/>
        </w:tabs>
        <w:rPr>
          <w:rFonts w:ascii="Symbol"/>
          <w:sz w:val="24"/>
        </w:rPr>
      </w:pPr>
      <w:r>
        <w:rPr>
          <w:sz w:val="24"/>
        </w:rPr>
        <w:t>Notice PIH</w:t>
      </w:r>
      <w:r>
        <w:rPr>
          <w:spacing w:val="-6"/>
          <w:sz w:val="24"/>
        </w:rPr>
        <w:t xml:space="preserve"> </w:t>
      </w:r>
      <w:r>
        <w:rPr>
          <w:sz w:val="24"/>
        </w:rPr>
        <w:t>2010-26</w:t>
      </w:r>
    </w:p>
    <w:p w:rsidR="004E13A5" w:rsidRDefault="00681463">
      <w:pPr>
        <w:pStyle w:val="ListParagraph"/>
        <w:numPr>
          <w:ilvl w:val="0"/>
          <w:numId w:val="93"/>
        </w:numPr>
        <w:tabs>
          <w:tab w:val="left" w:pos="460"/>
          <w:tab w:val="left" w:pos="461"/>
        </w:tabs>
        <w:spacing w:before="118"/>
        <w:rPr>
          <w:rFonts w:ascii="Symbol"/>
          <w:sz w:val="24"/>
        </w:rPr>
      </w:pPr>
      <w:r>
        <w:rPr>
          <w:sz w:val="24"/>
        </w:rPr>
        <w:t>Section 504 of the Rehabilitation Act of</w:t>
      </w:r>
      <w:r>
        <w:rPr>
          <w:spacing w:val="-7"/>
          <w:sz w:val="24"/>
        </w:rPr>
        <w:t xml:space="preserve"> </w:t>
      </w:r>
      <w:r>
        <w:rPr>
          <w:sz w:val="24"/>
        </w:rPr>
        <w:t>1973</w:t>
      </w:r>
    </w:p>
    <w:p w:rsidR="004E13A5" w:rsidRDefault="00681463">
      <w:pPr>
        <w:pStyle w:val="ListParagraph"/>
        <w:numPr>
          <w:ilvl w:val="0"/>
          <w:numId w:val="93"/>
        </w:numPr>
        <w:tabs>
          <w:tab w:val="left" w:pos="460"/>
          <w:tab w:val="left" w:pos="461"/>
        </w:tabs>
        <w:spacing w:before="118"/>
        <w:rPr>
          <w:rFonts w:ascii="Symbol"/>
          <w:sz w:val="24"/>
        </w:rPr>
      </w:pPr>
      <w:r>
        <w:rPr>
          <w:sz w:val="24"/>
        </w:rPr>
        <w:t>The Americans with Disabilities Act of</w:t>
      </w:r>
      <w:r>
        <w:rPr>
          <w:spacing w:val="-7"/>
          <w:sz w:val="24"/>
        </w:rPr>
        <w:t xml:space="preserve"> </w:t>
      </w:r>
      <w:r>
        <w:rPr>
          <w:sz w:val="24"/>
        </w:rPr>
        <w:t>1990</w:t>
      </w:r>
    </w:p>
    <w:p w:rsidR="004E13A5" w:rsidRDefault="00681463">
      <w:pPr>
        <w:pStyle w:val="ListParagraph"/>
        <w:numPr>
          <w:ilvl w:val="0"/>
          <w:numId w:val="93"/>
        </w:numPr>
        <w:tabs>
          <w:tab w:val="left" w:pos="460"/>
          <w:tab w:val="left" w:pos="461"/>
        </w:tabs>
        <w:spacing w:before="118"/>
        <w:rPr>
          <w:rFonts w:ascii="Symbol"/>
          <w:sz w:val="24"/>
        </w:rPr>
      </w:pPr>
      <w:r>
        <w:rPr>
          <w:sz w:val="24"/>
        </w:rPr>
        <w:t>The Architectural Barriers Act of</w:t>
      </w:r>
      <w:r>
        <w:rPr>
          <w:spacing w:val="-11"/>
          <w:sz w:val="24"/>
        </w:rPr>
        <w:t xml:space="preserve"> </w:t>
      </w:r>
      <w:r>
        <w:rPr>
          <w:sz w:val="24"/>
        </w:rPr>
        <w:t>1968</w:t>
      </w:r>
    </w:p>
    <w:p w:rsidR="004E13A5" w:rsidRDefault="00681463">
      <w:pPr>
        <w:pStyle w:val="ListParagraph"/>
        <w:numPr>
          <w:ilvl w:val="0"/>
          <w:numId w:val="93"/>
        </w:numPr>
        <w:tabs>
          <w:tab w:val="left" w:pos="460"/>
          <w:tab w:val="left" w:pos="461"/>
        </w:tabs>
        <w:spacing w:before="120"/>
        <w:rPr>
          <w:rFonts w:ascii="Symbol"/>
          <w:sz w:val="24"/>
        </w:rPr>
      </w:pPr>
      <w:r>
        <w:rPr>
          <w:sz w:val="24"/>
        </w:rPr>
        <w:t>The Fair Housing Act of</w:t>
      </w:r>
      <w:r>
        <w:rPr>
          <w:spacing w:val="-8"/>
          <w:sz w:val="24"/>
        </w:rPr>
        <w:t xml:space="preserve"> </w:t>
      </w:r>
      <w:r>
        <w:rPr>
          <w:sz w:val="24"/>
        </w:rPr>
        <w:t>1988</w:t>
      </w:r>
    </w:p>
    <w:p w:rsidR="004E13A5" w:rsidRDefault="00681463">
      <w:pPr>
        <w:pStyle w:val="BodyText"/>
      </w:pPr>
      <w:r>
        <w:t>The PHA’s policies concerning physical accessibility must be readily available to applicants and participants. They can be found in three key documents:</w:t>
      </w:r>
    </w:p>
    <w:p w:rsidR="004E13A5" w:rsidRDefault="00681463">
      <w:pPr>
        <w:pStyle w:val="ListParagraph"/>
        <w:numPr>
          <w:ilvl w:val="0"/>
          <w:numId w:val="93"/>
        </w:numPr>
        <w:tabs>
          <w:tab w:val="left" w:pos="460"/>
          <w:tab w:val="left" w:pos="461"/>
        </w:tabs>
        <w:ind w:right="471"/>
        <w:rPr>
          <w:rFonts w:ascii="Symbol" w:hAnsi="Symbol"/>
          <w:sz w:val="24"/>
        </w:rPr>
      </w:pPr>
      <w:r>
        <w:rPr>
          <w:sz w:val="24"/>
        </w:rPr>
        <w:t>This plan describes the key policies that govern the PHA’s responsibilities with regard</w:t>
      </w:r>
      <w:r>
        <w:rPr>
          <w:spacing w:val="-17"/>
          <w:sz w:val="24"/>
        </w:rPr>
        <w:t xml:space="preserve"> </w:t>
      </w:r>
      <w:r>
        <w:rPr>
          <w:sz w:val="24"/>
        </w:rPr>
        <w:t>to physical</w:t>
      </w:r>
      <w:r>
        <w:rPr>
          <w:spacing w:val="-8"/>
          <w:sz w:val="24"/>
        </w:rPr>
        <w:t xml:space="preserve"> </w:t>
      </w:r>
      <w:r>
        <w:rPr>
          <w:sz w:val="24"/>
        </w:rPr>
        <w:t>accessibility.</w:t>
      </w:r>
    </w:p>
    <w:p w:rsidR="004E13A5" w:rsidRDefault="00681463">
      <w:pPr>
        <w:pStyle w:val="ListParagraph"/>
        <w:numPr>
          <w:ilvl w:val="0"/>
          <w:numId w:val="93"/>
        </w:numPr>
        <w:tabs>
          <w:tab w:val="left" w:pos="461"/>
        </w:tabs>
        <w:ind w:right="804"/>
        <w:jc w:val="both"/>
        <w:rPr>
          <w:rFonts w:ascii="Symbol"/>
          <w:sz w:val="24"/>
        </w:rPr>
      </w:pPr>
      <w:r>
        <w:rPr>
          <w:sz w:val="24"/>
        </w:rPr>
        <w:t>Notice PIH 2010-26 summarizes information about pertinent laws and implementing regulations related to nondiscrimination and accessibility in federally-funded housing programs.</w:t>
      </w:r>
    </w:p>
    <w:p w:rsidR="004E13A5" w:rsidRDefault="00681463">
      <w:pPr>
        <w:pStyle w:val="ListParagraph"/>
        <w:numPr>
          <w:ilvl w:val="0"/>
          <w:numId w:val="93"/>
        </w:numPr>
        <w:tabs>
          <w:tab w:val="left" w:pos="460"/>
          <w:tab w:val="left" w:pos="461"/>
        </w:tabs>
        <w:ind w:right="231"/>
        <w:rPr>
          <w:rFonts w:ascii="Symbol"/>
          <w:sz w:val="24"/>
        </w:rPr>
      </w:pPr>
      <w:r>
        <w:rPr>
          <w:sz w:val="24"/>
        </w:rPr>
        <w:t>The PHA Plan provides information about self-evaluation, needs assessment, and transition plans.</w:t>
      </w:r>
    </w:p>
    <w:p w:rsidR="004E13A5" w:rsidRDefault="00681463">
      <w:pPr>
        <w:pStyle w:val="BodyText"/>
      </w:pPr>
      <w:r>
        <w:t>The design, construction, or alteration of PHA facilities must conform to the Uniform Federal Accessibility Standards (UFAS). Newly-constructed facilities must be designed to be readily accessible to and usable by persons with disabilities. Alterations to existing facilities must be accessible to the maximum extent feasible, defined as not imposing an undue financial and administrative burden on the operations of the HCV program.</w:t>
      </w:r>
    </w:p>
    <w:p w:rsidR="004E13A5" w:rsidRDefault="00681463">
      <w:pPr>
        <w:pStyle w:val="BodyText"/>
      </w:pPr>
      <w:r>
        <w:t>When issuing a voucher to a family that includes an individual with disabilities, the PHA will include a current list of available accessible units known to the PHA and will assist the family in locating an available accessible unit, if necessary.</w:t>
      </w:r>
    </w:p>
    <w:p w:rsidR="004E13A5" w:rsidRDefault="00681463">
      <w:pPr>
        <w:pStyle w:val="BodyText"/>
        <w:ind w:right="182"/>
      </w:pPr>
      <w:r>
        <w:t>In general, owners must permit the family to make reasonable modifications to the unit. However, the owner is not required to pay for the modification and may require that the unit be restored to its original state at the family’s expense when the family moves.</w:t>
      </w:r>
    </w:p>
    <w:p w:rsidR="004E13A5" w:rsidRDefault="004E13A5">
      <w:pPr>
        <w:pStyle w:val="BodyText"/>
        <w:spacing w:before="9"/>
        <w:ind w:left="0"/>
        <w:rPr>
          <w:sz w:val="20"/>
        </w:rPr>
      </w:pPr>
    </w:p>
    <w:p w:rsidR="004E13A5" w:rsidRDefault="00681463">
      <w:pPr>
        <w:pStyle w:val="Heading4"/>
      </w:pPr>
      <w:r>
        <w:t>2-II.H. DENIAL OR TERMINATION OF ASSISTANCE</w:t>
      </w:r>
    </w:p>
    <w:p w:rsidR="004E13A5" w:rsidRDefault="00681463">
      <w:pPr>
        <w:pStyle w:val="BodyText"/>
        <w:spacing w:before="120"/>
      </w:pPr>
      <w:r>
        <w:t>A PHA’s decision to deny or terminate the assistance of a family that includes a person with disabilities is subject to consideration of reasonable accommodation [24 CFR 982.552 (2)(iv)].</w:t>
      </w:r>
    </w:p>
    <w:p w:rsidR="004E13A5" w:rsidRDefault="00681463">
      <w:pPr>
        <w:pStyle w:val="BodyText"/>
        <w:ind w:right="89"/>
      </w:pPr>
      <w:r>
        <w:t>When applicants with disabilities are denied assistance, the notice of denial must inform them of the PHA’s informal review process and their right to request an informal review. In addition, the notice must inform applicants with disabilities of their right to request reasonable accommodations to participate in the informal review hearing process.</w:t>
      </w:r>
    </w:p>
    <w:p w:rsidR="004E13A5" w:rsidRDefault="00681463">
      <w:pPr>
        <w:pStyle w:val="BodyText"/>
        <w:ind w:right="82"/>
      </w:pPr>
      <w:r>
        <w:t>When a participant family’s assistance is terminated, the notice of termination must inform them of the PHA’s informal hearing process and their right to request a hearing and reasonable accommodation.</w:t>
      </w:r>
    </w:p>
    <w:p w:rsidR="004E13A5" w:rsidRDefault="004E13A5">
      <w:pPr>
        <w:sectPr w:rsidR="004E13A5">
          <w:pgSz w:w="12240" w:h="15840"/>
          <w:pgMar w:top="1360" w:right="1420" w:bottom="640" w:left="1340" w:header="0" w:footer="381" w:gutter="0"/>
          <w:cols w:space="720"/>
        </w:sectPr>
      </w:pPr>
    </w:p>
    <w:p w:rsidR="004E13A5" w:rsidRDefault="00681463">
      <w:pPr>
        <w:pStyle w:val="BodyText"/>
        <w:spacing w:before="79"/>
        <w:ind w:right="402"/>
      </w:pPr>
      <w:r>
        <w:lastRenderedPageBreak/>
        <w:t>When reviewing reasonable accommodation requests, the PHA must consider whether any mitigating circumstances can be verified to explain and overcome the problem that led to the PHA’s decision to deny or terminate assistance. If a reasonable accommodation will allow the family to meet the requirements, the PHA must make the accommodation.</w:t>
      </w:r>
    </w:p>
    <w:p w:rsidR="004E13A5" w:rsidRDefault="00681463">
      <w:pPr>
        <w:pStyle w:val="Heading4"/>
        <w:spacing w:before="119"/>
        <w:ind w:left="3012" w:right="331" w:hanging="2665"/>
      </w:pPr>
      <w:r>
        <w:t>PART III: IMPROVING ACCESS TO SERVICES FOR PERSONS WITH LIMITED ENGLISH PROFICIENCY (LEP)</w:t>
      </w:r>
    </w:p>
    <w:p w:rsidR="004E13A5" w:rsidRDefault="004E13A5">
      <w:pPr>
        <w:pStyle w:val="BodyText"/>
        <w:spacing w:before="0"/>
        <w:ind w:left="0"/>
        <w:rPr>
          <w:b/>
          <w:sz w:val="13"/>
        </w:rPr>
      </w:pPr>
    </w:p>
    <w:p w:rsidR="004E13A5" w:rsidRDefault="00681463">
      <w:pPr>
        <w:spacing w:before="90"/>
        <w:ind w:left="100"/>
        <w:rPr>
          <w:b/>
          <w:sz w:val="24"/>
        </w:rPr>
      </w:pPr>
      <w:r>
        <w:rPr>
          <w:b/>
          <w:sz w:val="24"/>
        </w:rPr>
        <w:t>2-III.A. OVERVIEW</w:t>
      </w:r>
    </w:p>
    <w:p w:rsidR="004E13A5" w:rsidRDefault="00681463">
      <w:pPr>
        <w:pStyle w:val="BodyText"/>
        <w:spacing w:before="120"/>
        <w:ind w:right="138"/>
        <w:rPr>
          <w:i/>
        </w:rPr>
      </w:pPr>
      <w:r>
        <w:t xml:space="preserve">Language for Limited English Proficiency Persons (LEP) can be a barrier to accessing important benefits or services, understanding and exercising important rights, complying with applicable responsibilities, or understanding other information provided by the HCV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Final Guidance to Federal Assistance Recipients Regarding Title VI Prohibition against National Origin Discrimination Affecting Limited English Proficient Persons, published January 22, 2007, in the </w:t>
      </w:r>
      <w:r>
        <w:rPr>
          <w:i/>
        </w:rPr>
        <w:t>Federal Register.</w:t>
      </w:r>
    </w:p>
    <w:p w:rsidR="004E13A5" w:rsidRDefault="00681463">
      <w:pPr>
        <w:pStyle w:val="BodyText"/>
        <w:spacing w:before="120"/>
        <w:ind w:right="322"/>
      </w:pPr>
      <w:r>
        <w:t>The PHA will take affirmative steps to communicate with people who need services or information in a language other than English. These persons will be referred to as Persons with Limited English Proficiency (LEP).</w:t>
      </w:r>
    </w:p>
    <w:p w:rsidR="004E13A5" w:rsidRDefault="00681463">
      <w:pPr>
        <w:pStyle w:val="BodyText"/>
        <w:spacing w:before="120"/>
        <w:ind w:right="101"/>
      </w:pPr>
      <w:r>
        <w:t>LEP is defined as persons who do not speak English as their primary language and who have a limited ability to read, write, speak or understand English. For the purposes of this administrative plan, LEP persons are HCV applicants and participants, and parents and family members of applicants and participants.</w:t>
      </w:r>
    </w:p>
    <w:p w:rsidR="004E13A5" w:rsidRDefault="004E13A5">
      <w:pPr>
        <w:pStyle w:val="BodyText"/>
        <w:spacing w:before="10"/>
        <w:ind w:left="0"/>
        <w:rPr>
          <w:sz w:val="20"/>
        </w:rPr>
      </w:pPr>
    </w:p>
    <w:p w:rsidR="004E13A5" w:rsidRDefault="00681463">
      <w:pPr>
        <w:pStyle w:val="BodyText"/>
        <w:spacing w:before="0"/>
        <w:ind w:right="189"/>
      </w:pPr>
      <w:r>
        <w:t>In order to determine the level of access needed by LEP persons, the PHA will balance the following four factors: (1) the number or proportion of LEP persons eligible to be served or likely to be encountered by the Housing Choice Voucher program; (2) the frequency with which LEP persons come into contact with the program; (3) the nature and importance of the program, activity, or service provided by the program to people’s lives; and (4) the resources available to the PHA and costs. Balancing these four factors will ensure meaningful access by LEP persons to critical services while not imposing undue burdens on the PHA.</w:t>
      </w:r>
    </w:p>
    <w:p w:rsidR="004E13A5" w:rsidRDefault="004E13A5">
      <w:pPr>
        <w:pStyle w:val="BodyText"/>
        <w:spacing w:before="9"/>
        <w:ind w:left="0"/>
        <w:rPr>
          <w:sz w:val="20"/>
        </w:rPr>
      </w:pPr>
    </w:p>
    <w:p w:rsidR="004E13A5" w:rsidRDefault="00681463">
      <w:pPr>
        <w:pStyle w:val="Heading4"/>
      </w:pPr>
      <w:r>
        <w:t>2-III.B. ORAL INTERPRETATION</w:t>
      </w:r>
    </w:p>
    <w:p w:rsidR="004E13A5" w:rsidRDefault="00681463">
      <w:pPr>
        <w:pStyle w:val="BodyText"/>
        <w:ind w:right="262"/>
      </w:pPr>
      <w:r>
        <w:t>The PHA will offer competent interpretation services  free  of  charge,  upon  request,  to  the LEP person.</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utilize a language line for telephone interpreter services.</w:t>
      </w:r>
    </w:p>
    <w:p w:rsidR="004E13A5" w:rsidRDefault="00681463">
      <w:pPr>
        <w:pStyle w:val="BodyText"/>
        <w:spacing w:before="120"/>
        <w:ind w:left="820" w:right="362"/>
      </w:pPr>
      <w:r>
        <w:t>When exercising the option to conduct remote briefings, informal reviews, or hearings, however, the PHA will coordinate with a remote interpretation service which, when available, uses video conferencing technology rather than voice-only interpretation.</w:t>
      </w:r>
    </w:p>
    <w:p w:rsidR="004E13A5" w:rsidRDefault="00681463">
      <w:pPr>
        <w:pStyle w:val="BodyText"/>
        <w:ind w:left="820" w:right="215"/>
      </w:pPr>
      <w:r>
        <w:t>Where LEP persons desire, they will be permitted to use, at their own expense, an interpreter of their own choosing, in place of or as a supplement to the free language services offered by the PHA. The PHA, at its discretion, may choose to use the language</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820" w:right="223"/>
      </w:pPr>
      <w:r>
        <w:lastRenderedPageBreak/>
        <w:t>services even when LEP persons desire to use an interpreter of their choosing. The interpreter may be a family member or friend. If the interpreter chosen by the family is a minor, the PHA will not rely on the minor to serve as the interpreter.</w:t>
      </w:r>
    </w:p>
    <w:p w:rsidR="004E13A5" w:rsidRDefault="00681463">
      <w:pPr>
        <w:pStyle w:val="BodyText"/>
        <w:ind w:left="820" w:right="262"/>
      </w:pPr>
      <w:r>
        <w:t>The PHA will analyze the various kinds of contacts it has with the public, to assess language needs and decide what reasonable steps should be taken. “Reasonable steps” may not be reasonable where the costs imposed substantially exceed the benefits.</w:t>
      </w:r>
    </w:p>
    <w:p w:rsidR="004E13A5" w:rsidRDefault="00681463">
      <w:pPr>
        <w:pStyle w:val="BodyText"/>
        <w:ind w:left="820" w:right="95"/>
      </w:pPr>
      <w:r>
        <w:t>Where feasible and possible, according to its language assistance plan (LAP), the PHA will train and hire bilingual staff to be available to act as interpreters and translators, will pool resources with other PHAs, and will standardize documents.</w:t>
      </w:r>
    </w:p>
    <w:p w:rsidR="004E13A5" w:rsidRDefault="004E13A5">
      <w:pPr>
        <w:pStyle w:val="BodyText"/>
        <w:spacing w:before="9"/>
        <w:ind w:left="0"/>
        <w:rPr>
          <w:sz w:val="20"/>
        </w:rPr>
      </w:pPr>
    </w:p>
    <w:p w:rsidR="004E13A5" w:rsidRDefault="00681463">
      <w:pPr>
        <w:pStyle w:val="Heading4"/>
      </w:pPr>
      <w:r>
        <w:t>2-III.C. WRITTEN TRANSLATION</w:t>
      </w:r>
    </w:p>
    <w:p w:rsidR="004E13A5" w:rsidRDefault="00681463">
      <w:pPr>
        <w:pStyle w:val="BodyText"/>
        <w:ind w:right="156"/>
      </w:pPr>
      <w:r>
        <w:t>Translation is the replacement of a written text from one language into an equivalent written text in another language.</w:t>
      </w:r>
    </w:p>
    <w:p w:rsidR="004E13A5" w:rsidRDefault="00681463">
      <w:pPr>
        <w:pStyle w:val="BodyText"/>
        <w:ind w:left="820"/>
      </w:pPr>
      <w:r>
        <w:rPr>
          <w:u w:val="single"/>
        </w:rPr>
        <w:t>PHA Policy</w:t>
      </w:r>
    </w:p>
    <w:p w:rsidR="004E13A5" w:rsidRDefault="00681463">
      <w:pPr>
        <w:pStyle w:val="BodyText"/>
        <w:ind w:left="820" w:right="1281"/>
      </w:pPr>
      <w:r>
        <w:t>In order to comply with written-translation obligations, the PHA will take the following steps:</w:t>
      </w:r>
    </w:p>
    <w:p w:rsidR="004E13A5" w:rsidRDefault="00681463">
      <w:pPr>
        <w:pStyle w:val="BodyText"/>
        <w:ind w:left="1540" w:right="96"/>
      </w:pPr>
      <w:r>
        <w:t>The PHA will provide written translations of vital documents for each eligible LEP language group that constitutes 5 percent or 1,000 persons, whichever is less, of the population of persons eligible to be served or likely to be affected or encountered. Translation of other documents, if needed, can be provided orally; or</w:t>
      </w:r>
    </w:p>
    <w:p w:rsidR="004E13A5" w:rsidRDefault="00681463">
      <w:pPr>
        <w:pStyle w:val="BodyText"/>
        <w:ind w:left="1540" w:right="262"/>
      </w:pPr>
      <w:r>
        <w:t>If there are fewer than 50 persons in a language group that reaches the 5 percent trigger, the PHA does not translate vital written materials, but provides written notice in the primary language of the LEP language group of the right to receive competent oral interpretation of those written materials, free of cost.</w:t>
      </w:r>
    </w:p>
    <w:p w:rsidR="004E13A5" w:rsidRDefault="004E13A5">
      <w:pPr>
        <w:pStyle w:val="BodyText"/>
        <w:spacing w:before="9"/>
        <w:ind w:left="0"/>
        <w:rPr>
          <w:sz w:val="20"/>
        </w:rPr>
      </w:pPr>
    </w:p>
    <w:p w:rsidR="004E13A5" w:rsidRDefault="00681463">
      <w:pPr>
        <w:pStyle w:val="Heading4"/>
      </w:pPr>
      <w:r>
        <w:t>2-III.D. IMPLEMENTATION PLAN</w:t>
      </w:r>
    </w:p>
    <w:p w:rsidR="004E13A5" w:rsidRDefault="00681463">
      <w:pPr>
        <w:pStyle w:val="BodyText"/>
        <w:ind w:right="82"/>
      </w:pPr>
      <w:r>
        <w:t>After completing the four-factor analysis and deciding what language assistance services are appropriate, the PHA shall determine whether it is necessary to develop a written implementation plan to address the identified needs of the LEP populations it serves.</w:t>
      </w:r>
    </w:p>
    <w:p w:rsidR="004E13A5" w:rsidRDefault="00681463">
      <w:pPr>
        <w:pStyle w:val="BodyText"/>
        <w:ind w:right="162"/>
      </w:pPr>
      <w:r>
        <w:t>If the PHA determines that it is not necessary to develop a written implementation plan, the absence of a written plan does not obviate the underlying obligation to ensure meaningful access by LEP persons to the PHA’s Housing Choice Voucher program and services.</w:t>
      </w:r>
    </w:p>
    <w:p w:rsidR="004E13A5" w:rsidRDefault="00681463">
      <w:pPr>
        <w:pStyle w:val="BodyText"/>
        <w:ind w:left="820"/>
      </w:pPr>
      <w:r>
        <w:rPr>
          <w:u w:val="single"/>
        </w:rPr>
        <w:t>PHA Policy</w:t>
      </w:r>
    </w:p>
    <w:p w:rsidR="004E13A5" w:rsidRDefault="00681463">
      <w:pPr>
        <w:pStyle w:val="BodyText"/>
        <w:spacing w:before="120"/>
        <w:ind w:left="820"/>
      </w:pPr>
      <w:r>
        <w:t>If it is determined that the PHA serves very few LEP persons, and the PHA has very limited resources, the PHA will not develop a written LEP plan, but will consider alternative ways to articulate in a reasonable manner a plan for providing meaningful access. Entities having significant contact with LEP persons, such as schools, grassroots and faith-based organizations, community groups, and groups working with new immigrants will be contacted for input into the process.</w:t>
      </w:r>
    </w:p>
    <w:p w:rsidR="004E13A5" w:rsidRDefault="00681463">
      <w:pPr>
        <w:pStyle w:val="BodyText"/>
        <w:spacing w:before="120"/>
        <w:ind w:left="820"/>
      </w:pPr>
      <w:r>
        <w:t>If the PHA determines it is appropriate to develop a written LEP plan, the following five steps will be taken: (1) Identifying LEP individuals who need language assistance; (2) identifying language assistance measures; (3) training staff; (4) providing notice to LEP persons; and (5) monitoring and updating the LEP plan.</w:t>
      </w:r>
    </w:p>
    <w:p w:rsidR="004E13A5" w:rsidRDefault="004E13A5">
      <w:pPr>
        <w:sectPr w:rsidR="004E13A5">
          <w:pgSz w:w="12240" w:h="15840"/>
          <w:pgMar w:top="1360" w:right="1340" w:bottom="640" w:left="1340" w:header="0" w:footer="381" w:gutter="0"/>
          <w:cols w:space="720"/>
        </w:sectPr>
      </w:pPr>
    </w:p>
    <w:p w:rsidR="004E13A5" w:rsidRDefault="004E13A5">
      <w:pPr>
        <w:pStyle w:val="BodyText"/>
        <w:spacing w:before="2"/>
        <w:ind w:left="0"/>
        <w:rPr>
          <w:sz w:val="5"/>
        </w:rPr>
      </w:pPr>
    </w:p>
    <w:p w:rsidR="004E13A5" w:rsidRDefault="00681463">
      <w:pPr>
        <w:ind w:left="102"/>
        <w:rPr>
          <w:sz w:val="20"/>
        </w:rPr>
      </w:pPr>
      <w:r>
        <w:rPr>
          <w:spacing w:val="-49"/>
          <w:sz w:val="20"/>
        </w:rPr>
        <w:t xml:space="preserve"> </w:t>
      </w:r>
      <w:r w:rsidR="003263D1">
        <w:rPr>
          <w:noProof/>
          <w:spacing w:val="-49"/>
          <w:sz w:val="20"/>
        </w:rPr>
        <mc:AlternateContent>
          <mc:Choice Requires="wps">
            <w:drawing>
              <wp:inline distT="0" distB="0" distL="0" distR="0">
                <wp:extent cx="6088380" cy="382905"/>
                <wp:effectExtent l="11430" t="8890" r="5715" b="8255"/>
                <wp:docPr id="8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322" w:right="769" w:hanging="545"/>
                              <w:rPr>
                                <w:b/>
                                <w:sz w:val="24"/>
                              </w:rPr>
                            </w:pPr>
                            <w:r>
                              <w:rPr>
                                <w:b/>
                                <w:sz w:val="24"/>
                              </w:rPr>
                              <w:t>EXHIBIT 2-1: DEFINITION OF A PERSON WITH A DISABILITY UNDER FEDERAL CIVIL RIGHTS LAWS [24 CFR Parts 8.3 and 100.201]</w:t>
                            </w:r>
                          </w:p>
                        </w:txbxContent>
                      </wps:txbx>
                      <wps:bodyPr rot="0" vert="horz" wrap="square" lIns="0" tIns="0" rIns="0" bIns="0" anchor="t" anchorCtr="0" upright="1">
                        <a:noAutofit/>
                      </wps:bodyPr>
                    </wps:wsp>
                  </a:graphicData>
                </a:graphic>
              </wp:inline>
            </w:drawing>
          </mc:Choice>
          <mc:Fallback>
            <w:pict>
              <v:shape id="Text Box 100" o:spid="_x0000_s1028" type="#_x0000_t202" style="width:479.4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" filled="f" strokeweight=".48pt">
                <v:textbox inset="0,0,0,0">
                  <w:txbxContent>
                    <w:p w:rsidR="00BA59C9" w:rsidRDefault="00BA59C9">
                      <w:pPr>
                        <w:spacing w:before="18"/>
                        <w:ind w:left="1322" w:right="769" w:hanging="545"/>
                        <w:rPr>
                          <w:b/>
                          <w:sz w:val="24"/>
                        </w:rPr>
                      </w:pPr>
                      <w:r>
                        <w:rPr>
                          <w:b/>
                          <w:sz w:val="24"/>
                        </w:rPr>
                        <w:t>EXHIBIT 2-1: DEFINITION OF A PERSON WITH A DISABILITY UNDER FEDERAL CIVIL RIGHTS LAWS [24 CFR Parts 8.3 and 100.201]</w:t>
                      </w:r>
                    </w:p>
                  </w:txbxContent>
                </v:textbox>
                <w10:anchorlock/>
              </v:shape>
            </w:pict>
          </mc:Fallback>
        </mc:AlternateContent>
      </w:r>
    </w:p>
    <w:p w:rsidR="004E13A5" w:rsidRDefault="00681463">
      <w:pPr>
        <w:pStyle w:val="BodyText"/>
        <w:spacing w:before="91"/>
        <w:ind w:left="220"/>
      </w:pPr>
      <w:r>
        <w:t>A person with a disability, as defined under federal civil rights laws, is any person who:</w:t>
      </w:r>
    </w:p>
    <w:p w:rsidR="004E13A5" w:rsidRDefault="00681463">
      <w:pPr>
        <w:pStyle w:val="ListParagraph"/>
        <w:numPr>
          <w:ilvl w:val="0"/>
          <w:numId w:val="92"/>
        </w:numPr>
        <w:tabs>
          <w:tab w:val="left" w:pos="580"/>
          <w:tab w:val="left" w:pos="581"/>
        </w:tabs>
        <w:ind w:right="547"/>
        <w:rPr>
          <w:sz w:val="24"/>
        </w:rPr>
      </w:pPr>
      <w:r>
        <w:rPr>
          <w:sz w:val="24"/>
        </w:rPr>
        <w:t>Has a physical or mental impairment that substantially limits one or more of the major</w:t>
      </w:r>
      <w:r>
        <w:rPr>
          <w:spacing w:val="-15"/>
          <w:sz w:val="24"/>
        </w:rPr>
        <w:t xml:space="preserve"> </w:t>
      </w:r>
      <w:r>
        <w:rPr>
          <w:sz w:val="24"/>
        </w:rPr>
        <w:t>life activities of an individual,</w:t>
      </w:r>
      <w:r>
        <w:rPr>
          <w:spacing w:val="-5"/>
          <w:sz w:val="24"/>
        </w:rPr>
        <w:t xml:space="preserve"> </w:t>
      </w:r>
      <w:r>
        <w:rPr>
          <w:sz w:val="24"/>
        </w:rPr>
        <w:t>or</w:t>
      </w:r>
    </w:p>
    <w:p w:rsidR="004E13A5" w:rsidRDefault="00681463">
      <w:pPr>
        <w:pStyle w:val="ListParagraph"/>
        <w:numPr>
          <w:ilvl w:val="0"/>
          <w:numId w:val="92"/>
        </w:numPr>
        <w:tabs>
          <w:tab w:val="left" w:pos="580"/>
          <w:tab w:val="left" w:pos="581"/>
        </w:tabs>
        <w:rPr>
          <w:sz w:val="24"/>
        </w:rPr>
      </w:pPr>
      <w:r>
        <w:rPr>
          <w:sz w:val="24"/>
        </w:rPr>
        <w:t>Has a record of such impairment,</w:t>
      </w:r>
      <w:r>
        <w:rPr>
          <w:spacing w:val="-6"/>
          <w:sz w:val="24"/>
        </w:rPr>
        <w:t xml:space="preserve"> </w:t>
      </w:r>
      <w:r>
        <w:rPr>
          <w:sz w:val="24"/>
        </w:rPr>
        <w:t>or</w:t>
      </w:r>
    </w:p>
    <w:p w:rsidR="004E13A5" w:rsidRDefault="00681463">
      <w:pPr>
        <w:pStyle w:val="ListParagraph"/>
        <w:numPr>
          <w:ilvl w:val="0"/>
          <w:numId w:val="92"/>
        </w:numPr>
        <w:tabs>
          <w:tab w:val="left" w:pos="580"/>
          <w:tab w:val="left" w:pos="581"/>
        </w:tabs>
        <w:spacing w:before="118"/>
        <w:rPr>
          <w:sz w:val="24"/>
        </w:rPr>
      </w:pPr>
      <w:r>
        <w:rPr>
          <w:sz w:val="24"/>
        </w:rPr>
        <w:t>Is regarded as having such</w:t>
      </w:r>
      <w:r>
        <w:rPr>
          <w:spacing w:val="-9"/>
          <w:sz w:val="24"/>
        </w:rPr>
        <w:t xml:space="preserve"> </w:t>
      </w:r>
      <w:r>
        <w:rPr>
          <w:sz w:val="24"/>
        </w:rPr>
        <w:t>impairment</w:t>
      </w:r>
    </w:p>
    <w:p w:rsidR="004E13A5" w:rsidRDefault="00681463">
      <w:pPr>
        <w:pStyle w:val="BodyText"/>
        <w:ind w:left="220"/>
      </w:pPr>
      <w:r>
        <w:t>The phrase “physical or mental impairment” includes:</w:t>
      </w:r>
    </w:p>
    <w:p w:rsidR="004E13A5" w:rsidRDefault="00681463">
      <w:pPr>
        <w:pStyle w:val="ListParagraph"/>
        <w:numPr>
          <w:ilvl w:val="0"/>
          <w:numId w:val="92"/>
        </w:numPr>
        <w:tabs>
          <w:tab w:val="left" w:pos="580"/>
          <w:tab w:val="left" w:pos="581"/>
        </w:tabs>
        <w:ind w:right="386"/>
        <w:rPr>
          <w:sz w:val="24"/>
        </w:rPr>
      </w:pPr>
      <w:r>
        <w:rPr>
          <w:sz w:val="24"/>
        </w:rPr>
        <w:t>Any physiological disorder or condition, cosmetic or disfigurement, or anatomical loss affecting one or more of the following body systems: neurological; musculoskeletal; special sense organs; respiratory, including speech organs; cardiovascular; reproductive; digestive; genito-urinary; hemic and lymphatic; skin; and endocrine;</w:t>
      </w:r>
      <w:r>
        <w:rPr>
          <w:spacing w:val="-14"/>
          <w:sz w:val="24"/>
        </w:rPr>
        <w:t xml:space="preserve"> </w:t>
      </w:r>
      <w:r>
        <w:rPr>
          <w:sz w:val="24"/>
        </w:rPr>
        <w:t>or</w:t>
      </w:r>
    </w:p>
    <w:p w:rsidR="004E13A5" w:rsidRDefault="00681463">
      <w:pPr>
        <w:pStyle w:val="ListParagraph"/>
        <w:numPr>
          <w:ilvl w:val="0"/>
          <w:numId w:val="92"/>
        </w:numPr>
        <w:tabs>
          <w:tab w:val="left" w:pos="580"/>
          <w:tab w:val="left" w:pos="581"/>
        </w:tabs>
        <w:ind w:right="464"/>
        <w:rPr>
          <w:sz w:val="24"/>
        </w:rPr>
      </w:pPr>
      <w:r>
        <w:rPr>
          <w:sz w:val="24"/>
        </w:rPr>
        <w:t>Any mental or psychological disorder, such as mental retardation, organic brain syndrome, emotional or mental illness, and specific learning disabilities. The term “physical or</w:t>
      </w:r>
      <w:r>
        <w:rPr>
          <w:spacing w:val="-16"/>
          <w:sz w:val="24"/>
        </w:rPr>
        <w:t xml:space="preserve"> </w:t>
      </w:r>
      <w:r>
        <w:rPr>
          <w:sz w:val="24"/>
        </w:rPr>
        <w:t>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w:t>
      </w:r>
      <w:r>
        <w:rPr>
          <w:spacing w:val="-7"/>
          <w:sz w:val="24"/>
        </w:rPr>
        <w:t xml:space="preserve"> </w:t>
      </w:r>
      <w:r>
        <w:rPr>
          <w:sz w:val="24"/>
        </w:rPr>
        <w:t>alcoholism.</w:t>
      </w:r>
    </w:p>
    <w:p w:rsidR="004E13A5" w:rsidRDefault="00681463">
      <w:pPr>
        <w:pStyle w:val="BodyText"/>
        <w:spacing w:before="120"/>
        <w:ind w:left="220"/>
      </w:pPr>
      <w:r>
        <w:t>“Major life activities” includes, but is not limited to, caring for oneself, performing manual tasks, walking, seeing, hearing, breathing, learning, and/or working.</w:t>
      </w:r>
    </w:p>
    <w:p w:rsidR="004E13A5" w:rsidRDefault="00681463">
      <w:pPr>
        <w:pStyle w:val="BodyText"/>
        <w:spacing w:before="120"/>
        <w:ind w:left="220"/>
      </w:pPr>
      <w:r>
        <w:t>“Has a record of such impairment” means has a history of, or has been misclassified as having, a mental or physical impairment that substantially limits one or more major life activities.</w:t>
      </w:r>
    </w:p>
    <w:p w:rsidR="004E13A5" w:rsidRDefault="00681463">
      <w:pPr>
        <w:pStyle w:val="BodyText"/>
        <w:spacing w:before="120"/>
        <w:ind w:left="220" w:right="183"/>
      </w:pPr>
      <w:r>
        <w:t>“Is regarded as having an impairment” is defined as having a physical or mental impairment that does not substantially limit one or more major life activities but is treated by a public entity (such as the PHA) as constituting such a limitation; has none of the impairments defined in this section but is treated by a public entity as having such an impairment; or has a physical or mental impairment that substantially limits one or more major life activities, only as a result of the attitudes of others toward that impairment.</w:t>
      </w:r>
    </w:p>
    <w:p w:rsidR="004E13A5" w:rsidRDefault="00681463">
      <w:pPr>
        <w:pStyle w:val="BodyText"/>
        <w:spacing w:before="120"/>
        <w:ind w:left="220"/>
      </w:pPr>
      <w:r>
        <w:t>The definition of a person with disabilities does not include:</w:t>
      </w:r>
    </w:p>
    <w:p w:rsidR="004E13A5" w:rsidRDefault="00681463">
      <w:pPr>
        <w:pStyle w:val="ListParagraph"/>
        <w:numPr>
          <w:ilvl w:val="0"/>
          <w:numId w:val="92"/>
        </w:numPr>
        <w:tabs>
          <w:tab w:val="left" w:pos="580"/>
          <w:tab w:val="left" w:pos="581"/>
        </w:tabs>
        <w:rPr>
          <w:sz w:val="24"/>
        </w:rPr>
      </w:pPr>
      <w:r>
        <w:rPr>
          <w:sz w:val="24"/>
        </w:rPr>
        <w:t>Current illegal drug</w:t>
      </w:r>
      <w:r>
        <w:rPr>
          <w:spacing w:val="-8"/>
          <w:sz w:val="24"/>
        </w:rPr>
        <w:t xml:space="preserve"> </w:t>
      </w:r>
      <w:r>
        <w:rPr>
          <w:sz w:val="24"/>
        </w:rPr>
        <w:t>users</w:t>
      </w:r>
    </w:p>
    <w:p w:rsidR="004E13A5" w:rsidRDefault="00681463">
      <w:pPr>
        <w:pStyle w:val="ListParagraph"/>
        <w:numPr>
          <w:ilvl w:val="0"/>
          <w:numId w:val="92"/>
        </w:numPr>
        <w:tabs>
          <w:tab w:val="left" w:pos="580"/>
          <w:tab w:val="left" w:pos="581"/>
        </w:tabs>
        <w:spacing w:before="118"/>
        <w:rPr>
          <w:sz w:val="24"/>
        </w:rPr>
      </w:pPr>
      <w:r>
        <w:rPr>
          <w:sz w:val="24"/>
        </w:rPr>
        <w:t>People whose alcohol use interferes with the rights of</w:t>
      </w:r>
      <w:r>
        <w:rPr>
          <w:spacing w:val="-10"/>
          <w:sz w:val="24"/>
        </w:rPr>
        <w:t xml:space="preserve"> </w:t>
      </w:r>
      <w:r>
        <w:rPr>
          <w:sz w:val="24"/>
        </w:rPr>
        <w:t>others</w:t>
      </w:r>
    </w:p>
    <w:p w:rsidR="004E13A5" w:rsidRDefault="00681463">
      <w:pPr>
        <w:pStyle w:val="ListParagraph"/>
        <w:numPr>
          <w:ilvl w:val="0"/>
          <w:numId w:val="92"/>
        </w:numPr>
        <w:tabs>
          <w:tab w:val="left" w:pos="580"/>
          <w:tab w:val="left" w:pos="581"/>
        </w:tabs>
        <w:ind w:right="406"/>
        <w:rPr>
          <w:sz w:val="24"/>
        </w:rPr>
      </w:pPr>
      <w:r>
        <w:rPr>
          <w:sz w:val="24"/>
        </w:rPr>
        <w:t>Persons who objectively pose a direct threat or substantial risk of harm to others that</w:t>
      </w:r>
      <w:r>
        <w:rPr>
          <w:spacing w:val="-14"/>
          <w:sz w:val="24"/>
        </w:rPr>
        <w:t xml:space="preserve"> </w:t>
      </w:r>
      <w:r>
        <w:rPr>
          <w:sz w:val="24"/>
        </w:rPr>
        <w:t>cannot be controlled with a reasonable accommodation under the HCV</w:t>
      </w:r>
      <w:r>
        <w:rPr>
          <w:spacing w:val="-12"/>
          <w:sz w:val="24"/>
        </w:rPr>
        <w:t xml:space="preserve"> </w:t>
      </w:r>
      <w:r>
        <w:rPr>
          <w:sz w:val="24"/>
        </w:rPr>
        <w:t>program</w:t>
      </w:r>
    </w:p>
    <w:p w:rsidR="004E13A5" w:rsidRDefault="00681463">
      <w:pPr>
        <w:pStyle w:val="BodyText"/>
        <w:spacing w:before="120"/>
        <w:ind w:left="220" w:right="569"/>
        <w:jc w:val="both"/>
      </w:pPr>
      <w:r>
        <w:t>The above definition of disability determines whether an applicant or participant is entitled to any of the protections of federal disability civil rights laws. Thus, a person who does not</w:t>
      </w:r>
      <w:r>
        <w:rPr>
          <w:spacing w:val="-16"/>
        </w:rPr>
        <w:t xml:space="preserve"> </w:t>
      </w:r>
      <w:r>
        <w:t>meet this disability is not entitled to a reasonable accommodation under federal civil rights and fair housing laws and</w:t>
      </w:r>
      <w:r>
        <w:rPr>
          <w:spacing w:val="-5"/>
        </w:rPr>
        <w:t xml:space="preserve"> </w:t>
      </w:r>
      <w:r>
        <w:t>regulations.</w:t>
      </w:r>
    </w:p>
    <w:p w:rsidR="004E13A5" w:rsidRDefault="004E13A5">
      <w:pPr>
        <w:jc w:val="both"/>
        <w:sectPr w:rsidR="004E13A5">
          <w:pgSz w:w="12240" w:h="15840"/>
          <w:pgMar w:top="1500" w:right="1220" w:bottom="640" w:left="1220" w:header="0" w:footer="381" w:gutter="0"/>
          <w:cols w:space="720"/>
        </w:sectPr>
      </w:pPr>
    </w:p>
    <w:p w:rsidR="004E13A5" w:rsidRDefault="00681463">
      <w:pPr>
        <w:pStyle w:val="BodyText"/>
        <w:spacing w:before="79"/>
        <w:ind w:right="62"/>
      </w:pPr>
      <w:r>
        <w:lastRenderedPageBreak/>
        <w:t>The HUD definition of a person with a disability is much narrower than the civil rights definition of disability. The HUD definition of a person with a disability is used for purposes of receiving the disabled family preference, the $400 elderly/disabled household deduction, the $480 dependent deduction, the allowance for medical expenses, or the allowance for disability assistance expenses.</w:t>
      </w:r>
    </w:p>
    <w:p w:rsidR="004E13A5" w:rsidRDefault="00681463">
      <w:pPr>
        <w:pStyle w:val="BodyText"/>
        <w:ind w:right="62"/>
      </w:pPr>
      <w:r>
        <w:t>The definition of a person with a disability for purposes of granting a reasonable accommodation request is much broader than the HUD definition of disability. Many people will not qualify as a disabled person under the HCV program, yet an accommodation is needed to provide equal opportunity.</w:t>
      </w:r>
    </w:p>
    <w:p w:rsidR="004E13A5" w:rsidRDefault="004E13A5">
      <w:pPr>
        <w:sectPr w:rsidR="004E13A5">
          <w:pgSz w:w="12240" w:h="15840"/>
          <w:pgMar w:top="1360" w:right="1360" w:bottom="640" w:left="1340" w:header="0" w:footer="381"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4"/>
        <w:ind w:left="0"/>
        <w:rPr>
          <w:sz w:val="27"/>
        </w:rPr>
      </w:pPr>
    </w:p>
    <w:p w:rsidR="004E13A5" w:rsidRDefault="00681463">
      <w:pPr>
        <w:pStyle w:val="Heading4"/>
      </w:pPr>
      <w:r>
        <w:rPr>
          <w:spacing w:val="-1"/>
        </w:rPr>
        <w:t>INTRODUCTION</w:t>
      </w:r>
    </w:p>
    <w:p w:rsidR="004E13A5" w:rsidRDefault="00681463">
      <w:pPr>
        <w:spacing w:before="179" w:line="448" w:lineRule="auto"/>
        <w:ind w:left="100" w:right="3934" w:firstLine="249"/>
        <w:rPr>
          <w:b/>
          <w:sz w:val="24"/>
        </w:rPr>
      </w:pPr>
      <w:r>
        <w:br w:type="column"/>
      </w:r>
      <w:r>
        <w:rPr>
          <w:b/>
          <w:sz w:val="24"/>
        </w:rPr>
        <w:t>Chapter 3 ELIGIBILITY</w:t>
      </w:r>
    </w:p>
    <w:p w:rsidR="004E13A5" w:rsidRDefault="004E13A5">
      <w:pPr>
        <w:spacing w:line="448" w:lineRule="auto"/>
        <w:rPr>
          <w:sz w:val="24"/>
        </w:rPr>
        <w:sectPr w:rsidR="004E13A5">
          <w:pgSz w:w="12240" w:h="15840"/>
          <w:pgMar w:top="1500" w:right="1400" w:bottom="640" w:left="1340" w:header="0" w:footer="381" w:gutter="0"/>
          <w:cols w:num="2" w:space="720" w:equalWidth="0">
            <w:col w:w="2020" w:space="1892"/>
            <w:col w:w="5588"/>
          </w:cols>
        </w:sectPr>
      </w:pPr>
    </w:p>
    <w:p w:rsidR="004E13A5" w:rsidRDefault="00681463">
      <w:pPr>
        <w:pStyle w:val="BodyText"/>
        <w:spacing w:before="120"/>
        <w:ind w:right="256"/>
      </w:pPr>
      <w:r>
        <w:t>The PHA is responsible for ensuring that every individual and family admitted to the HCV program meets all program eligibility requirements. This includes any individual approved to join the family after the family has been admitted to the program. The family must provide any information needed by the PHA to confirm eligibility and determine the level of the family’s assistance.</w:t>
      </w:r>
    </w:p>
    <w:p w:rsidR="004E13A5" w:rsidRDefault="00681463">
      <w:pPr>
        <w:pStyle w:val="BodyText"/>
        <w:spacing w:before="120"/>
      </w:pPr>
      <w:r>
        <w:t>To be eligible for the HCV program:</w:t>
      </w:r>
    </w:p>
    <w:p w:rsidR="004E13A5" w:rsidRDefault="00681463">
      <w:pPr>
        <w:pStyle w:val="ListParagraph"/>
        <w:numPr>
          <w:ilvl w:val="0"/>
          <w:numId w:val="93"/>
        </w:numPr>
        <w:tabs>
          <w:tab w:val="left" w:pos="460"/>
          <w:tab w:val="left" w:pos="461"/>
        </w:tabs>
        <w:spacing w:before="120"/>
        <w:rPr>
          <w:rFonts w:ascii="Symbol"/>
          <w:sz w:val="24"/>
        </w:rPr>
      </w:pPr>
      <w:r>
        <w:rPr>
          <w:sz w:val="24"/>
        </w:rPr>
        <w:t>The applicant family</w:t>
      </w:r>
      <w:r>
        <w:rPr>
          <w:spacing w:val="-6"/>
          <w:sz w:val="24"/>
        </w:rPr>
        <w:t xml:space="preserve"> </w:t>
      </w:r>
      <w:r>
        <w:rPr>
          <w:sz w:val="24"/>
        </w:rPr>
        <w:t>must:</w:t>
      </w:r>
    </w:p>
    <w:p w:rsidR="004E13A5" w:rsidRDefault="00681463">
      <w:pPr>
        <w:pStyle w:val="ListParagraph"/>
        <w:numPr>
          <w:ilvl w:val="1"/>
          <w:numId w:val="93"/>
        </w:numPr>
        <w:tabs>
          <w:tab w:val="left" w:pos="820"/>
          <w:tab w:val="left" w:pos="821"/>
        </w:tabs>
        <w:spacing w:before="118"/>
        <w:rPr>
          <w:sz w:val="24"/>
        </w:rPr>
      </w:pPr>
      <w:r>
        <w:rPr>
          <w:sz w:val="24"/>
        </w:rPr>
        <w:t>Qualify as a family as defined by HUD and the</w:t>
      </w:r>
      <w:r>
        <w:rPr>
          <w:spacing w:val="-12"/>
          <w:sz w:val="24"/>
        </w:rPr>
        <w:t xml:space="preserve"> </w:t>
      </w:r>
      <w:r>
        <w:rPr>
          <w:sz w:val="24"/>
        </w:rPr>
        <w:t>PHA.</w:t>
      </w:r>
    </w:p>
    <w:p w:rsidR="004E13A5" w:rsidRDefault="00681463">
      <w:pPr>
        <w:pStyle w:val="ListParagraph"/>
        <w:numPr>
          <w:ilvl w:val="1"/>
          <w:numId w:val="93"/>
        </w:numPr>
        <w:tabs>
          <w:tab w:val="left" w:pos="820"/>
          <w:tab w:val="left" w:pos="821"/>
        </w:tabs>
        <w:spacing w:before="121"/>
        <w:rPr>
          <w:sz w:val="24"/>
        </w:rPr>
      </w:pPr>
      <w:r>
        <w:rPr>
          <w:sz w:val="24"/>
        </w:rPr>
        <w:t>Have income at or below HUD-specified income</w:t>
      </w:r>
      <w:r>
        <w:rPr>
          <w:spacing w:val="-6"/>
          <w:sz w:val="24"/>
        </w:rPr>
        <w:t xml:space="preserve"> </w:t>
      </w:r>
      <w:r>
        <w:rPr>
          <w:sz w:val="24"/>
        </w:rPr>
        <w:t>limits.</w:t>
      </w:r>
    </w:p>
    <w:p w:rsidR="004E13A5" w:rsidRDefault="00681463">
      <w:pPr>
        <w:pStyle w:val="ListParagraph"/>
        <w:numPr>
          <w:ilvl w:val="1"/>
          <w:numId w:val="93"/>
        </w:numPr>
        <w:tabs>
          <w:tab w:val="left" w:pos="820"/>
          <w:tab w:val="left" w:pos="821"/>
        </w:tabs>
        <w:spacing w:before="118"/>
        <w:rPr>
          <w:sz w:val="24"/>
        </w:rPr>
      </w:pPr>
      <w:r>
        <w:rPr>
          <w:sz w:val="24"/>
        </w:rPr>
        <w:t>Qualify on the basis of citizenship or the eligible immigrant status of family</w:t>
      </w:r>
      <w:r>
        <w:rPr>
          <w:spacing w:val="-22"/>
          <w:sz w:val="24"/>
        </w:rPr>
        <w:t xml:space="preserve"> </w:t>
      </w:r>
      <w:r>
        <w:rPr>
          <w:sz w:val="24"/>
        </w:rPr>
        <w:t>members.</w:t>
      </w:r>
    </w:p>
    <w:p w:rsidR="004E13A5" w:rsidRDefault="00681463">
      <w:pPr>
        <w:pStyle w:val="ListParagraph"/>
        <w:numPr>
          <w:ilvl w:val="1"/>
          <w:numId w:val="93"/>
        </w:numPr>
        <w:tabs>
          <w:tab w:val="left" w:pos="820"/>
          <w:tab w:val="left" w:pos="821"/>
        </w:tabs>
        <w:spacing w:before="118"/>
        <w:rPr>
          <w:sz w:val="24"/>
        </w:rPr>
      </w:pPr>
      <w:r>
        <w:rPr>
          <w:sz w:val="24"/>
        </w:rPr>
        <w:t>Provide social security number information for household members as</w:t>
      </w:r>
      <w:r>
        <w:rPr>
          <w:spacing w:val="-12"/>
          <w:sz w:val="24"/>
        </w:rPr>
        <w:t xml:space="preserve"> </w:t>
      </w:r>
      <w:r>
        <w:rPr>
          <w:sz w:val="24"/>
        </w:rPr>
        <w:t>required.</w:t>
      </w:r>
    </w:p>
    <w:p w:rsidR="004E13A5" w:rsidRDefault="00681463">
      <w:pPr>
        <w:pStyle w:val="ListParagraph"/>
        <w:numPr>
          <w:ilvl w:val="1"/>
          <w:numId w:val="93"/>
        </w:numPr>
        <w:tabs>
          <w:tab w:val="left" w:pos="820"/>
          <w:tab w:val="left" w:pos="821"/>
        </w:tabs>
        <w:spacing w:before="121"/>
        <w:ind w:right="265"/>
        <w:rPr>
          <w:sz w:val="24"/>
        </w:rPr>
      </w:pPr>
      <w:r>
        <w:rPr>
          <w:sz w:val="24"/>
        </w:rPr>
        <w:t>Consent to the PHA’s collection and use of family information as provided for in PHA- provided consent</w:t>
      </w:r>
      <w:r>
        <w:rPr>
          <w:spacing w:val="-4"/>
          <w:sz w:val="24"/>
        </w:rPr>
        <w:t xml:space="preserve"> </w:t>
      </w:r>
      <w:r>
        <w:rPr>
          <w:sz w:val="24"/>
        </w:rPr>
        <w:t>forms.</w:t>
      </w:r>
    </w:p>
    <w:p w:rsidR="004E13A5" w:rsidRDefault="00681463">
      <w:pPr>
        <w:pStyle w:val="ListParagraph"/>
        <w:numPr>
          <w:ilvl w:val="1"/>
          <w:numId w:val="93"/>
        </w:numPr>
        <w:tabs>
          <w:tab w:val="left" w:pos="820"/>
          <w:tab w:val="left" w:pos="821"/>
        </w:tabs>
        <w:rPr>
          <w:sz w:val="24"/>
        </w:rPr>
      </w:pPr>
      <w:r>
        <w:rPr>
          <w:sz w:val="24"/>
        </w:rPr>
        <w:t>Not currently be receiving a duplicative</w:t>
      </w:r>
      <w:r>
        <w:rPr>
          <w:spacing w:val="-14"/>
          <w:sz w:val="24"/>
        </w:rPr>
        <w:t xml:space="preserve"> </w:t>
      </w:r>
      <w:r>
        <w:rPr>
          <w:sz w:val="24"/>
        </w:rPr>
        <w:t>subsidy.</w:t>
      </w:r>
    </w:p>
    <w:p w:rsidR="004E13A5" w:rsidRDefault="00681463">
      <w:pPr>
        <w:pStyle w:val="ListParagraph"/>
        <w:numPr>
          <w:ilvl w:val="0"/>
          <w:numId w:val="93"/>
        </w:numPr>
        <w:tabs>
          <w:tab w:val="left" w:pos="460"/>
          <w:tab w:val="left" w:pos="461"/>
        </w:tabs>
        <w:spacing w:before="122"/>
        <w:ind w:right="349"/>
        <w:rPr>
          <w:rFonts w:ascii="Symbol"/>
          <w:sz w:val="24"/>
        </w:rPr>
      </w:pPr>
      <w:r>
        <w:rPr>
          <w:sz w:val="24"/>
        </w:rPr>
        <w:t>The PHA must determine that the current or past behavior of household members does</w:t>
      </w:r>
      <w:r>
        <w:rPr>
          <w:spacing w:val="-14"/>
          <w:sz w:val="24"/>
        </w:rPr>
        <w:t xml:space="preserve"> </w:t>
      </w:r>
      <w:r>
        <w:rPr>
          <w:sz w:val="24"/>
        </w:rPr>
        <w:t>not include activities that are prohibited by HUD or the</w:t>
      </w:r>
      <w:r>
        <w:rPr>
          <w:spacing w:val="-12"/>
          <w:sz w:val="24"/>
        </w:rPr>
        <w:t xml:space="preserve"> </w:t>
      </w:r>
      <w:r>
        <w:rPr>
          <w:sz w:val="24"/>
        </w:rPr>
        <w:t>PHA.</w:t>
      </w:r>
    </w:p>
    <w:p w:rsidR="004E13A5" w:rsidRDefault="00681463">
      <w:pPr>
        <w:pStyle w:val="BodyText"/>
        <w:spacing w:before="120"/>
      </w:pPr>
      <w:r>
        <w:t>This chapter contains three parts:</w:t>
      </w:r>
    </w:p>
    <w:p w:rsidR="004E13A5" w:rsidRDefault="00681463">
      <w:pPr>
        <w:pStyle w:val="BodyText"/>
        <w:spacing w:before="120"/>
        <w:ind w:left="820" w:right="108"/>
        <w:jc w:val="both"/>
      </w:pPr>
      <w:r>
        <w:rPr>
          <w:u w:val="single"/>
        </w:rPr>
        <w:t xml:space="preserve">Part </w:t>
      </w:r>
      <w:r>
        <w:rPr>
          <w:spacing w:val="-3"/>
          <w:u w:val="single"/>
        </w:rPr>
        <w:t xml:space="preserve">I: </w:t>
      </w:r>
      <w:r>
        <w:rPr>
          <w:u w:val="single"/>
        </w:rPr>
        <w:t>Definitions of Family and Household Members</w:t>
      </w:r>
      <w:r>
        <w:t>. This part contains HUD and PHA definitions of family and household members and explains initial and ongoing eligibility issues related to these members.</w:t>
      </w:r>
    </w:p>
    <w:p w:rsidR="004E13A5" w:rsidRDefault="00681463">
      <w:pPr>
        <w:pStyle w:val="BodyText"/>
        <w:spacing w:before="120"/>
        <w:ind w:left="820" w:right="881"/>
      </w:pPr>
      <w:r>
        <w:rPr>
          <w:u w:val="single"/>
        </w:rPr>
        <w:t>Part II: Basic Eligibility Criteria</w:t>
      </w:r>
      <w:r>
        <w:t>. This part discusses income eligibility, and rules regarding citizenship, social security numbers, and family consent.</w:t>
      </w:r>
    </w:p>
    <w:p w:rsidR="004E13A5" w:rsidRDefault="00681463">
      <w:pPr>
        <w:pStyle w:val="BodyText"/>
        <w:spacing w:before="120"/>
        <w:ind w:left="820" w:right="416"/>
      </w:pPr>
      <w:r>
        <w:rPr>
          <w:u w:val="single"/>
        </w:rPr>
        <w:t>Part III: Denial of Assistance</w:t>
      </w:r>
      <w:r>
        <w:t>. This part covers factors related to an applicant’s past or current conduct (e.g. criminal activity) that can cause the PHA to deny assistance.</w:t>
      </w:r>
    </w:p>
    <w:p w:rsidR="004E13A5" w:rsidRDefault="00681463">
      <w:pPr>
        <w:pStyle w:val="Heading4"/>
        <w:spacing w:before="51" w:line="516" w:lineRule="exact"/>
        <w:ind w:right="996" w:firstLine="955"/>
      </w:pPr>
      <w:r>
        <w:t>PART I: DEFINITIONS OF FAMILY AND HOUSEHOLD MEMBERS 3-I.A. OVERVIEW</w:t>
      </w:r>
    </w:p>
    <w:p w:rsidR="004E13A5" w:rsidRDefault="00681463">
      <w:pPr>
        <w:pStyle w:val="BodyText"/>
        <w:spacing w:before="68"/>
        <w:ind w:right="103"/>
      </w:pPr>
      <w:r>
        <w:t>Some eligibility criteria and program rules vary depending upon the composition of the family requesting assistance. In addition, some requirements apply to the family as a whole and others apply to individual persons who will live in the assisted unit. This part provides information that is needed to correctly identify family and household members, and to apply HUD's eligibility rules.</w:t>
      </w:r>
    </w:p>
    <w:p w:rsidR="004E13A5" w:rsidRDefault="004E13A5">
      <w:pPr>
        <w:sectPr w:rsidR="004E13A5">
          <w:type w:val="continuous"/>
          <w:pgSz w:w="12240" w:h="15840"/>
          <w:pgMar w:top="1500" w:right="1400" w:bottom="280" w:left="1340" w:header="720" w:footer="720" w:gutter="0"/>
          <w:cols w:space="720"/>
        </w:sectPr>
      </w:pPr>
    </w:p>
    <w:p w:rsidR="004E13A5" w:rsidRDefault="00681463">
      <w:pPr>
        <w:pStyle w:val="Heading4"/>
        <w:spacing w:before="79"/>
        <w:ind w:right="1440"/>
      </w:pPr>
      <w:r>
        <w:lastRenderedPageBreak/>
        <w:t>3-I.B. FAMILY AND HOUSEHOLD [24 CFR 982.201(c); FR Notice 02/03/12; Notice PIH 2014-20]</w:t>
      </w:r>
    </w:p>
    <w:p w:rsidR="004E13A5" w:rsidRDefault="00681463">
      <w:pPr>
        <w:spacing w:before="119"/>
        <w:ind w:left="100"/>
        <w:rPr>
          <w:sz w:val="24"/>
        </w:rPr>
      </w:pPr>
      <w:r>
        <w:rPr>
          <w:sz w:val="24"/>
        </w:rPr>
        <w:t xml:space="preserve">The terms </w:t>
      </w:r>
      <w:r>
        <w:rPr>
          <w:i/>
          <w:sz w:val="24"/>
        </w:rPr>
        <w:t xml:space="preserve">family </w:t>
      </w:r>
      <w:r>
        <w:rPr>
          <w:sz w:val="24"/>
        </w:rPr>
        <w:t xml:space="preserve">and </w:t>
      </w:r>
      <w:r>
        <w:rPr>
          <w:i/>
          <w:sz w:val="24"/>
        </w:rPr>
        <w:t xml:space="preserve">household </w:t>
      </w:r>
      <w:r>
        <w:rPr>
          <w:sz w:val="24"/>
        </w:rPr>
        <w:t>have different meanings in the HCV program.</w:t>
      </w:r>
    </w:p>
    <w:p w:rsidR="004E13A5" w:rsidRDefault="00681463">
      <w:pPr>
        <w:pStyle w:val="Heading4"/>
        <w:spacing w:before="119"/>
      </w:pPr>
      <w:r>
        <w:t>Family</w:t>
      </w:r>
    </w:p>
    <w:p w:rsidR="004E13A5" w:rsidRDefault="00681463">
      <w:pPr>
        <w:pStyle w:val="BodyText"/>
        <w:ind w:right="102"/>
      </w:pPr>
      <w:r>
        <w:t xml:space="preserve">To be eligible for assistance, an applicant must qualify as a family. </w:t>
      </w:r>
      <w:r>
        <w:rPr>
          <w:i/>
        </w:rPr>
        <w:t xml:space="preserve">Family </w:t>
      </w:r>
      <w:r>
        <w:t>as defined by HUD includes, but is not limited to the following, regardless actual or perceived sexual orientation, gender identity, or marital status, a single person, who may be an elderly person, disabled person, near-elderly person, or any other single person; or a group of persons residing together. Such group includes, but is not limited to a family with or without children (a child who is temporarily away from the home because of placement in foster care is considered a member of the family), an elderly family, a near-elderly family, a disabled family, a displaced family, or the remaining member of a tenant family. The PHA has the discretion to determine if any other group of persons qualifies as a family.</w:t>
      </w:r>
    </w:p>
    <w:p w:rsidR="004E13A5" w:rsidRDefault="00681463">
      <w:pPr>
        <w:spacing w:before="119"/>
        <w:ind w:left="100"/>
        <w:rPr>
          <w:sz w:val="24"/>
        </w:rPr>
      </w:pPr>
      <w:r>
        <w:rPr>
          <w:i/>
          <w:sz w:val="24"/>
        </w:rPr>
        <w:t xml:space="preserve">Gender Identity </w:t>
      </w:r>
      <w:r>
        <w:rPr>
          <w:sz w:val="24"/>
        </w:rPr>
        <w:t>means actual or perceived gender characteristics.</w:t>
      </w:r>
    </w:p>
    <w:p w:rsidR="004E13A5" w:rsidRDefault="00681463">
      <w:pPr>
        <w:spacing w:before="119"/>
        <w:ind w:left="100"/>
        <w:rPr>
          <w:sz w:val="24"/>
        </w:rPr>
      </w:pPr>
      <w:r>
        <w:rPr>
          <w:i/>
          <w:sz w:val="24"/>
        </w:rPr>
        <w:t xml:space="preserve">Sexual orientation </w:t>
      </w:r>
      <w:r>
        <w:rPr>
          <w:sz w:val="24"/>
        </w:rPr>
        <w:t>means homosexuality, heterosexuality, or bisexuality.</w:t>
      </w:r>
    </w:p>
    <w:p w:rsidR="004E13A5" w:rsidRDefault="00681463">
      <w:pPr>
        <w:pStyle w:val="BodyText"/>
        <w:ind w:left="820"/>
      </w:pPr>
      <w:r>
        <w:rPr>
          <w:u w:val="single"/>
        </w:rPr>
        <w:t>PHA Policy</w:t>
      </w:r>
    </w:p>
    <w:p w:rsidR="004E13A5" w:rsidRDefault="00681463">
      <w:pPr>
        <w:pStyle w:val="BodyText"/>
        <w:ind w:left="820" w:right="262"/>
      </w:pPr>
      <w:r>
        <w:t>A family also includes two or more individuals who are not related by blood, marriage, adoption, or other operation of law.</w:t>
      </w:r>
    </w:p>
    <w:p w:rsidR="004E13A5" w:rsidRDefault="00681463">
      <w:pPr>
        <w:pStyle w:val="BodyText"/>
        <w:ind w:left="820" w:right="701"/>
      </w:pPr>
      <w:r>
        <w:t>Each family must identify the individuals to be included in the family at the time of application, and must notify the PHA if the family’s composition changes.</w:t>
      </w:r>
    </w:p>
    <w:p w:rsidR="004E13A5" w:rsidRDefault="00681463">
      <w:pPr>
        <w:pStyle w:val="Heading4"/>
        <w:spacing w:before="119"/>
      </w:pPr>
      <w:r>
        <w:t>Household</w:t>
      </w:r>
    </w:p>
    <w:p w:rsidR="004E13A5" w:rsidRDefault="00681463">
      <w:pPr>
        <w:pStyle w:val="BodyText"/>
        <w:spacing w:before="120"/>
        <w:ind w:right="461"/>
      </w:pPr>
      <w:r>
        <w:rPr>
          <w:i/>
        </w:rPr>
        <w:t xml:space="preserve">Household </w:t>
      </w:r>
      <w:r>
        <w:t>is a broader term that includes additional people who, with the PHA’s permission, live in an assisted unit, such as live-in aides, foster children, and foster adults.</w:t>
      </w:r>
    </w:p>
    <w:p w:rsidR="004E13A5" w:rsidRDefault="004E13A5">
      <w:pPr>
        <w:pStyle w:val="BodyText"/>
        <w:spacing w:before="10"/>
        <w:ind w:left="0"/>
        <w:rPr>
          <w:sz w:val="20"/>
        </w:rPr>
      </w:pPr>
    </w:p>
    <w:p w:rsidR="004E13A5" w:rsidRDefault="00681463">
      <w:pPr>
        <w:pStyle w:val="Heading4"/>
      </w:pPr>
      <w:r>
        <w:t>3-I.C. FAMILY BREAKUP AND REMAINING MEMBER OF TENANT FAMILY</w:t>
      </w:r>
    </w:p>
    <w:p w:rsidR="004E13A5" w:rsidRDefault="00681463">
      <w:pPr>
        <w:spacing w:before="120"/>
        <w:ind w:left="100"/>
        <w:rPr>
          <w:b/>
          <w:sz w:val="24"/>
        </w:rPr>
      </w:pPr>
      <w:r>
        <w:rPr>
          <w:b/>
          <w:sz w:val="24"/>
        </w:rPr>
        <w:t>Family Breakup [24 CFR 982.315; Notice PIH 2017-08]</w:t>
      </w:r>
    </w:p>
    <w:p w:rsidR="004E13A5" w:rsidRDefault="00681463">
      <w:pPr>
        <w:pStyle w:val="BodyText"/>
        <w:spacing w:before="120"/>
        <w:ind w:right="262"/>
      </w:pPr>
      <w:r>
        <w:t>Except under the following conditions, the PHA has discretion to determine which members of an assisted family continue to receive assistance if the family breaks up:</w:t>
      </w:r>
    </w:p>
    <w:p w:rsidR="004E13A5" w:rsidRDefault="00681463">
      <w:pPr>
        <w:pStyle w:val="ListParagraph"/>
        <w:numPr>
          <w:ilvl w:val="0"/>
          <w:numId w:val="93"/>
        </w:numPr>
        <w:tabs>
          <w:tab w:val="left" w:pos="461"/>
        </w:tabs>
        <w:ind w:right="738"/>
        <w:jc w:val="both"/>
        <w:rPr>
          <w:rFonts w:ascii="Symbol"/>
          <w:sz w:val="24"/>
        </w:rPr>
      </w:pPr>
      <w:r>
        <w:rPr>
          <w:sz w:val="24"/>
        </w:rPr>
        <w:t>If the family breakup results from an occurrence of domestic violence, dating violence, sexual assault, or stalking, the PHA must ensure that the victim retains assistance. (For documentation requirements and policies related to domestic violence, dating</w:t>
      </w:r>
      <w:r>
        <w:rPr>
          <w:spacing w:val="-14"/>
          <w:sz w:val="24"/>
        </w:rPr>
        <w:t xml:space="preserve"> </w:t>
      </w:r>
      <w:r>
        <w:rPr>
          <w:sz w:val="24"/>
        </w:rPr>
        <w:t>violence, sexual assault, and stalking, see section 16-IX.D of this</w:t>
      </w:r>
      <w:r>
        <w:rPr>
          <w:spacing w:val="-9"/>
          <w:sz w:val="24"/>
        </w:rPr>
        <w:t xml:space="preserve"> </w:t>
      </w:r>
      <w:r>
        <w:rPr>
          <w:sz w:val="24"/>
        </w:rPr>
        <w:t>plan.)</w:t>
      </w:r>
    </w:p>
    <w:p w:rsidR="004E13A5" w:rsidRDefault="00681463">
      <w:pPr>
        <w:pStyle w:val="ListParagraph"/>
        <w:numPr>
          <w:ilvl w:val="0"/>
          <w:numId w:val="93"/>
        </w:numPr>
        <w:tabs>
          <w:tab w:val="left" w:pos="460"/>
          <w:tab w:val="left" w:pos="461"/>
        </w:tabs>
        <w:ind w:right="240"/>
        <w:rPr>
          <w:rFonts w:ascii="Symbol" w:hAnsi="Symbol"/>
          <w:sz w:val="24"/>
        </w:rPr>
      </w:pPr>
      <w:r>
        <w:rPr>
          <w:sz w:val="24"/>
        </w:rPr>
        <w:t>In accordance with Notice PIH 2017-08, for HUD–Veterans Affairs Supportive Housing (HUD–VASH) vouchers, when the veteran is the perpetrator of domestic violence, dating violence, sexual assault, or stalking, the victim must continue to be assisted. Upon termination of the perpetrator’s HUD–VASH voucher, the victim should be given a regular HCV if one is available, and the perpetrator’s HUD–VASH voucher should be used to serve another eligible family. If a regular HCV is not available, the victim will continue to use the HUD–VASH voucher, which must be issued to another eligible family upon the voucher’s turnover.</w:t>
      </w:r>
    </w:p>
    <w:p w:rsidR="004E13A5" w:rsidRDefault="004E13A5">
      <w:pPr>
        <w:rPr>
          <w:rFonts w:ascii="Symbol" w:hAnsi="Symbol"/>
          <w:sz w:val="24"/>
        </w:rPr>
        <w:sectPr w:rsidR="004E13A5">
          <w:pgSz w:w="12240" w:h="15840"/>
          <w:pgMar w:top="1360" w:right="1340" w:bottom="640" w:left="1340" w:header="0" w:footer="381" w:gutter="0"/>
          <w:cols w:space="720"/>
        </w:sectPr>
      </w:pPr>
    </w:p>
    <w:p w:rsidR="004E13A5" w:rsidRDefault="00681463">
      <w:pPr>
        <w:pStyle w:val="ListParagraph"/>
        <w:numPr>
          <w:ilvl w:val="0"/>
          <w:numId w:val="93"/>
        </w:numPr>
        <w:tabs>
          <w:tab w:val="left" w:pos="460"/>
          <w:tab w:val="left" w:pos="461"/>
        </w:tabs>
        <w:spacing w:before="79"/>
        <w:ind w:right="171"/>
        <w:rPr>
          <w:rFonts w:ascii="Symbol" w:hAnsi="Symbol"/>
          <w:sz w:val="24"/>
        </w:rPr>
      </w:pPr>
      <w:r>
        <w:rPr>
          <w:sz w:val="24"/>
        </w:rPr>
        <w:lastRenderedPageBreak/>
        <w:t>If a court determines the disposition of property between members of the assisted family,</w:t>
      </w:r>
      <w:r>
        <w:rPr>
          <w:spacing w:val="-19"/>
          <w:sz w:val="24"/>
        </w:rPr>
        <w:t xml:space="preserve"> </w:t>
      </w:r>
      <w:r>
        <w:rPr>
          <w:sz w:val="24"/>
        </w:rPr>
        <w:t>the PHA is bound by the court’s determination of which family members continue to receive assistance.</w:t>
      </w:r>
    </w:p>
    <w:p w:rsidR="004E13A5" w:rsidRDefault="00681463">
      <w:pPr>
        <w:pStyle w:val="BodyText"/>
        <w:spacing w:before="120"/>
        <w:ind w:left="820"/>
      </w:pPr>
      <w:r>
        <w:rPr>
          <w:u w:val="single"/>
        </w:rPr>
        <w:t>PHA Policy</w:t>
      </w:r>
    </w:p>
    <w:p w:rsidR="004E13A5" w:rsidRDefault="00681463">
      <w:pPr>
        <w:pStyle w:val="BodyText"/>
        <w:spacing w:before="120"/>
        <w:ind w:left="820" w:right="495"/>
      </w:pPr>
      <w:r>
        <w:t>When a family on the waiting list breaks up into two otherwise eligible families, only one of the new families may retain the original application date. Other former family members may make a new application with a new application date if the waiting list is open.</w:t>
      </w:r>
    </w:p>
    <w:p w:rsidR="004E13A5" w:rsidRDefault="00681463">
      <w:pPr>
        <w:pStyle w:val="BodyText"/>
        <w:spacing w:before="120"/>
        <w:ind w:left="820" w:right="129"/>
      </w:pPr>
      <w:r>
        <w:t>If a family breaks up into two otherwise eligible families while receiving assistance, only one of the new families will continue to be assisted.</w:t>
      </w:r>
    </w:p>
    <w:p w:rsidR="004E13A5" w:rsidRDefault="00681463">
      <w:pPr>
        <w:pStyle w:val="BodyText"/>
        <w:spacing w:before="120"/>
        <w:ind w:left="820" w:right="96"/>
      </w:pPr>
      <w:r>
        <w:t>In the absence of a judicial decision or an agreement among the original family members, the PHA will determine which family will retain their placement on the waiting list or continue to receive assistance. In making its determination, the PHA will take into consideration the following factors: (1) the interest of any minor children, including custody arrangements; (2) the interest of any ill, elderly, or disabled family members; (3) the interest of any family member who is the victim of domestic violence, dating violence, sexual assault, or stalking, including a family member who was forced to leave an assisted unit as a result of such actual or threatened abuse; (4) any possible risks to family members as a result of criminal activity; and (5) the recommendations of social service professionals</w:t>
      </w:r>
    </w:p>
    <w:p w:rsidR="004E13A5" w:rsidRDefault="00681463">
      <w:pPr>
        <w:pStyle w:val="Heading4"/>
        <w:spacing w:before="120"/>
      </w:pPr>
      <w:r>
        <w:t>Remaining Member of a Tenant Family [24 CFR 5.403]</w:t>
      </w:r>
    </w:p>
    <w:p w:rsidR="004E13A5" w:rsidRDefault="00681463">
      <w:pPr>
        <w:pStyle w:val="BodyText"/>
        <w:spacing w:before="120"/>
        <w:ind w:right="149"/>
      </w:pPr>
      <w:r>
        <w:t xml:space="preserve">The HUD definition of family includes the </w:t>
      </w:r>
      <w:r>
        <w:rPr>
          <w:i/>
        </w:rPr>
        <w:t xml:space="preserve">remaining member of a tenant family, </w:t>
      </w:r>
      <w:r>
        <w:t>which is a member of an assisted family who remains in the unit when other members of the family have left the unit. Household members such as live-in aides, foster children, and foster adults do not qualify as remaining members of a family.</w:t>
      </w:r>
    </w:p>
    <w:p w:rsidR="004E13A5" w:rsidRDefault="00681463">
      <w:pPr>
        <w:pStyle w:val="BodyText"/>
        <w:spacing w:before="120"/>
        <w:ind w:right="335"/>
      </w:pPr>
      <w:r>
        <w:t>If dependents are the only “remaining members of a tenant family” and there is no family member able to assume the responsibilities of the head of household, see Chapter 6, Section 6- I.B, for the policy on “Caretakers for a Child.”</w:t>
      </w:r>
    </w:p>
    <w:p w:rsidR="004E13A5" w:rsidRDefault="004E13A5">
      <w:pPr>
        <w:pStyle w:val="BodyText"/>
        <w:spacing w:before="10"/>
        <w:ind w:left="0"/>
        <w:rPr>
          <w:sz w:val="20"/>
        </w:rPr>
      </w:pPr>
    </w:p>
    <w:p w:rsidR="004E13A5" w:rsidRDefault="00681463">
      <w:pPr>
        <w:pStyle w:val="Heading4"/>
      </w:pPr>
      <w:r>
        <w:t>3-I.D. HEAD OF HOUSEHOLD [24 CFR 5.504(b)]</w:t>
      </w:r>
    </w:p>
    <w:p w:rsidR="004E13A5" w:rsidRDefault="00681463">
      <w:pPr>
        <w:pStyle w:val="BodyText"/>
        <w:spacing w:before="120"/>
        <w:ind w:right="462"/>
      </w:pPr>
      <w:r>
        <w:rPr>
          <w:i/>
        </w:rPr>
        <w:t xml:space="preserve">Head of household </w:t>
      </w:r>
      <w:r>
        <w:t>means the adult member of the family who is considered the head for purposes of determining income eligibility and rent. The head of household is responsible for ensuring that the family fulfills all of its responsibilities under the program, alone or in conjunction with a co-head or spouse.</w:t>
      </w:r>
    </w:p>
    <w:p w:rsidR="004E13A5" w:rsidRDefault="00681463">
      <w:pPr>
        <w:pStyle w:val="BodyText"/>
        <w:spacing w:before="120"/>
        <w:ind w:left="820"/>
      </w:pPr>
      <w:r>
        <w:rPr>
          <w:u w:val="single"/>
        </w:rPr>
        <w:t>PHA Policy</w:t>
      </w:r>
    </w:p>
    <w:p w:rsidR="004E13A5" w:rsidRDefault="00681463">
      <w:pPr>
        <w:pStyle w:val="BodyText"/>
        <w:ind w:left="820"/>
      </w:pPr>
      <w:r>
        <w:t>The family may designate any qualified family member as the head of household.</w:t>
      </w:r>
    </w:p>
    <w:p w:rsidR="004E13A5" w:rsidRDefault="00681463">
      <w:pPr>
        <w:pStyle w:val="BodyText"/>
        <w:ind w:left="820" w:right="62"/>
      </w:pPr>
      <w:r>
        <w:t>The head of household must have the legal capacity to enter into a lease under state and local law. A minor who is emancipated under state law may be designated as head of household.</w:t>
      </w:r>
    </w:p>
    <w:p w:rsidR="004E13A5" w:rsidRDefault="004E13A5">
      <w:pPr>
        <w:pStyle w:val="BodyText"/>
        <w:spacing w:before="9"/>
        <w:ind w:left="0"/>
        <w:rPr>
          <w:sz w:val="20"/>
        </w:rPr>
      </w:pPr>
    </w:p>
    <w:p w:rsidR="004E13A5" w:rsidRDefault="00681463">
      <w:pPr>
        <w:pStyle w:val="Heading4"/>
      </w:pPr>
      <w:r>
        <w:t>3-I.E. SPOUSE, CO-HEAD, AND OTHER ADULT</w:t>
      </w:r>
    </w:p>
    <w:p w:rsidR="004E13A5" w:rsidRDefault="00681463">
      <w:pPr>
        <w:pStyle w:val="BodyText"/>
      </w:pPr>
      <w:r>
        <w:t>A family may have a spouse or co-head, but not both [HUD-50058 IB, p. 13].</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pPr>
      <w:r>
        <w:rPr>
          <w:i/>
        </w:rPr>
        <w:lastRenderedPageBreak/>
        <w:t xml:space="preserve">Spouse </w:t>
      </w:r>
      <w:r>
        <w:t>means the marriage partner of the head of household.</w:t>
      </w:r>
    </w:p>
    <w:p w:rsidR="004E13A5" w:rsidRDefault="00681463">
      <w:pPr>
        <w:pStyle w:val="BodyText"/>
        <w:ind w:left="820"/>
      </w:pPr>
      <w:r>
        <w:rPr>
          <w:u w:val="single"/>
        </w:rPr>
        <w:t>PHA Policy</w:t>
      </w:r>
    </w:p>
    <w:p w:rsidR="004E13A5" w:rsidRDefault="00681463">
      <w:pPr>
        <w:pStyle w:val="BodyText"/>
        <w:ind w:left="820" w:right="246"/>
      </w:pPr>
      <w:r>
        <w:t xml:space="preserve">A </w:t>
      </w:r>
      <w:r>
        <w:rPr>
          <w:i/>
        </w:rPr>
        <w:t xml:space="preserve">marriage partner </w:t>
      </w:r>
      <w:r>
        <w:t>includes the partner in a "common law" marriage as defined in state law. The term “spouse” does not apply to friends, roommates, or significant others who are not marriage partners. A minor who is emancipated under state law may be designated as a spouse.</w:t>
      </w:r>
    </w:p>
    <w:p w:rsidR="004E13A5" w:rsidRDefault="00681463">
      <w:pPr>
        <w:pStyle w:val="BodyText"/>
        <w:ind w:right="262"/>
      </w:pPr>
      <w:r>
        <w:t xml:space="preserve">A </w:t>
      </w:r>
      <w:r>
        <w:rPr>
          <w:i/>
        </w:rPr>
        <w:t xml:space="preserve">co-head </w:t>
      </w:r>
      <w:r>
        <w:t>is an individual in the household who is equally responsible with the head of household for ensuring that the family fulfills all of its responsibilities under the program, but who is not a spouse. A family can have only one co-head.</w:t>
      </w:r>
    </w:p>
    <w:p w:rsidR="004E13A5" w:rsidRDefault="00681463">
      <w:pPr>
        <w:pStyle w:val="BodyText"/>
        <w:ind w:left="820"/>
      </w:pPr>
      <w:r>
        <w:rPr>
          <w:u w:val="single"/>
        </w:rPr>
        <w:t>PHA Policy</w:t>
      </w:r>
    </w:p>
    <w:p w:rsidR="004E13A5" w:rsidRDefault="00681463">
      <w:pPr>
        <w:pStyle w:val="BodyText"/>
        <w:ind w:left="820"/>
      </w:pPr>
      <w:r>
        <w:t>Minors who are emancipated under state law may be designated as a co-head.</w:t>
      </w:r>
    </w:p>
    <w:p w:rsidR="004E13A5" w:rsidRDefault="00681463">
      <w:pPr>
        <w:pStyle w:val="BodyText"/>
        <w:spacing w:before="120"/>
        <w:ind w:right="209"/>
      </w:pPr>
      <w:r>
        <w:rPr>
          <w:i/>
        </w:rPr>
        <w:t xml:space="preserve">Other adult </w:t>
      </w:r>
      <w:r>
        <w:t>means a family member, other than the head, spouse, or co-head, who is 18 years of age or older. Foster adults and live-in aides are not considered other adults.</w:t>
      </w:r>
    </w:p>
    <w:p w:rsidR="004E13A5" w:rsidRDefault="004E13A5">
      <w:pPr>
        <w:pStyle w:val="BodyText"/>
        <w:spacing w:before="9"/>
        <w:ind w:left="0"/>
        <w:rPr>
          <w:sz w:val="20"/>
        </w:rPr>
      </w:pPr>
    </w:p>
    <w:p w:rsidR="00236983" w:rsidRDefault="00236983">
      <w:pPr>
        <w:pStyle w:val="BodyText"/>
        <w:spacing w:before="120"/>
        <w:ind w:right="436"/>
        <w:rPr>
          <w:b/>
        </w:rPr>
      </w:pPr>
      <w:r>
        <w:rPr>
          <w:b/>
        </w:rPr>
        <w:t xml:space="preserve">3-I.F. DEPENDENTS AND MINORS </w:t>
      </w:r>
      <w:r w:rsidRPr="007455DF">
        <w:rPr>
          <w:b/>
        </w:rPr>
        <w:t>[24 CFR 5.603]</w:t>
      </w:r>
    </w:p>
    <w:p w:rsidR="004E13A5" w:rsidRDefault="00681463">
      <w:pPr>
        <w:pStyle w:val="BodyText"/>
        <w:spacing w:before="120"/>
        <w:ind w:right="436"/>
      </w:pPr>
      <w:r>
        <w:t xml:space="preserve">A </w:t>
      </w:r>
      <w:r>
        <w:rPr>
          <w:i/>
        </w:rPr>
        <w:t xml:space="preserve">dependent </w:t>
      </w:r>
      <w:r>
        <w:t xml:space="preserve">is a family member who is under 18 years of age </w:t>
      </w:r>
      <w:r>
        <w:rPr>
          <w:u w:val="single"/>
        </w:rPr>
        <w:t xml:space="preserve">or </w:t>
      </w:r>
      <w:r>
        <w:t>a person of any age who is a person with a disability or a full-time student, except that the following persons can never be dependents: the head of household, spouse, co-head, foster children/adults and live-in aides</w:t>
      </w:r>
      <w:r>
        <w:rPr>
          <w:i/>
        </w:rPr>
        <w:t xml:space="preserve">. </w:t>
      </w:r>
      <w:r>
        <w:t>Identifying each dependent in the family is important because each dependent qualifies the family for a dependent allowance as described in Chapter 6.</w:t>
      </w:r>
    </w:p>
    <w:p w:rsidR="004E13A5" w:rsidRDefault="00681463">
      <w:pPr>
        <w:pStyle w:val="Heading4"/>
        <w:spacing w:before="120"/>
      </w:pPr>
      <w:r>
        <w:t>Joint Custody of Dependents</w:t>
      </w:r>
    </w:p>
    <w:p w:rsidR="004E13A5" w:rsidRDefault="00681463">
      <w:pPr>
        <w:pStyle w:val="BodyText"/>
        <w:spacing w:before="120"/>
        <w:ind w:left="820"/>
      </w:pPr>
      <w:r>
        <w:rPr>
          <w:u w:val="single"/>
        </w:rPr>
        <w:t>PHA Policy</w:t>
      </w:r>
    </w:p>
    <w:p w:rsidR="004E13A5" w:rsidRDefault="00681463">
      <w:pPr>
        <w:pStyle w:val="BodyText"/>
        <w:spacing w:before="120"/>
        <w:ind w:left="820" w:right="182"/>
      </w:pPr>
      <w:r>
        <w:t>Dependents that are subject to a joint custody arrangement will be considered a member of the family, if they live with the applicant or participant family 51 percent or more of the time.</w:t>
      </w:r>
    </w:p>
    <w:p w:rsidR="004E13A5" w:rsidRDefault="00681463">
      <w:pPr>
        <w:pStyle w:val="BodyText"/>
        <w:ind w:left="820" w:right="128"/>
      </w:pPr>
      <w:r>
        <w:t>When more than one applicant or participant family is claiming the same dependents as family members, the family with primary custody at the time of the initial examination or reexamination will be able to claim the dependents. If there is a dispute about which family should claim them, the PHA will make the determination based on available documents such as court orders, or an IRS return showing which family has claimed the child for income tax purposes.</w:t>
      </w:r>
    </w:p>
    <w:p w:rsidR="004E13A5" w:rsidRDefault="004E13A5">
      <w:pPr>
        <w:pStyle w:val="BodyText"/>
        <w:spacing w:before="9"/>
        <w:ind w:left="0"/>
        <w:rPr>
          <w:sz w:val="20"/>
        </w:rPr>
      </w:pPr>
    </w:p>
    <w:p w:rsidR="004E13A5" w:rsidRDefault="00681463">
      <w:pPr>
        <w:pStyle w:val="Heading4"/>
      </w:pPr>
      <w:r>
        <w:t>3-I.G. FULL-TIME STUDENT [24 CFR 5.603; HCV GB, p. 5-29]</w:t>
      </w:r>
    </w:p>
    <w:p w:rsidR="004E13A5" w:rsidRDefault="00681463">
      <w:pPr>
        <w:pStyle w:val="BodyText"/>
        <w:spacing w:before="120"/>
        <w:ind w:right="95"/>
      </w:pPr>
      <w:r>
        <w:t xml:space="preserve">A </w:t>
      </w:r>
      <w:r>
        <w:rPr>
          <w:i/>
        </w:rPr>
        <w:t xml:space="preserve">full-time student </w:t>
      </w:r>
      <w:r>
        <w:t>(FTS) is a person who is attending school or vocational training on a full-time basis. The time commitment or subject load that is needed to be full-time is defined by the educational institution.</w:t>
      </w:r>
    </w:p>
    <w:p w:rsidR="004E13A5" w:rsidRDefault="00681463">
      <w:pPr>
        <w:pStyle w:val="BodyText"/>
      </w:pPr>
      <w:r>
        <w:t>Identifying each FTS is important because: (1) each family member that is an FTS, other than the head, spouse, or co-head, qualifies the family for a dependent allowance, and (2) the earned income of such an FTS is treated differently from the income of other family members.</w:t>
      </w:r>
    </w:p>
    <w:p w:rsidR="004E13A5" w:rsidRDefault="004E13A5">
      <w:pPr>
        <w:sectPr w:rsidR="004E13A5">
          <w:pgSz w:w="12240" w:h="15840"/>
          <w:pgMar w:top="1360" w:right="1340" w:bottom="640" w:left="1340" w:header="0" w:footer="381" w:gutter="0"/>
          <w:cols w:space="720"/>
        </w:sectPr>
      </w:pPr>
    </w:p>
    <w:p w:rsidR="004E13A5" w:rsidRDefault="00681463">
      <w:pPr>
        <w:pStyle w:val="Heading4"/>
        <w:spacing w:before="79"/>
        <w:ind w:right="999"/>
      </w:pPr>
      <w:r>
        <w:lastRenderedPageBreak/>
        <w:t>3-I.H. ELDERLY AND NEAR-ELDERLY PERSONS, AND ELDERLY FAMILY [24 CFR 5.100 and 5.403, FR Notice 02/03/12]</w:t>
      </w:r>
    </w:p>
    <w:p w:rsidR="004E13A5" w:rsidRDefault="00681463">
      <w:pPr>
        <w:spacing w:before="119"/>
        <w:ind w:left="100"/>
        <w:rPr>
          <w:b/>
          <w:sz w:val="24"/>
        </w:rPr>
      </w:pPr>
      <w:r>
        <w:rPr>
          <w:b/>
          <w:sz w:val="24"/>
        </w:rPr>
        <w:t>Elderly Persons</w:t>
      </w:r>
    </w:p>
    <w:p w:rsidR="004E13A5" w:rsidRDefault="00681463">
      <w:pPr>
        <w:spacing w:before="119"/>
        <w:ind w:left="100"/>
        <w:rPr>
          <w:sz w:val="24"/>
        </w:rPr>
      </w:pPr>
      <w:r>
        <w:rPr>
          <w:sz w:val="24"/>
        </w:rPr>
        <w:t xml:space="preserve">An </w:t>
      </w:r>
      <w:r>
        <w:rPr>
          <w:i/>
          <w:sz w:val="24"/>
        </w:rPr>
        <w:t xml:space="preserve">elderly person </w:t>
      </w:r>
      <w:r>
        <w:rPr>
          <w:sz w:val="24"/>
        </w:rPr>
        <w:t>is a person who is at least 62 years of age.</w:t>
      </w:r>
    </w:p>
    <w:p w:rsidR="004E13A5" w:rsidRDefault="00681463">
      <w:pPr>
        <w:pStyle w:val="Heading4"/>
        <w:spacing w:before="119"/>
      </w:pPr>
      <w:r>
        <w:t>Near-Elderly Persons</w:t>
      </w:r>
    </w:p>
    <w:p w:rsidR="004E13A5" w:rsidRDefault="00681463">
      <w:pPr>
        <w:spacing w:before="119"/>
        <w:ind w:left="100"/>
        <w:rPr>
          <w:sz w:val="24"/>
        </w:rPr>
      </w:pPr>
      <w:r>
        <w:rPr>
          <w:sz w:val="24"/>
        </w:rPr>
        <w:t xml:space="preserve">A </w:t>
      </w:r>
      <w:r>
        <w:rPr>
          <w:i/>
          <w:sz w:val="24"/>
        </w:rPr>
        <w:t xml:space="preserve">near-elderly person </w:t>
      </w:r>
      <w:r>
        <w:rPr>
          <w:sz w:val="24"/>
        </w:rPr>
        <w:t>is a person who is 50-61 years of age.</w:t>
      </w:r>
    </w:p>
    <w:p w:rsidR="004E13A5" w:rsidRDefault="00681463">
      <w:pPr>
        <w:pStyle w:val="Heading4"/>
        <w:spacing w:before="119"/>
      </w:pPr>
      <w:r>
        <w:t>Elderly Family</w:t>
      </w:r>
    </w:p>
    <w:p w:rsidR="004E13A5" w:rsidRDefault="00681463">
      <w:pPr>
        <w:pStyle w:val="BodyText"/>
        <w:ind w:right="115"/>
      </w:pPr>
      <w:r>
        <w:t xml:space="preserve">An </w:t>
      </w:r>
      <w:r>
        <w:rPr>
          <w:i/>
        </w:rPr>
        <w:t xml:space="preserve">elderly family </w:t>
      </w:r>
      <w:r>
        <w:t>is one in which the head, spouse, co-head, or sole member is an elderly person. Identifying elderly families is important because elderly families qualify for the elderly family allowance as described in Chapter 6.</w:t>
      </w:r>
    </w:p>
    <w:p w:rsidR="004E13A5" w:rsidRDefault="004E13A5">
      <w:pPr>
        <w:pStyle w:val="BodyText"/>
        <w:spacing w:before="10"/>
        <w:ind w:left="0"/>
        <w:rPr>
          <w:sz w:val="20"/>
        </w:rPr>
      </w:pPr>
    </w:p>
    <w:p w:rsidR="004E13A5" w:rsidRDefault="00681463">
      <w:pPr>
        <w:pStyle w:val="Heading4"/>
      </w:pPr>
      <w:r>
        <w:t>3-I.I. PERSONS WITH DISABILITIES AND DISABLED FAMILY [24 CFR 5.403,</w:t>
      </w:r>
    </w:p>
    <w:p w:rsidR="004E13A5" w:rsidRDefault="00681463">
      <w:pPr>
        <w:spacing w:line="343" w:lineRule="auto"/>
        <w:ind w:left="100" w:right="6933"/>
        <w:rPr>
          <w:b/>
          <w:sz w:val="24"/>
        </w:rPr>
      </w:pPr>
      <w:r>
        <w:rPr>
          <w:b/>
          <w:sz w:val="24"/>
        </w:rPr>
        <w:t>FR Notice 02/03/12] Persons with Disabilities</w:t>
      </w:r>
    </w:p>
    <w:p w:rsidR="004E13A5" w:rsidRDefault="00681463">
      <w:pPr>
        <w:pStyle w:val="BodyText"/>
        <w:spacing w:before="6"/>
        <w:ind w:right="112"/>
        <w:jc w:val="both"/>
      </w:pPr>
      <w:r>
        <w:t>Under the HCV program, special rules apply to persons with disabilities and to any family whose head, spouse, or co-head is a person with disabilities. The technical definitions of individual with handicaps and persons with disabilities are provided in Exhibit 3-1 at the end of this chapter.</w:t>
      </w:r>
    </w:p>
    <w:p w:rsidR="004E13A5" w:rsidRDefault="00681463">
      <w:pPr>
        <w:pStyle w:val="BodyText"/>
        <w:spacing w:before="0"/>
        <w:ind w:right="901"/>
      </w:pPr>
      <w:r>
        <w:t>These definitions are used for a number of purposes including ensuring that persons with disabilities are not discriminated against based upon disability.</w:t>
      </w:r>
    </w:p>
    <w:p w:rsidR="004E13A5" w:rsidRDefault="00681463">
      <w:pPr>
        <w:pStyle w:val="BodyText"/>
        <w:spacing w:before="120"/>
        <w:ind w:right="262"/>
      </w:pPr>
      <w:r>
        <w:t>As discussed in Chapter 2, the PHA must make all aspects of the HCV program accessible to persons with disabilities and consider reasonable accommodations requested based upon a person’s disability.</w:t>
      </w:r>
    </w:p>
    <w:p w:rsidR="004E13A5" w:rsidRDefault="00681463">
      <w:pPr>
        <w:pStyle w:val="Heading4"/>
        <w:spacing w:before="120"/>
      </w:pPr>
      <w:r>
        <w:t>Disabled Family</w:t>
      </w:r>
    </w:p>
    <w:p w:rsidR="004E13A5" w:rsidRDefault="00681463">
      <w:pPr>
        <w:pStyle w:val="BodyText"/>
        <w:ind w:right="282"/>
      </w:pPr>
      <w:r>
        <w:t xml:space="preserve">A </w:t>
      </w:r>
      <w:r>
        <w:rPr>
          <w:i/>
        </w:rPr>
        <w:t xml:space="preserve">disabled family </w:t>
      </w:r>
      <w:r>
        <w:t>is one in which the head, spouse, or co-head is a person with disabilities. Identifying disabled families is important because these families qualify for the disabled family allowance as described in Chapter 6.</w:t>
      </w:r>
    </w:p>
    <w:p w:rsidR="004E13A5" w:rsidRDefault="00681463">
      <w:pPr>
        <w:pStyle w:val="BodyText"/>
        <w:ind w:right="168"/>
      </w:pPr>
      <w:r>
        <w:t>Even though persons with drug or alcohol dependencies are considered persons with disabilities, this does not prevent the PHA from denying assistance for reasons related to alcohol and drug abuse in accordance with the policies found in Part III of this chapter, or from terminating assistance in accordance with the policies in Chapter 12.</w:t>
      </w:r>
    </w:p>
    <w:p w:rsidR="004E13A5" w:rsidRDefault="004E13A5">
      <w:pPr>
        <w:pStyle w:val="BodyText"/>
        <w:spacing w:before="9"/>
        <w:ind w:left="0"/>
        <w:rPr>
          <w:sz w:val="20"/>
        </w:rPr>
      </w:pPr>
    </w:p>
    <w:p w:rsidR="004E13A5" w:rsidRDefault="00681463">
      <w:pPr>
        <w:pStyle w:val="Heading4"/>
      </w:pPr>
      <w:r>
        <w:t>3-I.J. GUESTS [24 CFR 5.100]</w:t>
      </w:r>
    </w:p>
    <w:p w:rsidR="004E13A5" w:rsidRDefault="00681463">
      <w:pPr>
        <w:pStyle w:val="BodyText"/>
      </w:pPr>
      <w:r>
        <w:t xml:space="preserve">A </w:t>
      </w:r>
      <w:r>
        <w:rPr>
          <w:i/>
        </w:rPr>
        <w:t xml:space="preserve">guest </w:t>
      </w:r>
      <w:r>
        <w:t>is a person temporarily staying in the unit with the consent of a member of the household who has expressed or implied authority to so consent.</w:t>
      </w:r>
    </w:p>
    <w:p w:rsidR="004E13A5" w:rsidRDefault="00681463">
      <w:pPr>
        <w:pStyle w:val="BodyText"/>
        <w:ind w:left="820"/>
      </w:pPr>
      <w:r>
        <w:rPr>
          <w:u w:val="single"/>
        </w:rPr>
        <w:t>PHA Policy</w:t>
      </w:r>
    </w:p>
    <w:p w:rsidR="004E13A5" w:rsidRDefault="00681463">
      <w:pPr>
        <w:pStyle w:val="BodyText"/>
        <w:ind w:left="820" w:right="131"/>
      </w:pPr>
      <w:r>
        <w:t>A guest can remain in the assisted unit no longer than 30 consecutive days or a total of</w:t>
      </w:r>
      <w:r>
        <w:rPr>
          <w:spacing w:val="-15"/>
        </w:rPr>
        <w:t xml:space="preserve"> </w:t>
      </w:r>
      <w:r>
        <w:t>90 cumulative calendar days during any 12-month period. Additional time is approved by the PHA on a case by case</w:t>
      </w:r>
      <w:r>
        <w:rPr>
          <w:spacing w:val="-7"/>
        </w:rPr>
        <w:t xml:space="preserve"> </w:t>
      </w:r>
      <w:r>
        <w:t>basis.</w:t>
      </w:r>
    </w:p>
    <w:p w:rsidR="004E13A5" w:rsidRDefault="00681463">
      <w:pPr>
        <w:pStyle w:val="BodyText"/>
        <w:ind w:left="820" w:right="309"/>
      </w:pPr>
      <w:r>
        <w:t>Children who are subject to a joint custody arrangement or for whom a family has visitation privileges, that are not included as a family member because they live outside</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820" w:right="495"/>
      </w:pPr>
      <w:r>
        <w:lastRenderedPageBreak/>
        <w:t>of the assisted household more than 50 percent of the time, are not subject to the time limitations of guests as described above.</w:t>
      </w:r>
    </w:p>
    <w:p w:rsidR="004E13A5" w:rsidRDefault="00681463">
      <w:pPr>
        <w:pStyle w:val="BodyText"/>
        <w:ind w:left="820" w:right="62"/>
      </w:pPr>
      <w:r>
        <w:t>A family may request an exception to this policy for valid reasons (e.g., care of a relative recovering from a medical procedure is expected to last 40 consecutive days). An exception will not be made unless the family can identify and provide documentation of the residence to which the guest will return.</w:t>
      </w:r>
    </w:p>
    <w:p w:rsidR="004E13A5" w:rsidRDefault="004E13A5">
      <w:pPr>
        <w:pStyle w:val="BodyText"/>
        <w:spacing w:before="9"/>
        <w:ind w:left="0"/>
        <w:rPr>
          <w:sz w:val="20"/>
        </w:rPr>
      </w:pPr>
    </w:p>
    <w:p w:rsidR="004E13A5" w:rsidRDefault="00681463">
      <w:pPr>
        <w:pStyle w:val="Heading4"/>
      </w:pPr>
      <w:r>
        <w:t>3-I.K. FOSTER CHILDREN AND FOSTER ADULTS</w:t>
      </w:r>
    </w:p>
    <w:p w:rsidR="004E13A5" w:rsidRDefault="00681463">
      <w:pPr>
        <w:pStyle w:val="BodyText"/>
        <w:ind w:right="62"/>
      </w:pPr>
      <w:r>
        <w:rPr>
          <w:i/>
        </w:rPr>
        <w:t xml:space="preserve">Foster adults </w:t>
      </w:r>
      <w:r>
        <w:t>are usually persons with disabilities, unrelated to the tenant family, who are unable to live alone [24 CFR 5.609].</w:t>
      </w:r>
    </w:p>
    <w:p w:rsidR="004E13A5" w:rsidRDefault="00681463">
      <w:pPr>
        <w:pStyle w:val="BodyText"/>
      </w:pPr>
      <w:r>
        <w:t xml:space="preserve">The term </w:t>
      </w:r>
      <w:r>
        <w:rPr>
          <w:i/>
        </w:rPr>
        <w:t xml:space="preserve">foster child </w:t>
      </w:r>
      <w:r>
        <w:t>is not specifically defined by the regulations.</w:t>
      </w:r>
    </w:p>
    <w:p w:rsidR="004E13A5" w:rsidRDefault="00681463">
      <w:pPr>
        <w:pStyle w:val="BodyText"/>
        <w:spacing w:before="120"/>
        <w:ind w:right="155"/>
      </w:pPr>
      <w:r>
        <w:t>Foster children and foster adults who are living with an applicant or who have been approved by the PHA to live with a participant family are considered household members but not family members. The income of foster children/adults is not counted in family annual income, and foster children/adults do not qualify for a dependent deduction [24 CFR 5.603; HUD-50058 IB, p. 13].</w:t>
      </w:r>
    </w:p>
    <w:p w:rsidR="004E13A5" w:rsidRDefault="00681463">
      <w:pPr>
        <w:pStyle w:val="BodyText"/>
        <w:spacing w:before="120"/>
        <w:ind w:left="820"/>
      </w:pPr>
      <w:r>
        <w:rPr>
          <w:u w:val="single"/>
        </w:rPr>
        <w:t>PHA Policy</w:t>
      </w:r>
    </w:p>
    <w:p w:rsidR="005977F7" w:rsidRDefault="00681463" w:rsidP="005977F7">
      <w:pPr>
        <w:pStyle w:val="BodyText"/>
        <w:spacing w:before="120"/>
        <w:ind w:left="820" w:right="301"/>
      </w:pPr>
      <w:r>
        <w:t xml:space="preserve">A </w:t>
      </w:r>
      <w:r>
        <w:rPr>
          <w:i/>
        </w:rPr>
        <w:t xml:space="preserve">foster child </w:t>
      </w:r>
      <w:r>
        <w:t>is a child that is in the legal guardianship or custody of a state, county, or private adoption or foster care agency, yet is cared for by foster parents in their own homes, under some kind of short-term or long-term foster care arrangement with the custodial agency.</w:t>
      </w:r>
    </w:p>
    <w:p w:rsidR="005977F7" w:rsidRDefault="005977F7" w:rsidP="005977F7">
      <w:pPr>
        <w:keepNext/>
        <w:ind w:left="820"/>
      </w:pPr>
      <w:r>
        <w:t>A foster child or foster adult may be allowed to reside in the unit if their presence would not result in a violation of space standards as described in Section 8-I.F. of this policy.</w:t>
      </w:r>
    </w:p>
    <w:p w:rsidR="004E13A5" w:rsidRDefault="00681463" w:rsidP="005977F7">
      <w:pPr>
        <w:pStyle w:val="BodyText"/>
        <w:spacing w:before="120"/>
        <w:ind w:left="820" w:right="490"/>
      </w:pPr>
      <w:r>
        <w:t>Children that are temporarily absent from the home as a result of placement in foster care are discussed in Section 3-I.L.</w:t>
      </w:r>
    </w:p>
    <w:p w:rsidR="004E13A5" w:rsidRDefault="004E13A5">
      <w:pPr>
        <w:pStyle w:val="BodyText"/>
        <w:spacing w:before="9"/>
        <w:ind w:left="0"/>
        <w:rPr>
          <w:sz w:val="20"/>
        </w:rPr>
      </w:pPr>
    </w:p>
    <w:p w:rsidR="004E13A5" w:rsidRDefault="00681463">
      <w:pPr>
        <w:pStyle w:val="Heading4"/>
      </w:pPr>
      <w:r>
        <w:t>3-I.L. ABSENT FAMILY MEMBERS</w:t>
      </w:r>
    </w:p>
    <w:p w:rsidR="004E13A5" w:rsidRDefault="00681463">
      <w:pPr>
        <w:pStyle w:val="BodyText"/>
        <w:ind w:right="62"/>
      </w:pPr>
      <w:r>
        <w:t>Individuals may be absent from the family, either temporarily or permanently, for a variety of reasons including educational activities, placement in foster care, employment, illness, incarceration, and court order.</w:t>
      </w:r>
    </w:p>
    <w:p w:rsidR="004E13A5" w:rsidRDefault="00681463">
      <w:pPr>
        <w:pStyle w:val="Heading4"/>
        <w:spacing w:before="119"/>
      </w:pPr>
      <w:r>
        <w:t>Definitions of Temporarily and Permanently Absent</w:t>
      </w:r>
    </w:p>
    <w:p w:rsidR="004E13A5" w:rsidRDefault="00681463">
      <w:pPr>
        <w:pStyle w:val="BodyText"/>
        <w:ind w:left="820"/>
      </w:pPr>
      <w:r>
        <w:rPr>
          <w:u w:val="single"/>
        </w:rPr>
        <w:t>PHA Policy</w:t>
      </w:r>
    </w:p>
    <w:p w:rsidR="004E13A5" w:rsidRDefault="00681463">
      <w:pPr>
        <w:pStyle w:val="BodyText"/>
        <w:ind w:left="820" w:right="103"/>
      </w:pPr>
      <w:r>
        <w:t>Generally an individual who is or is expected to be absent from the assisted unit for 180 consecutive days or less is considered temporarily absent and continues to be considered a family member. Generally an individual who is or is expected to be absent from the assisted unit for more than 180 consecutive days is considered permanently absent and</w:t>
      </w:r>
      <w:r>
        <w:rPr>
          <w:spacing w:val="-15"/>
        </w:rPr>
        <w:t xml:space="preserve"> </w:t>
      </w:r>
      <w:r>
        <w:t>no longer a family member. Exceptions to this general policy are discussed</w:t>
      </w:r>
      <w:r>
        <w:rPr>
          <w:spacing w:val="-13"/>
        </w:rPr>
        <w:t xml:space="preserve"> </w:t>
      </w:r>
      <w:r>
        <w:t>below.</w:t>
      </w:r>
    </w:p>
    <w:p w:rsidR="004E13A5" w:rsidRDefault="00681463">
      <w:pPr>
        <w:pStyle w:val="Heading4"/>
        <w:spacing w:before="119"/>
      </w:pPr>
      <w:r>
        <w:t>Absent Students</w:t>
      </w:r>
    </w:p>
    <w:p w:rsidR="004E13A5" w:rsidRDefault="00681463">
      <w:pPr>
        <w:pStyle w:val="BodyText"/>
        <w:ind w:left="820"/>
      </w:pPr>
      <w:r>
        <w:rPr>
          <w:u w:val="single"/>
        </w:rPr>
        <w:t>PHA Policy</w:t>
      </w:r>
    </w:p>
    <w:p w:rsidR="004E13A5" w:rsidRDefault="00681463">
      <w:pPr>
        <w:pStyle w:val="BodyText"/>
        <w:ind w:left="820" w:right="62"/>
      </w:pPr>
      <w:r>
        <w:t>When someone who has been considered a family member attends school away from home, the person will continue to be considered a family member unless information</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right="415"/>
      </w:pPr>
      <w:r>
        <w:lastRenderedPageBreak/>
        <w:t>becomes available to the PHA indicating that the student has established a separate household or the family declares that the student has established a separate household.</w:t>
      </w:r>
    </w:p>
    <w:p w:rsidR="004E13A5" w:rsidRDefault="00681463">
      <w:pPr>
        <w:pStyle w:val="Heading4"/>
        <w:spacing w:before="119"/>
      </w:pPr>
      <w:r>
        <w:t>Absences Due to Placement in Foster Care [24 CFR 5.403]</w:t>
      </w:r>
    </w:p>
    <w:p w:rsidR="004E13A5" w:rsidRDefault="00681463">
      <w:pPr>
        <w:pStyle w:val="BodyText"/>
        <w:ind w:right="163"/>
      </w:pPr>
      <w:r>
        <w:t>Children temporarily absent from the home as a result of placement in foster care are considered members of the family.</w:t>
      </w:r>
    </w:p>
    <w:p w:rsidR="004E13A5" w:rsidRDefault="00681463">
      <w:pPr>
        <w:pStyle w:val="BodyText"/>
        <w:ind w:left="820"/>
      </w:pPr>
      <w:r>
        <w:rPr>
          <w:u w:val="single"/>
        </w:rPr>
        <w:t>PHA Policy</w:t>
      </w:r>
    </w:p>
    <w:p w:rsidR="004E13A5" w:rsidRDefault="00681463">
      <w:pPr>
        <w:pStyle w:val="BodyText"/>
        <w:ind w:left="820" w:right="189"/>
      </w:pPr>
      <w: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 member.</w:t>
      </w:r>
    </w:p>
    <w:p w:rsidR="004E13A5" w:rsidRDefault="00681463">
      <w:pPr>
        <w:pStyle w:val="Heading4"/>
        <w:spacing w:before="119"/>
      </w:pPr>
      <w:r>
        <w:t>Absent Head, Spouse, or Co-head</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An employed head, spouse, or co-head absent from the unit more than 180 consecutive days due to employment will continue to be considered a family member.</w:t>
      </w:r>
    </w:p>
    <w:p w:rsidR="004E13A5" w:rsidRDefault="00681463">
      <w:pPr>
        <w:pStyle w:val="Heading4"/>
        <w:spacing w:before="120"/>
      </w:pPr>
      <w:r>
        <w:t>Family Members Permanently Confined for Medical Reasons [HCV GB, p. 5-22]</w:t>
      </w:r>
    </w:p>
    <w:p w:rsidR="004E13A5" w:rsidRDefault="00681463">
      <w:pPr>
        <w:pStyle w:val="BodyText"/>
        <w:spacing w:before="120"/>
        <w:ind w:right="114"/>
      </w:pPr>
      <w:r>
        <w:t>If a family member is confined to a nursing home or hospital on a permanent basis, that person</w:t>
      </w:r>
      <w:r>
        <w:rPr>
          <w:spacing w:val="-15"/>
        </w:rPr>
        <w:t xml:space="preserve"> </w:t>
      </w:r>
      <w:r>
        <w:t>is no longer considered a family member and the income of that person is not counted [HCV GB, p. 5-22].</w:t>
      </w:r>
    </w:p>
    <w:p w:rsidR="004E13A5" w:rsidRDefault="00681463">
      <w:pPr>
        <w:pStyle w:val="BodyText"/>
        <w:spacing w:before="120"/>
        <w:ind w:left="820"/>
      </w:pPr>
      <w:r>
        <w:rPr>
          <w:u w:val="single"/>
        </w:rPr>
        <w:t>PHA Policy</w:t>
      </w:r>
    </w:p>
    <w:p w:rsidR="004E13A5" w:rsidRDefault="00681463">
      <w:pPr>
        <w:pStyle w:val="BodyText"/>
        <w:spacing w:before="120"/>
        <w:ind w:left="820" w:right="941"/>
      </w:pPr>
      <w:r>
        <w:t>An individual confined to a nursing home or hospital on a permanent basis is not considered a family member</w:t>
      </w:r>
    </w:p>
    <w:p w:rsidR="004E13A5" w:rsidRDefault="00681463">
      <w:pPr>
        <w:pStyle w:val="BodyText"/>
        <w:spacing w:before="120"/>
        <w:ind w:left="820" w:right="136"/>
      </w:pPr>
      <w:r>
        <w:t>The PHA will request verification of the family member’s permanent absence from a responsible medical professional. If the responsible medical professional cannot provide a determination, the person will be considered temporarily absent. If the family certifies that the family member is confined on a permanent basis, they may present, and the PHA will consider, any additional documentation or evidence.</w:t>
      </w:r>
    </w:p>
    <w:p w:rsidR="004E13A5" w:rsidRDefault="00681463">
      <w:pPr>
        <w:pStyle w:val="Heading4"/>
        <w:spacing w:before="119"/>
      </w:pPr>
      <w:r>
        <w:t>Return of Permanently Absent Family Members</w:t>
      </w:r>
    </w:p>
    <w:p w:rsidR="004E13A5" w:rsidRDefault="00681463">
      <w:pPr>
        <w:pStyle w:val="BodyText"/>
        <w:ind w:left="820"/>
      </w:pPr>
      <w:r>
        <w:rPr>
          <w:u w:val="single"/>
        </w:rPr>
        <w:t>PHA Policy</w:t>
      </w:r>
    </w:p>
    <w:p w:rsidR="004E13A5" w:rsidRDefault="00681463">
      <w:pPr>
        <w:pStyle w:val="BodyText"/>
        <w:ind w:left="820" w:right="101"/>
      </w:pPr>
      <w:r>
        <w:t>The family must request PHA approval for the return of any adult family members that the PHA previously determined to be permanently absent. The individual is subject to the eligibility and screening requirements discussed elsewhere in this chapter.</w:t>
      </w:r>
    </w:p>
    <w:p w:rsidR="004E13A5" w:rsidRDefault="004E13A5">
      <w:pPr>
        <w:pStyle w:val="BodyText"/>
        <w:spacing w:before="10"/>
        <w:ind w:left="0"/>
        <w:rPr>
          <w:sz w:val="20"/>
        </w:rPr>
      </w:pPr>
    </w:p>
    <w:p w:rsidR="004E13A5" w:rsidRDefault="00681463">
      <w:pPr>
        <w:pStyle w:val="Heading4"/>
      </w:pPr>
      <w:r>
        <w:t>3-I.M. LIVE-IN AIDE</w:t>
      </w:r>
    </w:p>
    <w:p w:rsidR="004E13A5" w:rsidRDefault="00681463">
      <w:pPr>
        <w:pStyle w:val="BodyText"/>
        <w:spacing w:before="120"/>
        <w:ind w:right="162"/>
      </w:pPr>
      <w:r>
        <w:t xml:space="preserve">A </w:t>
      </w:r>
      <w:r>
        <w:rPr>
          <w:i/>
        </w:rPr>
        <w:t xml:space="preserve">live-in aide </w:t>
      </w:r>
      <w:r>
        <w:t>is 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supportive services [24 CFR 5.403].</w:t>
      </w:r>
    </w:p>
    <w:p w:rsidR="004E13A5" w:rsidRDefault="00681463">
      <w:pPr>
        <w:pStyle w:val="BodyText"/>
        <w:spacing w:before="120"/>
        <w:ind w:right="397"/>
      </w:pPr>
      <w:r>
        <w:t>The PHA must approve a live-in aide if needed as a reasonable accommodation in accordance with 24 CFR 8, to make the program accessible to and usable by the family member with disabilities.</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right="82"/>
      </w:pPr>
      <w:r>
        <w:lastRenderedPageBreak/>
        <w:t xml:space="preserve">The income of a live-in aide is not counted in the calculation of annual income for the family [24 CFR 5.609(b)]. Relatives may be approved as live-in aides if they meet all of the criteria defining a live-in aide. Because live-in aides are not </w:t>
      </w:r>
      <w:r>
        <w:rPr>
          <w:i/>
        </w:rPr>
        <w:t xml:space="preserve">family </w:t>
      </w:r>
      <w:r>
        <w:t>members, a relative who serves as a live-in aide would not be considered a remaining member of a tenant family.</w:t>
      </w:r>
    </w:p>
    <w:p w:rsidR="004E13A5" w:rsidRDefault="00681463">
      <w:pPr>
        <w:pStyle w:val="BodyText"/>
        <w:ind w:left="820"/>
      </w:pPr>
      <w:r>
        <w:rPr>
          <w:u w:val="single"/>
        </w:rPr>
        <w:t>PHA Policy</w:t>
      </w:r>
    </w:p>
    <w:p w:rsidR="004E13A5" w:rsidRDefault="00681463">
      <w:pPr>
        <w:pStyle w:val="BodyText"/>
        <w:ind w:left="820" w:right="167"/>
      </w:pPr>
      <w:r>
        <w:t>A family’s request for a live-in aide must be made in writing. Written verification will be required from a reliable, knowledgeable professional, such as a doctor, social worker, or case worker, that the live-in aide is essential for the care and well-being of the elderly, near-elderly, or disabled family member. For continued approval, the family must submit a new, written request-subject to PHA verification-at each annual reexamination.</w:t>
      </w:r>
    </w:p>
    <w:p w:rsidR="004E13A5" w:rsidRDefault="00681463">
      <w:pPr>
        <w:pStyle w:val="BodyText"/>
        <w:ind w:left="820" w:right="249"/>
      </w:pPr>
      <w:r>
        <w:t>In addition, the family and live-in aide will be required to submit a certification stating that the live-in aide is (1) not obligated for the support of the person(s) needing the care, and (2) would not be living in the unit except to provide the necessary supportive services.</w:t>
      </w:r>
    </w:p>
    <w:p w:rsidR="004E13A5" w:rsidRDefault="00681463">
      <w:pPr>
        <w:pStyle w:val="BodyText"/>
        <w:ind w:left="820" w:right="349"/>
      </w:pPr>
      <w:r>
        <w:t>The PHA will not approve a particular person as a live-in aide, and may withdraw such approval if [24 CFR 982.316(b)]:</w:t>
      </w:r>
    </w:p>
    <w:p w:rsidR="004E13A5" w:rsidRDefault="00681463">
      <w:pPr>
        <w:pStyle w:val="BodyText"/>
        <w:ind w:left="1540" w:right="982"/>
      </w:pPr>
      <w:r>
        <w:t>The person commits fraud, bribery or any other corrupt or criminal act in connection with any federal housing program;</w:t>
      </w:r>
    </w:p>
    <w:p w:rsidR="004E13A5" w:rsidRDefault="00681463">
      <w:pPr>
        <w:pStyle w:val="BodyText"/>
        <w:ind w:left="1540"/>
      </w:pPr>
      <w:r>
        <w:t>The person commits drug-related criminal activity or violent criminal activity; or</w:t>
      </w:r>
    </w:p>
    <w:p w:rsidR="004E13A5" w:rsidRDefault="00681463">
      <w:pPr>
        <w:pStyle w:val="BodyText"/>
        <w:ind w:left="1540"/>
      </w:pPr>
      <w:r>
        <w:t>The person currently owes rent or other amounts to the PHA or to another PHA in connection with Section 8 or public housing assistance under the 1937 Act.</w:t>
      </w:r>
    </w:p>
    <w:p w:rsidR="004E13A5" w:rsidRDefault="00681463">
      <w:pPr>
        <w:pStyle w:val="BodyText"/>
        <w:ind w:left="820" w:right="641"/>
        <w:jc w:val="both"/>
      </w:pPr>
      <w:r>
        <w:t>The PHA will notify the family of its decision in writing within 10 business days of receiving a request for a live-in aide, including all required documentation related to the request.</w:t>
      </w:r>
    </w:p>
    <w:p w:rsidR="004E13A5" w:rsidRDefault="004E13A5">
      <w:pPr>
        <w:pStyle w:val="BodyText"/>
        <w:spacing w:before="0"/>
        <w:ind w:left="0"/>
        <w:rPr>
          <w:sz w:val="13"/>
        </w:rPr>
      </w:pPr>
    </w:p>
    <w:p w:rsidR="004E13A5" w:rsidRDefault="00681463">
      <w:pPr>
        <w:pStyle w:val="Heading4"/>
        <w:spacing w:before="90"/>
        <w:ind w:left="2466"/>
      </w:pPr>
      <w:r>
        <w:t>PART II: BASIC ELIGIBILITY CRITERIA</w:t>
      </w:r>
    </w:p>
    <w:p w:rsidR="004E13A5" w:rsidRDefault="004E13A5">
      <w:pPr>
        <w:pStyle w:val="BodyText"/>
        <w:spacing w:before="10"/>
        <w:ind w:left="0"/>
        <w:rPr>
          <w:b/>
          <w:sz w:val="20"/>
        </w:rPr>
      </w:pPr>
    </w:p>
    <w:p w:rsidR="004E13A5" w:rsidRDefault="00681463">
      <w:pPr>
        <w:ind w:left="100"/>
        <w:rPr>
          <w:b/>
          <w:sz w:val="24"/>
        </w:rPr>
      </w:pPr>
      <w:r>
        <w:rPr>
          <w:b/>
          <w:sz w:val="24"/>
        </w:rPr>
        <w:t>3-II.A. INCOME ELIGIBILITY AND TARGETING</w:t>
      </w:r>
    </w:p>
    <w:p w:rsidR="004E13A5" w:rsidRDefault="00681463">
      <w:pPr>
        <w:spacing w:before="120"/>
        <w:ind w:left="100"/>
        <w:rPr>
          <w:b/>
          <w:sz w:val="24"/>
        </w:rPr>
      </w:pPr>
      <w:r>
        <w:rPr>
          <w:b/>
          <w:sz w:val="24"/>
        </w:rPr>
        <w:t>Income Limits</w:t>
      </w:r>
    </w:p>
    <w:p w:rsidR="004E13A5" w:rsidRDefault="00681463">
      <w:pPr>
        <w:pStyle w:val="BodyText"/>
        <w:spacing w:before="120"/>
        <w:ind w:right="242"/>
      </w:pPr>
      <w:r>
        <w:t xml:space="preserve">HUD establishes income limits for all areas of the country and publishes them annually in the </w:t>
      </w:r>
      <w:r>
        <w:rPr>
          <w:i/>
        </w:rPr>
        <w:t>Federal Register</w:t>
      </w:r>
      <w:r>
        <w:t>. They are based upon estimates of median family income with adjustments for family size. The income limits are used to determine eligibility for the program and for income targeting purposes as discussed in this section.</w:t>
      </w:r>
    </w:p>
    <w:p w:rsidR="004E13A5" w:rsidRDefault="00681463">
      <w:pPr>
        <w:pStyle w:val="Heading4"/>
        <w:spacing w:before="120"/>
      </w:pPr>
      <w:r>
        <w:t>Definitions of the Income Limits [24 CFR 5.603(b)]</w:t>
      </w:r>
    </w:p>
    <w:p w:rsidR="004E13A5" w:rsidRDefault="00681463">
      <w:pPr>
        <w:pStyle w:val="BodyText"/>
        <w:ind w:left="460" w:right="842"/>
      </w:pPr>
      <w:r>
        <w:rPr>
          <w:i/>
        </w:rPr>
        <w:t xml:space="preserve">Low-income family. </w:t>
      </w:r>
      <w:r>
        <w:t>A family whose annual income does not exceed 80 percent of the median income for the area, adjusted for family size.</w:t>
      </w:r>
    </w:p>
    <w:p w:rsidR="004E13A5" w:rsidRDefault="00681463">
      <w:pPr>
        <w:pStyle w:val="BodyText"/>
        <w:ind w:left="460" w:right="262"/>
      </w:pPr>
      <w:r>
        <w:rPr>
          <w:i/>
        </w:rPr>
        <w:t xml:space="preserve">Very low-income family. </w:t>
      </w:r>
      <w:r>
        <w:t>A family whose annual income does not exceed 50 percent of the median income for the area, adjusted for family size.</w:t>
      </w:r>
    </w:p>
    <w:p w:rsidR="004E13A5" w:rsidRDefault="00681463">
      <w:pPr>
        <w:pStyle w:val="BodyText"/>
        <w:ind w:left="460" w:right="330"/>
      </w:pPr>
      <w:r>
        <w:rPr>
          <w:i/>
        </w:rPr>
        <w:t xml:space="preserve">Extremely low-income family. </w:t>
      </w:r>
      <w:r>
        <w:t>A family whose annual income does not exceed the federal poverty level or 30 percent of the median income for the area, whichever number is higher.</w:t>
      </w:r>
    </w:p>
    <w:p w:rsidR="004E13A5" w:rsidRDefault="00681463">
      <w:pPr>
        <w:pStyle w:val="BodyText"/>
        <w:ind w:left="460" w:right="262"/>
      </w:pPr>
      <w:r>
        <w:t>Area median income is determined by HUD, with adjustments for smaller and larger families. HUD may establish income ceilings higher or lower than 30, 50, or 80 percent of</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460" w:right="256"/>
      </w:pPr>
      <w:r>
        <w:lastRenderedPageBreak/>
        <w:t>the median income for an area if HUD finds that such variations are necessary because of unusually high or low family incomes.</w:t>
      </w:r>
    </w:p>
    <w:p w:rsidR="004E13A5" w:rsidRDefault="00681463">
      <w:pPr>
        <w:pStyle w:val="Heading4"/>
        <w:spacing w:before="119"/>
      </w:pPr>
      <w:r>
        <w:t>Using Income Limits for Eligibility [24 CFR 982.201]</w:t>
      </w:r>
    </w:p>
    <w:p w:rsidR="004E13A5" w:rsidRDefault="00681463">
      <w:pPr>
        <w:pStyle w:val="BodyText"/>
        <w:ind w:right="103"/>
      </w:pPr>
      <w:r>
        <w:t>Income limits are used for eligibility only at admission. Income eligibility is determined by comparing the annual income of an applicant to the applicable income limit for their family size. In order to be income eligible, an applicant family must be one of the following:</w:t>
      </w:r>
    </w:p>
    <w:p w:rsidR="004E13A5" w:rsidRDefault="00681463">
      <w:pPr>
        <w:pStyle w:val="ListParagraph"/>
        <w:numPr>
          <w:ilvl w:val="0"/>
          <w:numId w:val="93"/>
        </w:numPr>
        <w:tabs>
          <w:tab w:val="left" w:pos="460"/>
          <w:tab w:val="left" w:pos="461"/>
        </w:tabs>
        <w:rPr>
          <w:rFonts w:ascii="Symbol"/>
          <w:sz w:val="24"/>
        </w:rPr>
      </w:pPr>
      <w:r>
        <w:rPr>
          <w:sz w:val="24"/>
        </w:rPr>
        <w:t xml:space="preserve">A </w:t>
      </w:r>
      <w:r>
        <w:rPr>
          <w:i/>
          <w:sz w:val="24"/>
        </w:rPr>
        <w:t>very low-income</w:t>
      </w:r>
      <w:r>
        <w:rPr>
          <w:i/>
          <w:spacing w:val="-6"/>
          <w:sz w:val="24"/>
        </w:rPr>
        <w:t xml:space="preserve"> </w:t>
      </w:r>
      <w:r>
        <w:rPr>
          <w:sz w:val="24"/>
        </w:rPr>
        <w:t>family</w:t>
      </w:r>
    </w:p>
    <w:p w:rsidR="004E13A5" w:rsidRDefault="00681463">
      <w:pPr>
        <w:pStyle w:val="ListParagraph"/>
        <w:numPr>
          <w:ilvl w:val="0"/>
          <w:numId w:val="93"/>
        </w:numPr>
        <w:tabs>
          <w:tab w:val="left" w:pos="460"/>
          <w:tab w:val="left" w:pos="461"/>
        </w:tabs>
        <w:spacing w:before="118"/>
        <w:ind w:right="123"/>
        <w:rPr>
          <w:rFonts w:ascii="Symbol"/>
          <w:sz w:val="24"/>
        </w:rPr>
      </w:pPr>
      <w:r>
        <w:rPr>
          <w:sz w:val="24"/>
        </w:rPr>
        <w:t xml:space="preserve">A </w:t>
      </w:r>
      <w:r>
        <w:rPr>
          <w:i/>
          <w:sz w:val="24"/>
        </w:rPr>
        <w:t xml:space="preserve">low-income </w:t>
      </w:r>
      <w:r>
        <w:rPr>
          <w:sz w:val="24"/>
        </w:rPr>
        <w:t>family that has been "continuously assisted" under the 1937 Housing Act. A family is considered to be continuously assisted if the family is already receiving assistance under any 1937 Housing Act program at the time the family is admitted to the HCV</w:t>
      </w:r>
      <w:r>
        <w:rPr>
          <w:spacing w:val="-19"/>
          <w:sz w:val="24"/>
        </w:rPr>
        <w:t xml:space="preserve"> </w:t>
      </w:r>
      <w:r>
        <w:rPr>
          <w:sz w:val="24"/>
        </w:rPr>
        <w:t>program [24 CFR</w:t>
      </w:r>
      <w:r>
        <w:rPr>
          <w:spacing w:val="-2"/>
          <w:sz w:val="24"/>
        </w:rPr>
        <w:t xml:space="preserve"> </w:t>
      </w:r>
      <w:r>
        <w:rPr>
          <w:sz w:val="24"/>
        </w:rPr>
        <w:t>982.4]</w:t>
      </w:r>
    </w:p>
    <w:p w:rsidR="004E13A5" w:rsidRDefault="00681463">
      <w:pPr>
        <w:pStyle w:val="BodyText"/>
        <w:spacing w:before="120"/>
        <w:ind w:left="820"/>
      </w:pPr>
      <w:r>
        <w:rPr>
          <w:u w:val="single"/>
        </w:rPr>
        <w:t>PHA Policy</w:t>
      </w:r>
    </w:p>
    <w:p w:rsidR="004E13A5" w:rsidRDefault="00681463">
      <w:pPr>
        <w:pStyle w:val="BodyText"/>
        <w:spacing w:before="120"/>
        <w:ind w:left="820" w:right="82"/>
      </w:pPr>
      <w:r>
        <w:t>The PHA will consider a family to be continuously assisted if the family was leasing a unit under any 1937 Housing Act program at the time they were selected from the PHA’s waiting list.</w:t>
      </w:r>
    </w:p>
    <w:p w:rsidR="004E13A5" w:rsidRDefault="00681463">
      <w:pPr>
        <w:pStyle w:val="BodyText"/>
        <w:spacing w:before="120"/>
        <w:ind w:left="820"/>
      </w:pPr>
      <w:r>
        <w:t>For HCV eligibility, the PHA will use the income limits of the highest county within the PHA’s jurisdiction,</w:t>
      </w:r>
    </w:p>
    <w:p w:rsidR="004E13A5" w:rsidRDefault="00681463">
      <w:pPr>
        <w:pStyle w:val="BodyText"/>
        <w:spacing w:before="120"/>
        <w:ind w:left="820" w:right="175"/>
      </w:pPr>
      <w:r>
        <w:t>For admission purposes, the family must be income eligible in the county where they choose to use their rental assistance. Rental assistance will not be provided to a family when the family’s income is above the income limit for the county where they choose to rent.</w:t>
      </w:r>
    </w:p>
    <w:p w:rsidR="004E13A5" w:rsidRDefault="00681463">
      <w:pPr>
        <w:pStyle w:val="ListParagraph"/>
        <w:numPr>
          <w:ilvl w:val="0"/>
          <w:numId w:val="93"/>
        </w:numPr>
        <w:tabs>
          <w:tab w:val="left" w:pos="460"/>
          <w:tab w:val="left" w:pos="461"/>
        </w:tabs>
        <w:spacing w:before="120"/>
        <w:ind w:right="448"/>
        <w:rPr>
          <w:rFonts w:ascii="Symbol"/>
          <w:sz w:val="24"/>
        </w:rPr>
      </w:pPr>
      <w:r>
        <w:rPr>
          <w:sz w:val="24"/>
        </w:rPr>
        <w:t>A low-income family that qualifies for voucher assistance as a non-purchasing</w:t>
      </w:r>
      <w:r>
        <w:rPr>
          <w:spacing w:val="-12"/>
          <w:sz w:val="24"/>
        </w:rPr>
        <w:t xml:space="preserve"> </w:t>
      </w:r>
      <w:r>
        <w:rPr>
          <w:sz w:val="24"/>
        </w:rPr>
        <w:t>household living in HOPE 1 (public housing homeownership), HOPE 2 (multifamily housing homeownership) developments, or other HUD-assisted multifamily homeownership programs covered by 24 CFR</w:t>
      </w:r>
      <w:r>
        <w:rPr>
          <w:spacing w:val="-7"/>
          <w:sz w:val="24"/>
        </w:rPr>
        <w:t xml:space="preserve"> </w:t>
      </w:r>
      <w:r>
        <w:rPr>
          <w:sz w:val="24"/>
        </w:rPr>
        <w:t>248.173</w:t>
      </w:r>
    </w:p>
    <w:p w:rsidR="004E13A5" w:rsidRDefault="00681463">
      <w:pPr>
        <w:pStyle w:val="ListParagraph"/>
        <w:numPr>
          <w:ilvl w:val="0"/>
          <w:numId w:val="93"/>
        </w:numPr>
        <w:tabs>
          <w:tab w:val="left" w:pos="460"/>
          <w:tab w:val="left" w:pos="461"/>
        </w:tabs>
        <w:ind w:right="115"/>
        <w:rPr>
          <w:rFonts w:ascii="Symbol"/>
          <w:sz w:val="24"/>
        </w:rPr>
      </w:pPr>
      <w:r>
        <w:rPr>
          <w:sz w:val="24"/>
        </w:rPr>
        <w:t>A low-income or moderate-income family that is displaced as a result of the prepayment of</w:t>
      </w:r>
      <w:r>
        <w:rPr>
          <w:spacing w:val="-13"/>
          <w:sz w:val="24"/>
        </w:rPr>
        <w:t xml:space="preserve"> </w:t>
      </w:r>
      <w:r>
        <w:rPr>
          <w:sz w:val="24"/>
        </w:rPr>
        <w:t>a mortgage or voluntary termination of a mortgage insurance contract on eligible low-income housing as defined in 24 CFR</w:t>
      </w:r>
      <w:r>
        <w:rPr>
          <w:spacing w:val="-5"/>
          <w:sz w:val="24"/>
        </w:rPr>
        <w:t xml:space="preserve"> </w:t>
      </w:r>
      <w:r>
        <w:rPr>
          <w:sz w:val="24"/>
        </w:rPr>
        <w:t>248.101</w:t>
      </w:r>
    </w:p>
    <w:p w:rsidR="004E13A5" w:rsidRDefault="00681463">
      <w:pPr>
        <w:pStyle w:val="BodyText"/>
        <w:ind w:right="526"/>
        <w:jc w:val="both"/>
      </w:pPr>
      <w:r>
        <w:t>HUD permits the PHA to establish additional categories of low-income families that may be determined eligible. The additional categories must be consistent with the PHA plan and the consolidated plans for local governments within the PHA’s jurisdiction.</w:t>
      </w:r>
    </w:p>
    <w:p w:rsidR="004E13A5" w:rsidRDefault="00681463">
      <w:pPr>
        <w:pStyle w:val="BodyText"/>
        <w:ind w:left="820"/>
      </w:pPr>
      <w:r>
        <w:rPr>
          <w:u w:val="single"/>
        </w:rPr>
        <w:t>PHA Policy</w:t>
      </w:r>
    </w:p>
    <w:p w:rsidR="004E13A5" w:rsidRDefault="00681463">
      <w:pPr>
        <w:pStyle w:val="BodyText"/>
        <w:spacing w:before="120"/>
        <w:ind w:left="820"/>
      </w:pPr>
      <w:r>
        <w:t>The PHA has not established any additional categories of eligible low-income families.</w:t>
      </w:r>
    </w:p>
    <w:p w:rsidR="004E13A5" w:rsidRDefault="00681463">
      <w:pPr>
        <w:pStyle w:val="Heading4"/>
        <w:spacing w:before="120"/>
      </w:pPr>
      <w:r>
        <w:t>Using Income Limits for Targeting [24 CFR 982.201]</w:t>
      </w:r>
    </w:p>
    <w:p w:rsidR="004E13A5" w:rsidRDefault="00681463">
      <w:pPr>
        <w:pStyle w:val="BodyText"/>
        <w:spacing w:before="120"/>
        <w:ind w:right="89"/>
      </w:pPr>
      <w:r>
        <w:t>At least 75 percent of the families admitted to the PHA's program during a PHA fiscal year must be extremely low-income families. HUD may approve exceptions to this requirement if the PHA demonstrates that it has made all required efforts, but has been unable to attract an adequate number of qualified extremely low-income families.</w:t>
      </w:r>
    </w:p>
    <w:p w:rsidR="004E13A5" w:rsidRDefault="00681463">
      <w:pPr>
        <w:pStyle w:val="BodyText"/>
        <w:spacing w:before="120"/>
        <w:ind w:right="281"/>
      </w:pPr>
      <w:r>
        <w:t>Families continuously assisted under the 1937 Housing Act and families living in eligible low- income housing that are displaced as a result of prepayment of a mortgage or voluntary termination of a mortgage insurance contract are not counted for income targeting purposes.</w:t>
      </w:r>
    </w:p>
    <w:p w:rsidR="004E13A5" w:rsidRDefault="004E13A5">
      <w:pPr>
        <w:sectPr w:rsidR="004E13A5">
          <w:pgSz w:w="12240" w:h="15840"/>
          <w:pgMar w:top="1360" w:right="1400" w:bottom="640" w:left="1340" w:header="0" w:footer="381" w:gutter="0"/>
          <w:cols w:space="720"/>
        </w:sectPr>
      </w:pPr>
    </w:p>
    <w:p w:rsidR="004E13A5" w:rsidRDefault="00681463">
      <w:pPr>
        <w:pStyle w:val="Heading4"/>
        <w:spacing w:before="79"/>
      </w:pPr>
      <w:r>
        <w:lastRenderedPageBreak/>
        <w:t>3-II.B. CITIZENSHIP OR ELIGIBLE IMMIGRATION STATUS [24 CFR 5, Subpart E]</w:t>
      </w:r>
    </w:p>
    <w:p w:rsidR="004E13A5" w:rsidRDefault="004E13A5">
      <w:pPr>
        <w:pStyle w:val="BodyText"/>
        <w:spacing w:before="4"/>
        <w:ind w:left="0"/>
        <w:rPr>
          <w:b/>
        </w:rPr>
      </w:pPr>
    </w:p>
    <w:p w:rsidR="004E13A5" w:rsidRDefault="00681463">
      <w:pPr>
        <w:pStyle w:val="BodyText"/>
        <w:spacing w:before="0"/>
        <w:ind w:right="182"/>
      </w:pPr>
      <w:r>
        <w:t>Housing assistance is available only to individuals who are U.S. citizens, U.S. nationals (herein referred to as citizens and nationals), or noncitizens that have eligible immigration status. At least one family member must be a citizen, national, or noncitizen with eligible immigration status in order for the family to qualify for any level of assistance.</w:t>
      </w:r>
    </w:p>
    <w:p w:rsidR="004E13A5" w:rsidRDefault="004E13A5">
      <w:pPr>
        <w:pStyle w:val="BodyText"/>
        <w:spacing w:before="2"/>
        <w:ind w:left="0"/>
      </w:pPr>
    </w:p>
    <w:p w:rsidR="004E13A5" w:rsidRDefault="00681463">
      <w:pPr>
        <w:pStyle w:val="BodyText"/>
        <w:spacing w:before="0"/>
        <w:ind w:right="175"/>
      </w:pPr>
      <w:r>
        <w:t>All applicant families must be notified of the requirement to submit evidence of their citizenship status when they apply. Where feasible, and in accordance with the PHA’s Limited English Proficiency Plan, the notice must be in a language that is understood by the individual if the individual is not proficient in English.</w:t>
      </w:r>
    </w:p>
    <w:p w:rsidR="004E13A5" w:rsidRDefault="00681463">
      <w:pPr>
        <w:pStyle w:val="Heading4"/>
        <w:spacing w:before="120"/>
      </w:pPr>
      <w:r>
        <w:t>Declaration [24 CFR 5.508]</w:t>
      </w:r>
    </w:p>
    <w:p w:rsidR="004E13A5" w:rsidRDefault="00681463">
      <w:pPr>
        <w:pStyle w:val="BodyText"/>
        <w:spacing w:before="120"/>
        <w:ind w:right="56"/>
      </w:pPr>
      <w:r>
        <w:t>HUD requires each family member to declare whether the individual is a citizen, a national, or an eligible noncitizen, except those members who elect not to contend that they have eligible immigration status. Those who elect not to contend their status are considered to be ineligible noncitizens. For citizens, nationals and eligible noncitizens the declaration must be signed personally by the head, spouse, co-head, and any other family member 18 or older, and by a parent or guardian for minors. The family must identify in writing any family members who elect not to contend their immigration status (see Ineligible Noncitizens below). No declaration is required for live-in aides, foster children, or foster adults.</w:t>
      </w:r>
    </w:p>
    <w:p w:rsidR="004E13A5" w:rsidRDefault="00681463">
      <w:pPr>
        <w:pStyle w:val="Heading5"/>
        <w:numPr>
          <w:ilvl w:val="1"/>
          <w:numId w:val="91"/>
        </w:numPr>
        <w:tabs>
          <w:tab w:val="left" w:pos="588"/>
        </w:tabs>
      </w:pPr>
      <w:r>
        <w:t>Citizens and</w:t>
      </w:r>
      <w:r>
        <w:rPr>
          <w:spacing w:val="-5"/>
        </w:rPr>
        <w:t xml:space="preserve"> </w:t>
      </w:r>
      <w:r>
        <w:t>Nationals</w:t>
      </w:r>
    </w:p>
    <w:p w:rsidR="004E13A5" w:rsidRDefault="00681463">
      <w:pPr>
        <w:pStyle w:val="BodyText"/>
        <w:ind w:right="247"/>
        <w:jc w:val="both"/>
      </w:pPr>
      <w:r>
        <w:t>In general, citizens and nationals are required to submit only a signed declaration as</w:t>
      </w:r>
      <w:r>
        <w:rPr>
          <w:spacing w:val="-20"/>
        </w:rPr>
        <w:t xml:space="preserve"> </w:t>
      </w:r>
      <w:r>
        <w:t>verification of their status. However, HUD regulations permit the PHA to request additional documentation of their status, such as a</w:t>
      </w:r>
      <w:r>
        <w:rPr>
          <w:spacing w:val="-5"/>
        </w:rPr>
        <w:t xml:space="preserve"> </w:t>
      </w:r>
      <w:r>
        <w:t>passport.</w:t>
      </w:r>
    </w:p>
    <w:p w:rsidR="004E13A5" w:rsidRDefault="00681463">
      <w:pPr>
        <w:pStyle w:val="BodyText"/>
        <w:ind w:left="820"/>
      </w:pPr>
      <w:r>
        <w:rPr>
          <w:u w:val="single"/>
        </w:rPr>
        <w:t>PHA Policy</w:t>
      </w:r>
    </w:p>
    <w:p w:rsidR="004E13A5" w:rsidRDefault="00681463">
      <w:pPr>
        <w:pStyle w:val="BodyText"/>
        <w:ind w:left="820" w:right="88"/>
      </w:pPr>
      <w:r>
        <w:t>Family members who declare citizenship or national status will not be required to provide additional documentation unless the PHA receives information indicating that an individual’s declaration may not be accurate. Additional documentation may include a birth certificate, passport, naturalization certificate, etc.</w:t>
      </w:r>
    </w:p>
    <w:p w:rsidR="004E13A5" w:rsidRDefault="00681463">
      <w:pPr>
        <w:pStyle w:val="Heading5"/>
      </w:pPr>
      <w:r>
        <w:t>Eligible Noncitizens</w:t>
      </w:r>
    </w:p>
    <w:p w:rsidR="004E13A5" w:rsidRDefault="00681463">
      <w:pPr>
        <w:pStyle w:val="BodyText"/>
        <w:ind w:right="95"/>
      </w:pPr>
      <w:r>
        <w:t>In addition to providing a signed declaration, those declaring eligible noncitizen status must sign a verification consent form and cooperate with PHA efforts to verify their immigration status as described in Chapter 7. The documentation required for establishing eligible noncitizen status varies depending upon factors such as the date the person entered the U.S., the conditions under which eligible immigration status has been granted, the person’s age, and the date on which the family began receiving HUD-funded assistance.</w:t>
      </w:r>
    </w:p>
    <w:p w:rsidR="004E13A5" w:rsidRDefault="00681463">
      <w:pPr>
        <w:pStyle w:val="BodyText"/>
        <w:ind w:right="171"/>
        <w:jc w:val="both"/>
      </w:pPr>
      <w:r>
        <w:t>Lawful residents of the Marshall Islands, the Federated States of Micronesia, and Palau,</w:t>
      </w:r>
      <w:r>
        <w:rPr>
          <w:spacing w:val="-19"/>
        </w:rPr>
        <w:t xml:space="preserve"> </w:t>
      </w:r>
      <w:r>
        <w:t>together known as the Freely Associated States, or FAS, are eligible for housing assistance under section 141 of the Compacts of Free Association between the U.S. Government and the Governments of the FAS [Public Law</w:t>
      </w:r>
      <w:r>
        <w:rPr>
          <w:spacing w:val="-5"/>
        </w:rPr>
        <w:t xml:space="preserve"> </w:t>
      </w:r>
      <w:r>
        <w:t>106-504].</w:t>
      </w:r>
    </w:p>
    <w:p w:rsidR="004E13A5" w:rsidRDefault="00681463">
      <w:pPr>
        <w:pStyle w:val="Heading5"/>
      </w:pPr>
      <w:r>
        <w:t>Ineligible Noncitizens</w:t>
      </w:r>
    </w:p>
    <w:p w:rsidR="004E13A5" w:rsidRDefault="00681463">
      <w:pPr>
        <w:pStyle w:val="BodyText"/>
        <w:ind w:right="155"/>
      </w:pPr>
      <w:r>
        <w:t>Those noncitizens who do not wish to contend their immigration status are required to have their names listed on a noncontending family members listing, signed by the head, spouse, or co-head</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right="89"/>
      </w:pPr>
      <w:r>
        <w:lastRenderedPageBreak/>
        <w:t>(regardless of citizenship status), indicating their ineligible immigration status. The PHA is not required to verify a family member’s ineligible status and is not required to report an individual’s unlawful presence in the U.S. to the United States Citizenship and Immigration Services (USCIS).</w:t>
      </w:r>
    </w:p>
    <w:p w:rsidR="004E13A5" w:rsidRDefault="00681463">
      <w:pPr>
        <w:pStyle w:val="BodyText"/>
        <w:ind w:right="188"/>
      </w:pPr>
      <w:r>
        <w:t>Providing housing assistance to noncitizen students is prohibited [24 CFR 5.522].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 family.</w:t>
      </w:r>
    </w:p>
    <w:p w:rsidR="004E13A5" w:rsidRDefault="00681463">
      <w:pPr>
        <w:pStyle w:val="Heading4"/>
        <w:spacing w:before="119"/>
      </w:pPr>
      <w:r>
        <w:t>Mixed Families</w:t>
      </w:r>
    </w:p>
    <w:p w:rsidR="004E13A5" w:rsidRDefault="00681463">
      <w:pPr>
        <w:pStyle w:val="BodyText"/>
        <w:ind w:right="149"/>
      </w:pPr>
      <w:r>
        <w:t xml:space="preserve">A family is eligible for assistance as long as at least one member is a citizen, national, or eligible noncitizen. Families that include eligible and ineligible individuals are considered </w:t>
      </w:r>
      <w:r>
        <w:rPr>
          <w:i/>
        </w:rPr>
        <w:t>mixed families</w:t>
      </w:r>
      <w:r>
        <w:t>. Such families will be given notice that their assistance will be prorated, and that they may request a hearing if they contest this determination. See Chapter 6 for a discussion of how rents are prorated, and Chapter 16 for a discussion of informal hearing procedures.</w:t>
      </w:r>
    </w:p>
    <w:p w:rsidR="004E13A5" w:rsidRDefault="00681463">
      <w:pPr>
        <w:pStyle w:val="Heading4"/>
        <w:spacing w:before="119"/>
      </w:pPr>
      <w:r>
        <w:t>Ineligible Families [24 CFR 5.514(d), (e), and (f)]</w:t>
      </w:r>
    </w:p>
    <w:p w:rsidR="004E13A5" w:rsidRDefault="00681463">
      <w:pPr>
        <w:pStyle w:val="BodyText"/>
        <w:ind w:right="95"/>
      </w:pPr>
      <w:r>
        <w:t>A PHA may elect to provide assistance to a family before the verification of the eligibility of the individual or one family member [24 CFR 5.512(b)]. Otherwise, no individual or family may be assisted prior to the affirmative establishment by the PHA that the individual or at least one family member is eligible. Verification of eligibility for this purpose occurs when the individual or family members have submitted documentation to the PHA in accordance with program requirements [24 CFR 5.512(a)].</w:t>
      </w:r>
    </w:p>
    <w:p w:rsidR="004E13A5" w:rsidRDefault="00681463">
      <w:pPr>
        <w:pStyle w:val="BodyText"/>
        <w:ind w:left="820"/>
      </w:pPr>
      <w:r>
        <w:rPr>
          <w:u w:val="single"/>
        </w:rPr>
        <w:t>PHA Policy</w:t>
      </w:r>
    </w:p>
    <w:p w:rsidR="004E13A5" w:rsidRDefault="00681463">
      <w:pPr>
        <w:pStyle w:val="BodyText"/>
        <w:spacing w:before="120"/>
        <w:ind w:left="820" w:right="502"/>
      </w:pPr>
      <w:r>
        <w:t>The PHA will not provide assistance to a family before the verification of at least one family member.</w:t>
      </w:r>
    </w:p>
    <w:p w:rsidR="004E13A5" w:rsidRDefault="00681463">
      <w:pPr>
        <w:pStyle w:val="BodyText"/>
        <w:spacing w:before="120"/>
        <w:ind w:left="820" w:right="136"/>
      </w:pPr>
      <w:r>
        <w:t>When a PHA determines that an applicant family does not include any citizens,</w:t>
      </w:r>
      <w:r>
        <w:rPr>
          <w:spacing w:val="-16"/>
        </w:rPr>
        <w:t xml:space="preserve"> </w:t>
      </w:r>
      <w:r>
        <w:t>nationals, or eligible noncitizens, following the verification process, the family will be sent a written notice within 10 business days of the</w:t>
      </w:r>
      <w:r>
        <w:rPr>
          <w:spacing w:val="-11"/>
        </w:rPr>
        <w:t xml:space="preserve"> </w:t>
      </w:r>
      <w:r>
        <w:t>determination.</w:t>
      </w:r>
    </w:p>
    <w:p w:rsidR="004E13A5" w:rsidRDefault="00681463">
      <w:pPr>
        <w:pStyle w:val="BodyText"/>
        <w:spacing w:before="120"/>
        <w:ind w:left="820" w:right="82"/>
      </w:pPr>
      <w:r>
        <w:t>The notice will explain the reasons for the denial of assistance, that the family may be eligible for proration of assistance, and will advise the family of its right to request an appeal to the United States Citizenship and Immigration Services (USCIS), or to request an informal hearing with the PHA. The informal hearing with the PHA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informal hearing process.</w:t>
      </w:r>
    </w:p>
    <w:p w:rsidR="004E13A5" w:rsidRDefault="00681463">
      <w:pPr>
        <w:pStyle w:val="BodyText"/>
        <w:spacing w:before="120"/>
        <w:ind w:left="820"/>
      </w:pPr>
      <w:r>
        <w:t>Informal hearing procedures are contained in Chapter 16.</w:t>
      </w:r>
    </w:p>
    <w:p w:rsidR="004E13A5" w:rsidRDefault="00681463">
      <w:pPr>
        <w:pStyle w:val="Heading4"/>
        <w:spacing w:before="120"/>
      </w:pPr>
      <w:r>
        <w:t>Timeframe for Determination of Citizenship Status [24 CFR 5.508(g)]</w:t>
      </w:r>
    </w:p>
    <w:p w:rsidR="004E13A5" w:rsidRDefault="00681463">
      <w:pPr>
        <w:pStyle w:val="BodyText"/>
        <w:spacing w:before="120"/>
        <w:ind w:right="274"/>
      </w:pPr>
      <w:r>
        <w:t>For new occupants joining the assisted family, the PHA must verify status at the first interim or regular reexamination following the person’s occupancy, whichever comes first.</w:t>
      </w:r>
    </w:p>
    <w:p w:rsidR="004E13A5" w:rsidRDefault="00681463">
      <w:pPr>
        <w:pStyle w:val="BodyText"/>
        <w:spacing w:before="120"/>
      </w:pPr>
      <w:r>
        <w:t>If an individual qualifies for a time extension for the submission of required documents, the PHA must grant such an extension for no more than 30 days [24 CFR 5.508(h)].</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right="762"/>
      </w:pPr>
      <w:r>
        <w:lastRenderedPageBreak/>
        <w:t>Each family member is required to submit evidence of eligible status only one time during continuous occupancy.</w:t>
      </w:r>
    </w:p>
    <w:p w:rsidR="004E13A5" w:rsidRDefault="00681463">
      <w:pPr>
        <w:pStyle w:val="BodyText"/>
        <w:ind w:left="820"/>
      </w:pPr>
      <w:r>
        <w:rPr>
          <w:u w:val="single"/>
        </w:rPr>
        <w:t>PHA Policy</w:t>
      </w:r>
    </w:p>
    <w:p w:rsidR="004E13A5" w:rsidRDefault="00681463">
      <w:pPr>
        <w:pStyle w:val="BodyText"/>
        <w:ind w:left="820" w:right="768"/>
      </w:pPr>
      <w:r>
        <w:t>The PHA will verify the citizenship status of applicants at the time other eligibility factors are determined.</w:t>
      </w:r>
    </w:p>
    <w:p w:rsidR="004E13A5" w:rsidRDefault="004E13A5">
      <w:pPr>
        <w:pStyle w:val="BodyText"/>
        <w:spacing w:before="9"/>
        <w:ind w:left="0"/>
        <w:rPr>
          <w:sz w:val="20"/>
        </w:rPr>
      </w:pPr>
    </w:p>
    <w:p w:rsidR="004E13A5" w:rsidRDefault="00681463">
      <w:pPr>
        <w:pStyle w:val="Heading4"/>
      </w:pPr>
      <w:r>
        <w:t>3-II.C. SOCIAL SECURITY NUMBERS [24 CFR 5.216 and 5.218, Notice PIH 2018-24]</w:t>
      </w:r>
    </w:p>
    <w:p w:rsidR="004E13A5" w:rsidRDefault="00681463">
      <w:pPr>
        <w:pStyle w:val="BodyText"/>
        <w:spacing w:before="0"/>
        <w:ind w:right="209"/>
      </w:pPr>
      <w:r>
        <w:t>The applicant and all members of the applicant’s household must disclose the complete and accurate social security number (SSN) assigned to each household member, and the documentation necessary to verify each SSN. If a child under age 6 has been added to an applicant family within 6 months prior to voucher issuance, an otherwise eligible family may be admitted to the program and must disclose and document the child’s SSN within 90 days of the effective date of the initial HAP contract. A detailed discussion of acceptable documentation is provided in Chapter 7.</w:t>
      </w:r>
    </w:p>
    <w:p w:rsidR="004E13A5" w:rsidRDefault="00681463">
      <w:pPr>
        <w:pStyle w:val="BodyText"/>
        <w:spacing w:before="120"/>
        <w:ind w:right="262"/>
      </w:pPr>
      <w:r>
        <w:rPr>
          <w:i/>
        </w:rPr>
        <w:t xml:space="preserve">Note: </w:t>
      </w:r>
      <w:r>
        <w:t>These requirements do not apply to noncitizens who do not contend eligible immigration status.</w:t>
      </w:r>
    </w:p>
    <w:p w:rsidR="004E13A5" w:rsidRDefault="00681463">
      <w:pPr>
        <w:pStyle w:val="BodyText"/>
        <w:spacing w:before="143" w:line="278" w:lineRule="auto"/>
        <w:ind w:right="120"/>
      </w:pPr>
      <w:r>
        <w:t>In addition, each participant who has not previously disclosed an SSN, has previously disclosed an SSN that HUD or the SSA determined was invalid, or has been issued a new SSN must submit their complete and accurate SSN and the documentation required to verify the SSN at the time of the next interim or annual reexamination or recertification. Participants age 62 or older</w:t>
      </w:r>
      <w:r>
        <w:rPr>
          <w:spacing w:val="-21"/>
        </w:rPr>
        <w:t xml:space="preserve"> </w:t>
      </w:r>
      <w:r>
        <w:t>as of January 31, 2010, whose determination of eligibility was begun before January 31, 2010, are exempt from this requirement and remain exempt even if they move to a new assisted</w:t>
      </w:r>
      <w:r>
        <w:rPr>
          <w:spacing w:val="-13"/>
        </w:rPr>
        <w:t xml:space="preserve"> </w:t>
      </w:r>
      <w:r>
        <w:t>unit.</w:t>
      </w:r>
    </w:p>
    <w:p w:rsidR="004E13A5" w:rsidRDefault="00681463">
      <w:pPr>
        <w:pStyle w:val="BodyText"/>
        <w:spacing w:before="118"/>
      </w:pPr>
      <w:r>
        <w:t>The PHA must deny assistance to an applicant family if they do not meet the SSN disclosure and documentation requirements contained in 24 CFR 5.216.</w:t>
      </w:r>
    </w:p>
    <w:p w:rsidR="004E13A5" w:rsidRDefault="004E13A5">
      <w:pPr>
        <w:pStyle w:val="BodyText"/>
        <w:spacing w:before="9"/>
        <w:ind w:left="0"/>
        <w:rPr>
          <w:sz w:val="20"/>
        </w:rPr>
      </w:pPr>
    </w:p>
    <w:p w:rsidR="004E13A5" w:rsidRDefault="00681463">
      <w:pPr>
        <w:pStyle w:val="Heading4"/>
        <w:spacing w:before="1"/>
        <w:ind w:right="1066"/>
      </w:pPr>
      <w:r>
        <w:t>3-II.D. FAMILY CONSENT TO RELEASE OF INFORMATION [24 CFR 5.230; HCV GB, p. 5-13]</w:t>
      </w:r>
    </w:p>
    <w:p w:rsidR="004E13A5" w:rsidRDefault="00681463">
      <w:pPr>
        <w:pStyle w:val="BodyText"/>
        <w:spacing w:before="120"/>
        <w:ind w:right="162"/>
      </w:pPr>
      <w:r>
        <w:t>HUD requires each adult family member, and the head of household, spouse, or co-head, regardless of age, to sign form HUD-9886, Authorization for the Release of Information/Privacy Act Notice, the Form HUD-52675 Debts Owed to Public Housing Agencies and Terminations; and other consent forms as needed to collect information relevant to the family’s eligibility and level of assistance. Chapter 7 provides detailed information concerning the consent forms and verification requirements.</w:t>
      </w:r>
    </w:p>
    <w:p w:rsidR="004E13A5" w:rsidRDefault="00681463">
      <w:pPr>
        <w:pStyle w:val="BodyText"/>
        <w:spacing w:before="120"/>
        <w:ind w:right="109"/>
      </w:pPr>
      <w:r>
        <w:t>The PHA must deny admission to the program if any member of the applicant family fails to</w:t>
      </w:r>
      <w:r>
        <w:rPr>
          <w:spacing w:val="-21"/>
        </w:rPr>
        <w:t xml:space="preserve"> </w:t>
      </w:r>
      <w:r>
        <w:t>sign and submit the consent forms for obtaining information in accordance with 24 CFR 5, Subparts B and F [24 CFR</w:t>
      </w:r>
      <w:r>
        <w:rPr>
          <w:spacing w:val="-8"/>
        </w:rPr>
        <w:t xml:space="preserve"> </w:t>
      </w:r>
      <w:r>
        <w:t>982.552(b)(3)].</w:t>
      </w:r>
    </w:p>
    <w:p w:rsidR="00E3560C" w:rsidRDefault="00E3560C" w:rsidP="00E3560C">
      <w:pPr>
        <w:pStyle w:val="BodyText"/>
        <w:ind w:left="0"/>
      </w:pPr>
      <w:r>
        <w:t xml:space="preserve">                      </w:t>
      </w:r>
      <w:r>
        <w:rPr>
          <w:u w:val="single"/>
        </w:rPr>
        <w:t>PHA Policy</w:t>
      </w:r>
    </w:p>
    <w:p w:rsidR="00E3560C" w:rsidRDefault="00E3560C" w:rsidP="003C75E7">
      <w:pPr>
        <w:ind w:left="720"/>
      </w:pPr>
      <w:r>
        <w:t xml:space="preserve">          The PHA has established a policy that revocation of consent to access financial records will                       </w:t>
      </w:r>
      <w:r w:rsidR="003C75E7">
        <w:t xml:space="preserve">   </w:t>
      </w:r>
      <w:r>
        <w:t xml:space="preserve">result in denial of admission. </w:t>
      </w:r>
    </w:p>
    <w:p w:rsidR="00E3560C" w:rsidRDefault="00E3560C">
      <w:pPr>
        <w:pStyle w:val="BodyText"/>
        <w:spacing w:before="120"/>
        <w:ind w:right="109"/>
      </w:pPr>
    </w:p>
    <w:p w:rsidR="00E3560C" w:rsidRDefault="00E3560C">
      <w:pPr>
        <w:pStyle w:val="BodyText"/>
        <w:spacing w:before="120"/>
        <w:ind w:right="109"/>
      </w:pPr>
    </w:p>
    <w:p w:rsidR="003C75E7" w:rsidRDefault="003C75E7" w:rsidP="003C75E7">
      <w:pPr>
        <w:pStyle w:val="BodyText"/>
        <w:spacing w:before="120"/>
        <w:ind w:left="0" w:right="109"/>
      </w:pPr>
    </w:p>
    <w:p w:rsidR="003C75E7" w:rsidRDefault="003C75E7" w:rsidP="003C75E7">
      <w:pPr>
        <w:pStyle w:val="BodyText"/>
        <w:spacing w:before="120"/>
        <w:ind w:left="0" w:right="109"/>
      </w:pPr>
    </w:p>
    <w:p w:rsidR="004E13A5" w:rsidRDefault="004E13A5">
      <w:pPr>
        <w:pStyle w:val="BodyText"/>
        <w:spacing w:before="10"/>
        <w:ind w:left="0"/>
        <w:rPr>
          <w:sz w:val="20"/>
        </w:rPr>
      </w:pPr>
    </w:p>
    <w:p w:rsidR="004E13A5" w:rsidRDefault="00681463">
      <w:pPr>
        <w:pStyle w:val="Heading4"/>
      </w:pPr>
      <w:r>
        <w:lastRenderedPageBreak/>
        <w:t>3-II.E. STUDENTS ENROLLED IN INSTITUTIONS OF HIGHER EDUCATION</w:t>
      </w:r>
    </w:p>
    <w:p w:rsidR="004E13A5" w:rsidRDefault="00681463">
      <w:pPr>
        <w:ind w:left="100"/>
        <w:rPr>
          <w:b/>
          <w:sz w:val="24"/>
        </w:rPr>
      </w:pPr>
      <w:r>
        <w:rPr>
          <w:b/>
          <w:sz w:val="24"/>
        </w:rPr>
        <w:t>[24 CFR 5.612, FR Notice 4/10/06, FR Notice 9/21/16]</w:t>
      </w:r>
    </w:p>
    <w:p w:rsidR="004E13A5" w:rsidRDefault="00681463" w:rsidP="003C75E7">
      <w:pPr>
        <w:pStyle w:val="BodyText"/>
        <w:spacing w:before="120"/>
        <w:ind w:right="382"/>
        <w:sectPr w:rsidR="004E13A5">
          <w:pgSz w:w="12240" w:h="15840"/>
          <w:pgMar w:top="1360" w:right="1340" w:bottom="640" w:left="1340" w:header="0" w:footer="381" w:gutter="0"/>
          <w:cols w:space="720"/>
        </w:sectPr>
      </w:pPr>
      <w:r>
        <w:t>Section 327 of Public Law 109-115 and the implementing regulation at 24 CFR 5.612 established new restrictions on the eligibility of certain students (both part- and full-time) who are enrolled in institutions of higher education</w:t>
      </w:r>
    </w:p>
    <w:p w:rsidR="004E13A5" w:rsidRDefault="00681463" w:rsidP="00FC7DAC">
      <w:pPr>
        <w:pStyle w:val="BodyText"/>
        <w:spacing w:before="79"/>
        <w:ind w:left="0" w:right="109"/>
      </w:pPr>
      <w:r>
        <w:lastRenderedPageBreak/>
        <w:t>If a student enrolled at an institution of higher education is under the age of 24, is not a veteran, is not married, does not have a dependent child, and is not a person with disabilities receiving HCV assistance as of November 30, 2005, the student’s eligibility must be examined along with the income eligibility of the student’s parents. In these cases, both the student and the student’s parents must be income eligible for the student to receive HCV assistance. If, however, a student in these circumstances is determined independent from their parents in accordance with PHA policy, the income of the student’s parents will not be considered in determining the student’s eligibility.</w:t>
      </w:r>
    </w:p>
    <w:p w:rsidR="004E13A5" w:rsidRDefault="00681463">
      <w:pPr>
        <w:pStyle w:val="BodyText"/>
        <w:ind w:right="556"/>
        <w:jc w:val="both"/>
      </w:pPr>
      <w:r>
        <w:t>The new law does not apply to students who reside with parents who are applying to</w:t>
      </w:r>
      <w:r>
        <w:rPr>
          <w:spacing w:val="-15"/>
        </w:rPr>
        <w:t xml:space="preserve"> </w:t>
      </w:r>
      <w:r>
        <w:t>receive HCV assistance. It is limited to students who are seeking assistance on their own, separately from their</w:t>
      </w:r>
      <w:r>
        <w:rPr>
          <w:spacing w:val="-6"/>
        </w:rPr>
        <w:t xml:space="preserve"> </w:t>
      </w:r>
      <w:r>
        <w:t>parents.</w:t>
      </w:r>
    </w:p>
    <w:p w:rsidR="004E13A5" w:rsidRDefault="00681463">
      <w:pPr>
        <w:pStyle w:val="Heading4"/>
        <w:spacing w:before="119"/>
      </w:pPr>
      <w:r>
        <w:t>Definitions</w:t>
      </w:r>
    </w:p>
    <w:p w:rsidR="004E13A5" w:rsidRDefault="00681463">
      <w:pPr>
        <w:pStyle w:val="BodyText"/>
        <w:spacing w:before="120"/>
        <w:ind w:right="188"/>
      </w:pPr>
      <w:r>
        <w:t>In determining whether and how the new eligibility restrictions apply to a student, the PHA will rely on the following definitions [FR Notice4/10/06, FR Notice 9/21/16].</w:t>
      </w:r>
    </w:p>
    <w:p w:rsidR="004E13A5" w:rsidRDefault="00681463">
      <w:pPr>
        <w:pStyle w:val="Heading5"/>
        <w:spacing w:before="120"/>
      </w:pPr>
      <w:r>
        <w:t>Dependent Child</w:t>
      </w:r>
    </w:p>
    <w:p w:rsidR="004E13A5" w:rsidRDefault="00681463">
      <w:pPr>
        <w:pStyle w:val="BodyText"/>
        <w:spacing w:before="120"/>
        <w:ind w:right="96"/>
      </w:pPr>
      <w:r>
        <w:t>In the context of the student eligibility restrictions</w:t>
      </w:r>
      <w:r>
        <w:rPr>
          <w:i/>
        </w:rPr>
        <w:t xml:space="preserve">, dependent child </w:t>
      </w:r>
      <w:r>
        <w:t xml:space="preserve">means a dependent child of a student enrolled in an institution of higher education. The dependent child must also meet the definition of </w:t>
      </w:r>
      <w:r>
        <w:rPr>
          <w:i/>
        </w:rPr>
        <w:t xml:space="preserve">dependent </w:t>
      </w:r>
      <w:r>
        <w:t>in 24 CFR 5.603, which states that the dependent must be a member of the assisted family, other than the head of household or spouse, who is under 18 years of age, or is a person with a disability, or is a full-time student. Foster children and foster adults are not considered dependents.</w:t>
      </w:r>
    </w:p>
    <w:p w:rsidR="004E13A5" w:rsidRDefault="00681463">
      <w:pPr>
        <w:pStyle w:val="Heading5"/>
        <w:spacing w:before="120"/>
      </w:pPr>
      <w:r>
        <w:t>Independent Student</w:t>
      </w:r>
    </w:p>
    <w:p w:rsidR="004E13A5" w:rsidRDefault="00681463">
      <w:pPr>
        <w:pStyle w:val="BodyText"/>
        <w:spacing w:before="120"/>
        <w:ind w:left="820"/>
      </w:pPr>
      <w:r>
        <w:rPr>
          <w:u w:val="single"/>
        </w:rPr>
        <w:t>PHA Policy</w:t>
      </w:r>
    </w:p>
    <w:p w:rsidR="004E13A5" w:rsidRDefault="00681463">
      <w:pPr>
        <w:pStyle w:val="BodyText"/>
        <w:ind w:left="820" w:right="109"/>
      </w:pPr>
      <w:r>
        <w:t>The PHA will consider a student “independent” from their parents and the parents’ income will not be considered when determining the student’s eligibility if the following four criteria are all met:</w:t>
      </w:r>
    </w:p>
    <w:p w:rsidR="004E13A5" w:rsidRDefault="00681463">
      <w:pPr>
        <w:pStyle w:val="BodyText"/>
        <w:ind w:left="1540"/>
      </w:pPr>
      <w:r>
        <w:t>The individual is of legal contract age under state law.</w:t>
      </w:r>
    </w:p>
    <w:p w:rsidR="004E13A5" w:rsidRDefault="00681463">
      <w:pPr>
        <w:pStyle w:val="BodyText"/>
        <w:ind w:left="1540" w:right="135"/>
      </w:pPr>
      <w:r>
        <w:t>The individual has established a household separate from their parents for at least one year prior to application for occupancy or the individual meets the U.S. Department of Education’s definition of independent student.</w:t>
      </w:r>
    </w:p>
    <w:p w:rsidR="004E13A5" w:rsidRDefault="00681463" w:rsidP="00FC7DAC">
      <w:pPr>
        <w:pStyle w:val="BodyText"/>
        <w:ind w:left="1540" w:right="255"/>
      </w:pPr>
      <w:r>
        <w:t xml:space="preserve">To be considered an </w:t>
      </w:r>
      <w:r>
        <w:rPr>
          <w:i/>
        </w:rPr>
        <w:t xml:space="preserve">independent student </w:t>
      </w:r>
      <w:r>
        <w:t>according to the Department of Education, a student must meet one or more of the following criteria:</w:t>
      </w:r>
    </w:p>
    <w:p w:rsidR="004E13A5" w:rsidRDefault="00681463" w:rsidP="00FC7DAC">
      <w:pPr>
        <w:pStyle w:val="BodyText"/>
        <w:ind w:left="1540" w:right="188"/>
      </w:pPr>
      <w:r>
        <w:t>The individual is at least 24 years old by December 31 of the award year for which aid is sought</w:t>
      </w:r>
    </w:p>
    <w:p w:rsidR="004E13A5" w:rsidRDefault="00681463" w:rsidP="00FC7DAC">
      <w:pPr>
        <w:pStyle w:val="BodyText"/>
        <w:ind w:left="1540" w:right="254"/>
      </w:pPr>
      <w:r>
        <w:t>The individual is an orphan, in foster care, or a ward of the court, or was an orphan, in foster care, or ward of the court at any time when the individual was 13 years of age or older</w:t>
      </w:r>
    </w:p>
    <w:p w:rsidR="004E13A5" w:rsidRDefault="00681463" w:rsidP="00FC7DAC">
      <w:pPr>
        <w:pStyle w:val="BodyText"/>
        <w:ind w:left="1540" w:right="140"/>
      </w:pPr>
      <w:r>
        <w:t>The individual is, or was immediately prior to attaining the age of majority, an emancipated minor or in legal guardianship as determined by a court of competent jurisdiction in the individual’s state of legal residence</w:t>
      </w:r>
    </w:p>
    <w:p w:rsidR="004E13A5" w:rsidRDefault="004E13A5">
      <w:pPr>
        <w:sectPr w:rsidR="004E13A5">
          <w:pgSz w:w="12240" w:h="15840"/>
          <w:pgMar w:top="1360" w:right="1380" w:bottom="640" w:left="1340" w:header="0" w:footer="381" w:gutter="0"/>
          <w:cols w:space="720"/>
        </w:sectPr>
      </w:pPr>
    </w:p>
    <w:p w:rsidR="004E13A5" w:rsidRDefault="00681463" w:rsidP="00FC7DAC">
      <w:pPr>
        <w:pStyle w:val="BodyText"/>
        <w:spacing w:before="79"/>
        <w:ind w:left="1540" w:right="115"/>
      </w:pPr>
      <w:r>
        <w:lastRenderedPageBreak/>
        <w:t>The individual is a veteran of the U.S. Armed Forces or is currently serving on active duty in the Armed Forces for other</w:t>
      </w:r>
      <w:r>
        <w:rPr>
          <w:spacing w:val="-14"/>
        </w:rPr>
        <w:t xml:space="preserve"> </w:t>
      </w:r>
      <w:r>
        <w:t>than training</w:t>
      </w:r>
      <w:r>
        <w:rPr>
          <w:spacing w:val="-6"/>
        </w:rPr>
        <w:t xml:space="preserve"> </w:t>
      </w:r>
      <w:r>
        <w:t>purposes</w:t>
      </w:r>
    </w:p>
    <w:p w:rsidR="00FC7DAC" w:rsidRDefault="00681463" w:rsidP="00FC7DAC">
      <w:pPr>
        <w:pStyle w:val="BodyText"/>
        <w:spacing w:line="343" w:lineRule="auto"/>
        <w:ind w:left="1540" w:right="1613"/>
      </w:pPr>
      <w:r>
        <w:t>The individual is a graduate or professional student</w:t>
      </w:r>
    </w:p>
    <w:p w:rsidR="004E13A5" w:rsidRDefault="00681463" w:rsidP="00FC7DAC">
      <w:pPr>
        <w:pStyle w:val="BodyText"/>
        <w:spacing w:line="343" w:lineRule="auto"/>
        <w:ind w:left="1540" w:right="1613"/>
      </w:pPr>
      <w:r>
        <w:t xml:space="preserve"> The individual is married</w:t>
      </w:r>
    </w:p>
    <w:p w:rsidR="004E13A5" w:rsidRDefault="00681463" w:rsidP="00FC7DAC">
      <w:pPr>
        <w:pStyle w:val="BodyText"/>
        <w:spacing w:before="5"/>
        <w:ind w:left="1540" w:right="62"/>
      </w:pPr>
      <w:r>
        <w:t>The individual has one or more legal dependents other than a spouse (for example, dependent children or an elderly dependent parent)</w:t>
      </w:r>
    </w:p>
    <w:p w:rsidR="004E13A5" w:rsidRDefault="00681463" w:rsidP="00FC7DAC">
      <w:pPr>
        <w:pStyle w:val="BodyText"/>
        <w:ind w:left="1540" w:right="89"/>
      </w:pPr>
      <w:r>
        <w:t>The individual has been verified during the school year in which the application is submitted as either an unaccompanied youth who is a homeless child or youth, or as unaccompanied, at risk of homelessness, and self-supporting by:</w:t>
      </w:r>
    </w:p>
    <w:p w:rsidR="004E13A5" w:rsidRDefault="00681463" w:rsidP="00A60E7F">
      <w:pPr>
        <w:pStyle w:val="BodyText"/>
        <w:ind w:left="2160"/>
      </w:pPr>
      <w:r>
        <w:t>A local educational agency homeless liaison</w:t>
      </w:r>
    </w:p>
    <w:p w:rsidR="004E13A5" w:rsidRDefault="00681463" w:rsidP="00A60E7F">
      <w:pPr>
        <w:pStyle w:val="BodyText"/>
        <w:ind w:left="2160" w:right="149"/>
      </w:pPr>
      <w:r>
        <w:t>The director of a program funded under subtitle B of the title IV of the McKinney-Vento Homeless Assistance Act or a designee of the director</w:t>
      </w:r>
    </w:p>
    <w:p w:rsidR="004E13A5" w:rsidRDefault="00681463" w:rsidP="00A60E7F">
      <w:pPr>
        <w:pStyle w:val="BodyText"/>
        <w:ind w:left="2160"/>
      </w:pPr>
      <w:r>
        <w:t>A financial aid administrator</w:t>
      </w:r>
    </w:p>
    <w:p w:rsidR="004E13A5" w:rsidRDefault="00681463" w:rsidP="00A60E7F">
      <w:pPr>
        <w:pStyle w:val="BodyText"/>
        <w:ind w:left="2160" w:right="253"/>
        <w:jc w:val="both"/>
      </w:pPr>
      <w:r>
        <w:t>The individual is a student for whom a financial aid administrator makes a documented determination of independence by reason of another unusual circumstances</w:t>
      </w:r>
    </w:p>
    <w:p w:rsidR="004E13A5" w:rsidRDefault="00681463" w:rsidP="00A60E7F">
      <w:pPr>
        <w:pStyle w:val="BodyText"/>
        <w:ind w:left="2160" w:right="361"/>
      </w:pPr>
      <w:r>
        <w:t>The individual was not claimed as a dependent by their parents pursuant to IRS regulations, as demonstrated on the parents’ most recent tax forms.</w:t>
      </w:r>
    </w:p>
    <w:p w:rsidR="004E13A5" w:rsidRDefault="00681463" w:rsidP="00A60E7F">
      <w:pPr>
        <w:pStyle w:val="BodyText"/>
        <w:spacing w:before="120"/>
        <w:ind w:left="2160" w:right="62"/>
      </w:pPr>
      <w:r>
        <w:t>The individual provides a certification of the amount of financial assistance that will be provided by their parents. This certification must be signed by the individual providing the support and must be submitted even if no assistance is being provided.</w:t>
      </w:r>
    </w:p>
    <w:p w:rsidR="004E13A5" w:rsidRDefault="00681463">
      <w:pPr>
        <w:pStyle w:val="BodyText"/>
        <w:spacing w:before="120"/>
        <w:ind w:left="820" w:right="222"/>
      </w:pPr>
      <w:r>
        <w:t xml:space="preserve">If the PHA determines that an individual meets the definition of a </w:t>
      </w:r>
      <w:r>
        <w:rPr>
          <w:i/>
        </w:rPr>
        <w:t xml:space="preserve">vulnerable youth </w:t>
      </w:r>
      <w:r>
        <w:t xml:space="preserve">such determination is all that is necessary to determine that the person is an </w:t>
      </w:r>
      <w:r>
        <w:rPr>
          <w:i/>
        </w:rPr>
        <w:t xml:space="preserve">independent student </w:t>
      </w:r>
      <w:r>
        <w:t>for the purposes of using only the student’ income for determining eligibility for assistance.</w:t>
      </w:r>
    </w:p>
    <w:p w:rsidR="004E13A5" w:rsidRDefault="00681463">
      <w:pPr>
        <w:pStyle w:val="BodyText"/>
        <w:spacing w:before="120"/>
        <w:ind w:left="820" w:right="809"/>
      </w:pPr>
      <w:r>
        <w:t>The PHA will verify that a student meets the above criteria in accordance with the policies in Section 7-II.E.</w:t>
      </w:r>
    </w:p>
    <w:p w:rsidR="004E13A5" w:rsidRDefault="00681463">
      <w:pPr>
        <w:pStyle w:val="Heading5"/>
        <w:spacing w:before="120"/>
      </w:pPr>
      <w:r>
        <w:t>Institution of Higher Education</w:t>
      </w:r>
    </w:p>
    <w:p w:rsidR="004E13A5" w:rsidRDefault="00681463">
      <w:pPr>
        <w:pStyle w:val="BodyText"/>
        <w:ind w:right="62"/>
      </w:pPr>
      <w:r>
        <w:t xml:space="preserve">The PHA will use the statutory definition under section 102 of the Higher Education Act of 1965 to determine whether a student is attending an </w:t>
      </w:r>
      <w:r>
        <w:rPr>
          <w:i/>
        </w:rPr>
        <w:t xml:space="preserve">institution of higher education </w:t>
      </w:r>
      <w:r>
        <w:t>(see Exhibit 3-2).</w:t>
      </w:r>
    </w:p>
    <w:p w:rsidR="004E13A5" w:rsidRDefault="00681463">
      <w:pPr>
        <w:pStyle w:val="Heading5"/>
      </w:pPr>
      <w:r>
        <w:t>Parents</w:t>
      </w:r>
    </w:p>
    <w:p w:rsidR="004E13A5" w:rsidRDefault="00681463">
      <w:pPr>
        <w:pStyle w:val="BodyText"/>
        <w:ind w:left="820"/>
      </w:pPr>
      <w:r>
        <w:rPr>
          <w:u w:val="single"/>
        </w:rPr>
        <w:t>PHA Policy</w:t>
      </w:r>
    </w:p>
    <w:p w:rsidR="004E13A5" w:rsidRDefault="00681463">
      <w:pPr>
        <w:pStyle w:val="BodyText"/>
        <w:ind w:left="820" w:right="149"/>
      </w:pPr>
      <w:r>
        <w:t xml:space="preserve">For purposes of student eligibility restrictions, the definition of </w:t>
      </w:r>
      <w:r>
        <w:rPr>
          <w:i/>
        </w:rPr>
        <w:t xml:space="preserve">parents </w:t>
      </w:r>
      <w:r>
        <w:t>includes biological or adoptive parents, stepparents (as long as they are currently married to</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right="256"/>
      </w:pPr>
      <w:r>
        <w:lastRenderedPageBreak/>
        <w:t>the biological or adoptive parent), and guardians (e.g., grandparents, aunt/uncle, godparents, etc.).</w:t>
      </w:r>
    </w:p>
    <w:p w:rsidR="004E13A5" w:rsidRDefault="00681463">
      <w:pPr>
        <w:pStyle w:val="Heading5"/>
      </w:pPr>
      <w:r>
        <w:t>Person with Disabilities</w:t>
      </w:r>
    </w:p>
    <w:p w:rsidR="004E13A5" w:rsidRDefault="00681463">
      <w:pPr>
        <w:pStyle w:val="BodyText"/>
        <w:rPr>
          <w:i/>
        </w:rPr>
      </w:pPr>
      <w:r>
        <w:t xml:space="preserve">The PHA will use the statutory definition under section 3(b)(3)(E) of the 1937 Act to determine whether a student is a </w:t>
      </w:r>
      <w:r>
        <w:rPr>
          <w:i/>
        </w:rPr>
        <w:t xml:space="preserve">person with disabilities </w:t>
      </w:r>
      <w:r>
        <w:t>(see Exhibit 3-1)</w:t>
      </w:r>
      <w:r>
        <w:rPr>
          <w:i/>
        </w:rPr>
        <w:t>.</w:t>
      </w:r>
    </w:p>
    <w:p w:rsidR="004E13A5" w:rsidRDefault="00681463">
      <w:pPr>
        <w:pStyle w:val="Heading5"/>
      </w:pPr>
      <w:r>
        <w:t>Veteran</w:t>
      </w:r>
    </w:p>
    <w:p w:rsidR="004E13A5" w:rsidRDefault="00681463">
      <w:pPr>
        <w:pStyle w:val="BodyText"/>
        <w:ind w:left="820"/>
      </w:pPr>
      <w:r>
        <w:rPr>
          <w:u w:val="single"/>
        </w:rPr>
        <w:t>PHA Policy</w:t>
      </w:r>
    </w:p>
    <w:p w:rsidR="004E13A5" w:rsidRDefault="00681463">
      <w:pPr>
        <w:pStyle w:val="BodyText"/>
        <w:ind w:left="820" w:right="82"/>
      </w:pPr>
      <w:r>
        <w:t xml:space="preserve">A </w:t>
      </w:r>
      <w:r>
        <w:rPr>
          <w:i/>
        </w:rPr>
        <w:t xml:space="preserve">veteran </w:t>
      </w:r>
      <w:r>
        <w:t>is a person who served in the active military, naval, or air service and who was discharged or released from such service under conditions other than dishonorable.</w:t>
      </w:r>
    </w:p>
    <w:p w:rsidR="004E13A5" w:rsidRDefault="00681463">
      <w:pPr>
        <w:pStyle w:val="Heading5"/>
      </w:pPr>
      <w:r>
        <w:t>Vulnerable Youth</w:t>
      </w:r>
    </w:p>
    <w:p w:rsidR="004E13A5" w:rsidRDefault="00681463">
      <w:pPr>
        <w:pStyle w:val="BodyText"/>
        <w:spacing w:before="120"/>
        <w:ind w:left="820"/>
      </w:pPr>
      <w:r>
        <w:rPr>
          <w:u w:val="single"/>
        </w:rPr>
        <w:t>PHA Policy</w:t>
      </w:r>
    </w:p>
    <w:p w:rsidR="004E13A5" w:rsidRDefault="00681463">
      <w:pPr>
        <w:pStyle w:val="BodyText"/>
        <w:spacing w:before="120"/>
        <w:ind w:left="820" w:right="89"/>
      </w:pPr>
      <w:r>
        <w:t>A vulnerable youth is an individual who meets the U.S Department of Education’s definition of independent student in paragraphs (b), (c), or (h), as adopted in Section II of FR Notice 9/21/16;</w:t>
      </w:r>
    </w:p>
    <w:p w:rsidR="004E13A5" w:rsidRDefault="00681463">
      <w:pPr>
        <w:pStyle w:val="BodyText"/>
        <w:spacing w:before="120"/>
        <w:ind w:left="1451" w:right="103"/>
      </w:pPr>
      <w:r>
        <w:t>The individual is an orphan, in foster care, or a ward of the court, or was an orphan, in foster care, or ward of the court at any time when the individual was 13 years of age of older</w:t>
      </w:r>
    </w:p>
    <w:p w:rsidR="004E13A5" w:rsidRDefault="00681463">
      <w:pPr>
        <w:pStyle w:val="BodyText"/>
        <w:spacing w:before="120"/>
        <w:ind w:left="1451"/>
      </w:pPr>
      <w:r>
        <w:t>The individual is, or was immediately prior to attaining the age of majority, an emancipated minor or in legal guardianship as determined by a court of competent jurisdiction in the individual’s state of legal residence</w:t>
      </w:r>
    </w:p>
    <w:p w:rsidR="004E13A5" w:rsidRDefault="00681463">
      <w:pPr>
        <w:pStyle w:val="BodyText"/>
        <w:spacing w:before="120"/>
        <w:ind w:left="1451" w:right="131"/>
      </w:pPr>
      <w:r>
        <w:t>The individual has been verified during the school year in which the application is submitted as either an unaccompanied youth who is a homeless child or youth, or an unaccompanied, at risk of homelessness, and self-supporting by:</w:t>
      </w:r>
    </w:p>
    <w:p w:rsidR="004E13A5" w:rsidRDefault="00681463" w:rsidP="00A60E7F">
      <w:pPr>
        <w:pStyle w:val="BodyText"/>
        <w:spacing w:before="120"/>
        <w:ind w:left="2160"/>
      </w:pPr>
      <w:r>
        <w:t>A local educational agency homeless liaison</w:t>
      </w:r>
    </w:p>
    <w:p w:rsidR="004E13A5" w:rsidRDefault="00681463" w:rsidP="00A60E7F">
      <w:pPr>
        <w:pStyle w:val="BodyText"/>
        <w:spacing w:before="120"/>
        <w:ind w:left="2160" w:right="302"/>
      </w:pPr>
      <w:r>
        <w:t>The director of a program funded under subtitle B of title IV of the McKinney-Vento Homeless Assistance Act or a designee of the director</w:t>
      </w:r>
    </w:p>
    <w:p w:rsidR="004E13A5" w:rsidRDefault="00681463" w:rsidP="00A60E7F">
      <w:pPr>
        <w:pStyle w:val="BodyText"/>
        <w:spacing w:before="120"/>
        <w:ind w:left="2160"/>
      </w:pPr>
      <w:r>
        <w:t>A financial aid administrator.</w:t>
      </w:r>
    </w:p>
    <w:p w:rsidR="004E13A5" w:rsidRDefault="00681463">
      <w:pPr>
        <w:pStyle w:val="Heading4"/>
        <w:spacing w:before="120"/>
      </w:pPr>
      <w:r>
        <w:t>Determining Student Eligibility</w:t>
      </w:r>
    </w:p>
    <w:p w:rsidR="004E13A5" w:rsidRDefault="00681463">
      <w:pPr>
        <w:pStyle w:val="BodyText"/>
        <w:spacing w:before="120"/>
        <w:ind w:right="88"/>
      </w:pPr>
      <w:r>
        <w:t>If a student is applying for assistance on their own, apart from their parents, the PHA must determine whether the student is subject to the eligibility restrictions contained in 24 CFR 5.612. If the student is subject to those restrictions, the PHA must ensure that: (1) the student is individually eligible for the program, (2) either the student is independent from their parents or the student’s parents are income eligible for the program, and (3) the “family” with which the student is applying is collectively eligible for the program.</w:t>
      </w:r>
    </w:p>
    <w:p w:rsidR="004E13A5" w:rsidRDefault="00681463">
      <w:pPr>
        <w:pStyle w:val="BodyText"/>
        <w:spacing w:before="120"/>
        <w:ind w:left="820"/>
      </w:pPr>
      <w:r>
        <w:rPr>
          <w:u w:val="single"/>
        </w:rPr>
        <w:t>PHA Policy</w:t>
      </w:r>
    </w:p>
    <w:p w:rsidR="004E13A5" w:rsidRDefault="00681463">
      <w:pPr>
        <w:pStyle w:val="BodyText"/>
        <w:spacing w:before="120"/>
        <w:ind w:left="820"/>
      </w:pPr>
      <w:r>
        <w:t>For any student who is subject to the 5.612 restrictions, the PHA will:</w:t>
      </w:r>
    </w:p>
    <w:p w:rsidR="004E13A5" w:rsidRDefault="00681463" w:rsidP="00FC7DAC">
      <w:pPr>
        <w:pStyle w:val="BodyText"/>
        <w:spacing w:before="120"/>
        <w:ind w:left="1440" w:right="214"/>
      </w:pPr>
      <w:r>
        <w:t>Follow its usual policies in determining whether the student individually and the student’s “family” collectively are eligible for the program</w:t>
      </w:r>
    </w:p>
    <w:p w:rsidR="004E13A5" w:rsidRDefault="004E13A5">
      <w:pPr>
        <w:sectPr w:rsidR="004E13A5">
          <w:pgSz w:w="12240" w:h="15840"/>
          <w:pgMar w:top="1360" w:right="1400" w:bottom="640" w:left="1340" w:header="0" w:footer="381" w:gutter="0"/>
          <w:cols w:space="720"/>
        </w:sectPr>
      </w:pPr>
    </w:p>
    <w:p w:rsidR="004E13A5" w:rsidRDefault="00681463" w:rsidP="00FC7DAC">
      <w:pPr>
        <w:pStyle w:val="BodyText"/>
        <w:spacing w:before="79"/>
        <w:ind w:left="820" w:right="409"/>
      </w:pPr>
      <w:r>
        <w:lastRenderedPageBreak/>
        <w:t xml:space="preserve">Determine whether the student is independent from their parents in accordance with the definition of </w:t>
      </w:r>
      <w:r>
        <w:rPr>
          <w:i/>
        </w:rPr>
        <w:t xml:space="preserve">independent student </w:t>
      </w:r>
      <w:r>
        <w:t>in this section</w:t>
      </w:r>
    </w:p>
    <w:p w:rsidR="004E13A5" w:rsidRDefault="00681463" w:rsidP="00FC7DAC">
      <w:pPr>
        <w:pStyle w:val="BodyText"/>
        <w:ind w:left="820" w:right="541"/>
      </w:pPr>
      <w:r>
        <w:t>Follow the policies below, if applicable, in determining whether the student’s parents are income eligible for the program</w:t>
      </w:r>
    </w:p>
    <w:p w:rsidR="004E13A5" w:rsidRDefault="00681463">
      <w:pPr>
        <w:pStyle w:val="BodyText"/>
        <w:ind w:left="820" w:right="62"/>
      </w:pPr>
      <w:r>
        <w:t>If the PHA determines that the student, the student’s parents (if applicable), or the student’s “family” is not eligible, the PHA will send a notice of denial in accordance with the policies in Section 3-III.F, and the applicant family will have the right to request an informal review in accordance with the policies in Section 16-III.B.</w:t>
      </w:r>
    </w:p>
    <w:p w:rsidR="004E13A5" w:rsidRDefault="00681463">
      <w:pPr>
        <w:pStyle w:val="Heading5"/>
      </w:pPr>
      <w:r>
        <w:t>Determining Parental Income Eligibility</w:t>
      </w:r>
    </w:p>
    <w:p w:rsidR="004E13A5" w:rsidRDefault="00681463">
      <w:pPr>
        <w:pStyle w:val="BodyText"/>
        <w:ind w:left="820"/>
      </w:pPr>
      <w:r>
        <w:rPr>
          <w:u w:val="single"/>
        </w:rPr>
        <w:t>PHA Policy</w:t>
      </w:r>
    </w:p>
    <w:p w:rsidR="004E13A5" w:rsidRDefault="00681463">
      <w:pPr>
        <w:pStyle w:val="BodyText"/>
        <w:ind w:left="820" w:right="620"/>
        <w:jc w:val="both"/>
      </w:pPr>
      <w:r>
        <w:t xml:space="preserve">For any student who is subject to the 5.612 restrictions and who does not satisfy the definition of </w:t>
      </w:r>
      <w:r>
        <w:rPr>
          <w:i/>
        </w:rPr>
        <w:t xml:space="preserve">independent student </w:t>
      </w:r>
      <w:r>
        <w:t>in this section, the PHA will determine the income eligibility of the student’s parents as follows:</w:t>
      </w:r>
    </w:p>
    <w:p w:rsidR="004E13A5" w:rsidRDefault="00681463">
      <w:pPr>
        <w:pStyle w:val="BodyText"/>
        <w:ind w:left="1540" w:right="149"/>
      </w:pPr>
      <w:r>
        <w:t>If the student’s parents are married and living together, the PHA will obtain a joint income declaration and certification of joint income from the parents.</w:t>
      </w:r>
    </w:p>
    <w:p w:rsidR="004E13A5" w:rsidRDefault="00681463">
      <w:pPr>
        <w:pStyle w:val="BodyText"/>
        <w:ind w:left="1540" w:right="728"/>
      </w:pPr>
      <w:r>
        <w:t>If the student’s parent is widowed or single, the PHA will obtain an income declaration and certification of income from that parent.</w:t>
      </w:r>
    </w:p>
    <w:p w:rsidR="004E13A5" w:rsidRDefault="00681463">
      <w:pPr>
        <w:pStyle w:val="BodyText"/>
        <w:ind w:left="1540" w:right="209"/>
      </w:pPr>
      <w:r>
        <w:t>If the student’s parents are divorced or separated, the PHA will obtain an income declaration and certification of income from each parent.</w:t>
      </w:r>
    </w:p>
    <w:p w:rsidR="004E13A5" w:rsidRDefault="00681463">
      <w:pPr>
        <w:pStyle w:val="BodyText"/>
        <w:ind w:left="1540" w:right="149"/>
      </w:pPr>
      <w:r>
        <w:t>If the student has been living with one of their parents and has not had contact with or does not know where to contact their other parent, the PHA will require the student to submit a certification under penalty of perjury describing the circumstances and stating that the student does not receive financial assistance from the other parent. The PHA will then obtain an income declaration and certification of income from the parent with whom the student has been living or had contact.</w:t>
      </w:r>
    </w:p>
    <w:p w:rsidR="004E13A5" w:rsidRDefault="00681463">
      <w:pPr>
        <w:pStyle w:val="BodyText"/>
        <w:ind w:left="820" w:right="754"/>
      </w:pPr>
      <w:r>
        <w:t>In determining the income eligibility of the student’s parents, the PHA will use the income limits for the jurisdiction in which the parents live.</w:t>
      </w:r>
    </w:p>
    <w:p w:rsidR="004E13A5" w:rsidRDefault="004E13A5">
      <w:pPr>
        <w:pStyle w:val="BodyText"/>
        <w:spacing w:before="9"/>
        <w:ind w:left="0"/>
        <w:rPr>
          <w:sz w:val="20"/>
        </w:rPr>
      </w:pPr>
    </w:p>
    <w:p w:rsidR="004E13A5" w:rsidRDefault="00681463">
      <w:pPr>
        <w:pStyle w:val="Heading4"/>
      </w:pPr>
      <w:r>
        <w:t>3-II.F. EIV SYSTEM SEARCHES [Notice PIH 2018-18; EIV FAQs; EIV System Training</w:t>
      </w:r>
    </w:p>
    <w:p w:rsidR="004E13A5" w:rsidRDefault="00681463">
      <w:pPr>
        <w:ind w:left="100"/>
        <w:rPr>
          <w:b/>
          <w:sz w:val="24"/>
        </w:rPr>
      </w:pPr>
      <w:r>
        <w:rPr>
          <w:b/>
          <w:sz w:val="24"/>
        </w:rPr>
        <w:t>9/30/20]</w:t>
      </w:r>
    </w:p>
    <w:p w:rsidR="004E13A5" w:rsidRDefault="00681463">
      <w:pPr>
        <w:spacing w:before="120"/>
        <w:ind w:left="100"/>
        <w:rPr>
          <w:b/>
          <w:sz w:val="24"/>
        </w:rPr>
      </w:pPr>
      <w:r>
        <w:rPr>
          <w:b/>
          <w:sz w:val="24"/>
        </w:rPr>
        <w:t>Existing Tenant Search</w:t>
      </w:r>
    </w:p>
    <w:p w:rsidR="004E13A5" w:rsidRDefault="00681463">
      <w:pPr>
        <w:pStyle w:val="BodyText"/>
        <w:ind w:right="149"/>
      </w:pPr>
      <w:r>
        <w:t>Prior to admission to the program, the PHA must search for all household members using the EIV Existing Tenant Search module. The PHA must review the reports for any SSA matches involving another PHA or a multifamily entity and follow up on any issues identified. The PHA must provide the family with a copy of the Existing Tenant Search results if requested. At no time may any family member receive duplicative assistance.</w:t>
      </w:r>
    </w:p>
    <w:p w:rsidR="004E13A5" w:rsidRDefault="00681463">
      <w:pPr>
        <w:pStyle w:val="BodyText"/>
        <w:ind w:right="62"/>
      </w:pPr>
      <w:r>
        <w:t>If the tenant is a new admission to the PHA, and a match is identified at a multifamily property, the PHA must report the program admission date to the multifamily property and document the notification in the tenant file. The family must provide documentation of move-out from the assisted unit, as applicable.</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ind w:left="820" w:right="262"/>
      </w:pPr>
      <w:r>
        <w:t>The PHA will contact the PHA or owner identified in the report to confirm that the family has moved out of the unit and obtain documentation of current tenancy status, including a form HUD-50058 or 50059, as applicable, showing an end of participation. The PHA will only approve assistance contingent upon the move-out from the currently occupied assisted unit.</w:t>
      </w:r>
    </w:p>
    <w:p w:rsidR="004E13A5" w:rsidRDefault="00681463">
      <w:pPr>
        <w:pStyle w:val="Heading4"/>
        <w:spacing w:before="119"/>
      </w:pPr>
      <w:r>
        <w:t>Debts Owed to PHAs and Terminations</w:t>
      </w:r>
    </w:p>
    <w:p w:rsidR="004E13A5" w:rsidRDefault="00681463">
      <w:pPr>
        <w:pStyle w:val="BodyText"/>
        <w:ind w:right="162"/>
      </w:pPr>
      <w:r>
        <w:t>All adult household members must sign the form HUD-52675 Debts Owed to Public Housing and Terminations. Prior to admission to the program, the PHA must search for each adult family member in the Debts Owed to PHAs and Terminations module.</w:t>
      </w:r>
    </w:p>
    <w:p w:rsidR="004E13A5" w:rsidRDefault="00681463">
      <w:pPr>
        <w:pStyle w:val="BodyText"/>
        <w:ind w:right="108"/>
      </w:pPr>
      <w:r>
        <w:t>If a current or former tenant disputes the information in the module, the tenant should contact the PHA directly in writing to dispute the information and provide any documentation that supports the dispute. If the PHA determines that the disputed information is incorrect, the PHA will update or delete the record from EIV. Former tenants may dispute debt and termination information for a period of up to three years from the end of participation date in the program.</w:t>
      </w:r>
    </w:p>
    <w:p w:rsidR="004E13A5" w:rsidRDefault="00681463">
      <w:pPr>
        <w:pStyle w:val="BodyText"/>
        <w:ind w:left="820"/>
      </w:pPr>
      <w:r>
        <w:rPr>
          <w:u w:val="single"/>
        </w:rPr>
        <w:t>PHA Policy</w:t>
      </w:r>
    </w:p>
    <w:p w:rsidR="004E13A5" w:rsidRDefault="00681463">
      <w:pPr>
        <w:pStyle w:val="BodyText"/>
        <w:ind w:left="820" w:right="88"/>
      </w:pPr>
      <w:r>
        <w:t>The PHA will require each adult household member to sign the form HUD-52675 once at the eligibility determination. Any new members added to the household after admission will be required to sign the form HUD-52675 prior to being added to the household.</w:t>
      </w:r>
    </w:p>
    <w:p w:rsidR="004E13A5" w:rsidRDefault="00681463">
      <w:pPr>
        <w:pStyle w:val="BodyText"/>
        <w:ind w:left="820" w:right="234"/>
      </w:pPr>
      <w:r>
        <w:t>The PHA will search the Debts Owed to PHAs and Terminations module as part of the eligibility determination for new households and as part of the screening process for</w:t>
      </w:r>
      <w:r>
        <w:rPr>
          <w:spacing w:val="-14"/>
        </w:rPr>
        <w:t xml:space="preserve"> </w:t>
      </w:r>
      <w:r>
        <w:t>any household members added after the household is admitted to the program. If any information on debts or terminations is returned by the search, the PHA will determine if this information warrants a denial in accordance with the policies in Part III</w:t>
      </w:r>
      <w:r>
        <w:rPr>
          <w:spacing w:val="-17"/>
        </w:rPr>
        <w:t xml:space="preserve"> </w:t>
      </w:r>
      <w:r>
        <w:t>of</w:t>
      </w:r>
    </w:p>
    <w:p w:rsidR="004E13A5" w:rsidRDefault="00681463">
      <w:pPr>
        <w:pStyle w:val="BodyText"/>
        <w:spacing w:before="0"/>
        <w:ind w:left="820"/>
      </w:pPr>
      <w:r>
        <w:t>this chapter.</w:t>
      </w:r>
    </w:p>
    <w:p w:rsidR="004E13A5" w:rsidRDefault="00681463">
      <w:pPr>
        <w:pStyle w:val="Heading4"/>
        <w:spacing w:before="120"/>
      </w:pPr>
      <w:r>
        <w:t>Income and Income Validation Tool (IVT)</w:t>
      </w:r>
      <w:r>
        <w:rPr>
          <w:spacing w:val="50"/>
        </w:rPr>
        <w:t xml:space="preserve"> </w:t>
      </w:r>
      <w:r>
        <w:t>Reports</w:t>
      </w:r>
    </w:p>
    <w:p w:rsidR="004E13A5" w:rsidRDefault="00681463">
      <w:pPr>
        <w:pStyle w:val="BodyText"/>
        <w:ind w:right="62"/>
      </w:pPr>
      <w:r>
        <w:t>For each new admission, the PHA is required to review the EIV Income and IVT Reports to confirm and validate family reported income within 120 days of the IMS/PIC submission date of the new admission. The PHA must print and maintain copies of the EIV Income and IVT reports in the tenant file and resolve any discrepancies with the family within 60 days of the EIV Income or IVT report dates.</w:t>
      </w:r>
    </w:p>
    <w:p w:rsidR="004E13A5" w:rsidRDefault="004E13A5">
      <w:pPr>
        <w:pStyle w:val="BodyText"/>
        <w:spacing w:before="0"/>
        <w:ind w:left="0"/>
        <w:rPr>
          <w:sz w:val="13"/>
        </w:rPr>
      </w:pPr>
    </w:p>
    <w:p w:rsidR="004E13A5" w:rsidRDefault="00681463">
      <w:pPr>
        <w:pStyle w:val="Heading4"/>
        <w:spacing w:before="90"/>
        <w:ind w:left="2767"/>
      </w:pPr>
      <w:r>
        <w:t>PART III: DENIAL OF ASSISTANCE</w:t>
      </w:r>
    </w:p>
    <w:p w:rsidR="004E13A5" w:rsidRDefault="004E13A5">
      <w:pPr>
        <w:pStyle w:val="BodyText"/>
        <w:spacing w:before="10"/>
        <w:ind w:left="0"/>
        <w:rPr>
          <w:b/>
          <w:sz w:val="20"/>
        </w:rPr>
      </w:pPr>
    </w:p>
    <w:p w:rsidR="004E13A5" w:rsidRDefault="00681463">
      <w:pPr>
        <w:ind w:left="100"/>
        <w:rPr>
          <w:b/>
          <w:sz w:val="24"/>
        </w:rPr>
      </w:pPr>
      <w:r>
        <w:rPr>
          <w:b/>
          <w:sz w:val="24"/>
        </w:rPr>
        <w:t>3-III.A. OVERVIEW</w:t>
      </w:r>
    </w:p>
    <w:p w:rsidR="004E13A5" w:rsidRDefault="00681463">
      <w:pPr>
        <w:pStyle w:val="BodyText"/>
        <w:ind w:right="329"/>
      </w:pPr>
      <w:r>
        <w:t>A family that does not meet the eligibility criteria discussed in Parts I and II, must be denied assistance. In this section we will discuss other situations and circumstances in which denial</w:t>
      </w:r>
      <w:r>
        <w:rPr>
          <w:spacing w:val="-14"/>
        </w:rPr>
        <w:t xml:space="preserve"> </w:t>
      </w:r>
      <w:r>
        <w:t>of assistance is mandatory for the PHA, and those in which denial of assistance is optional for  the</w:t>
      </w:r>
      <w:r>
        <w:rPr>
          <w:spacing w:val="-3"/>
        </w:rPr>
        <w:t xml:space="preserve"> </w:t>
      </w:r>
      <w:r>
        <w:t>PHA.</w:t>
      </w:r>
    </w:p>
    <w:p w:rsidR="004E13A5" w:rsidRDefault="00681463">
      <w:pPr>
        <w:pStyle w:val="BodyText"/>
        <w:ind w:right="62"/>
      </w:pPr>
      <w:r>
        <w:t>While the regulations state that the PHA must prohibit admission for certain types of criminal activity and give the PHA the option to deny for other types of previous criminal history, more recent HUD rules and OGC guidance must also be taken into consideration when determining whether a particular individual’s criminal history merits denial of admission.</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right="244"/>
        <w:jc w:val="both"/>
      </w:pPr>
      <w:r>
        <w:lastRenderedPageBreak/>
        <w:t>When considering any denial of admission, PHAs may not use arrest records as the basis for</w:t>
      </w:r>
      <w:r>
        <w:rPr>
          <w:spacing w:val="-17"/>
        </w:rPr>
        <w:t xml:space="preserve"> </w:t>
      </w:r>
      <w:r>
        <w:t>the denial. Further, HUD does not require the adoption of “One Strike” policies and reminds PHAs of their obligation to safeguard the due process rights of applicants and tenants</w:t>
      </w:r>
      <w:r>
        <w:rPr>
          <w:spacing w:val="-11"/>
        </w:rPr>
        <w:t xml:space="preserve"> </w:t>
      </w:r>
      <w:r>
        <w:t>[Notice</w:t>
      </w:r>
    </w:p>
    <w:p w:rsidR="004E13A5" w:rsidRDefault="00681463">
      <w:pPr>
        <w:pStyle w:val="BodyText"/>
        <w:spacing w:before="0"/>
      </w:pPr>
      <w:r>
        <w:t>PIH 2015-19].</w:t>
      </w:r>
    </w:p>
    <w:p w:rsidR="004E13A5" w:rsidRDefault="00681463">
      <w:pPr>
        <w:pStyle w:val="BodyText"/>
        <w:spacing w:before="120"/>
        <w:ind w:right="208"/>
      </w:pPr>
      <w:r>
        <w:t>HUD’s Office of General Counsel issued a memo on April 4, 2016, regarding the application of Fair Housing Act standards to the use of criminal records. This memo states that a PHA violates the Fair Housing Act when their policy or practice has an unjustified discriminatory effect, even when the PHA had no intention to discriminate. Where a policy or practice that restricts admission based on criminal history has a disparate impact on a particular race, national origin, or other protected class, that policy or practice is in violation of the Fair Housing Act if it is not necessary to serve a substantial, legitimate, nondiscriminatory interest of the PHA, or if that interest could be served by another practice that has a less discriminatory effect [OGC</w:t>
      </w:r>
    </w:p>
    <w:p w:rsidR="004E13A5" w:rsidRDefault="00681463">
      <w:pPr>
        <w:pStyle w:val="BodyText"/>
        <w:spacing w:before="0"/>
      </w:pPr>
      <w:r>
        <w:t>Memo 4/4/16].</w:t>
      </w:r>
    </w:p>
    <w:p w:rsidR="004E13A5" w:rsidRDefault="00681463">
      <w:pPr>
        <w:pStyle w:val="BodyText"/>
        <w:spacing w:before="120"/>
        <w:ind w:right="99"/>
      </w:pPr>
      <w:r>
        <w:t>PHAs who impose blanket prohibitions on any person with any conviction record, no matter when the conviction occurred, what the underlying conduct entailed, or what the convicted person has done since then will be unable to show that such policy or practice is necessary to achieve a substantial, legitimate, nondiscriminatory interest. Even a PHA with a more tailored policy or practice that excludes individuals with only certain types of convictions must still prove that its policy is necessary. To do this, the PHA must show that its policy accurately distinguishes between criminal conduct that indicates a demonstrable risk to resident safety and property and criminal conduct that does</w:t>
      </w:r>
      <w:r>
        <w:rPr>
          <w:spacing w:val="-4"/>
        </w:rPr>
        <w:t xml:space="preserve"> </w:t>
      </w:r>
      <w:r>
        <w:t>not.</w:t>
      </w:r>
    </w:p>
    <w:p w:rsidR="004E13A5" w:rsidRDefault="00681463">
      <w:pPr>
        <w:pStyle w:val="Heading4"/>
        <w:spacing w:before="120"/>
      </w:pPr>
      <w:r>
        <w:t>Forms of Denial [24 CFR 982.552(a)(2); HCV GB, p. 5-35]</w:t>
      </w:r>
    </w:p>
    <w:p w:rsidR="004E13A5" w:rsidRDefault="00681463">
      <w:pPr>
        <w:pStyle w:val="BodyText"/>
        <w:spacing w:before="120"/>
      </w:pPr>
      <w:r>
        <w:t>Denial of assistance includes any of the following:</w:t>
      </w:r>
    </w:p>
    <w:p w:rsidR="004E13A5" w:rsidRDefault="00681463">
      <w:pPr>
        <w:pStyle w:val="BodyText"/>
        <w:tabs>
          <w:tab w:val="left" w:pos="460"/>
        </w:tabs>
        <w:spacing w:before="120"/>
      </w:pPr>
      <w:r>
        <w:rPr>
          <w:rFonts w:ascii="Symbol" w:hAnsi="Symbol"/>
        </w:rPr>
        <w:t></w:t>
      </w:r>
      <w:r>
        <w:tab/>
        <w:t>Not placing the family's name on the waiting</w:t>
      </w:r>
      <w:r>
        <w:rPr>
          <w:spacing w:val="-9"/>
        </w:rPr>
        <w:t xml:space="preserve"> </w:t>
      </w:r>
      <w:r>
        <w:t>list</w:t>
      </w:r>
    </w:p>
    <w:p w:rsidR="004E13A5" w:rsidRDefault="00681463">
      <w:pPr>
        <w:pStyle w:val="BodyText"/>
        <w:tabs>
          <w:tab w:val="left" w:pos="460"/>
        </w:tabs>
        <w:spacing w:before="118"/>
      </w:pPr>
      <w:r>
        <w:rPr>
          <w:rFonts w:ascii="Symbol" w:hAnsi="Symbol"/>
        </w:rPr>
        <w:t></w:t>
      </w:r>
      <w:r>
        <w:tab/>
        <w:t>Denying or withdrawing a</w:t>
      </w:r>
      <w:r>
        <w:rPr>
          <w:spacing w:val="-12"/>
        </w:rPr>
        <w:t xml:space="preserve"> </w:t>
      </w:r>
      <w:r>
        <w:t>voucher</w:t>
      </w:r>
    </w:p>
    <w:p w:rsidR="004E13A5" w:rsidRDefault="00681463">
      <w:pPr>
        <w:pStyle w:val="BodyText"/>
        <w:tabs>
          <w:tab w:val="left" w:pos="460"/>
        </w:tabs>
        <w:spacing w:before="118"/>
      </w:pPr>
      <w:r>
        <w:rPr>
          <w:rFonts w:ascii="Symbol" w:hAnsi="Symbol"/>
        </w:rPr>
        <w:t></w:t>
      </w:r>
      <w:r>
        <w:tab/>
        <w:t>Not approving a request for tenancy or refusing to enter into a HAP</w:t>
      </w:r>
      <w:r>
        <w:rPr>
          <w:spacing w:val="-14"/>
        </w:rPr>
        <w:t xml:space="preserve"> </w:t>
      </w:r>
      <w:r>
        <w:t>contract</w:t>
      </w:r>
    </w:p>
    <w:p w:rsidR="004E13A5" w:rsidRDefault="00681463">
      <w:pPr>
        <w:pStyle w:val="BodyText"/>
        <w:tabs>
          <w:tab w:val="left" w:pos="460"/>
        </w:tabs>
        <w:spacing w:before="118"/>
      </w:pPr>
      <w:r>
        <w:rPr>
          <w:rFonts w:ascii="Symbol" w:hAnsi="Symbol"/>
        </w:rPr>
        <w:t></w:t>
      </w:r>
      <w:r>
        <w:tab/>
        <w:t>Refusing to process a request for or to provide assistance under portability</w:t>
      </w:r>
      <w:r>
        <w:rPr>
          <w:spacing w:val="-16"/>
        </w:rPr>
        <w:t xml:space="preserve"> </w:t>
      </w:r>
      <w:r>
        <w:t>procedures</w:t>
      </w:r>
    </w:p>
    <w:p w:rsidR="004E13A5" w:rsidRDefault="00681463">
      <w:pPr>
        <w:pStyle w:val="Heading4"/>
        <w:spacing w:before="118"/>
        <w:ind w:right="1660"/>
      </w:pPr>
      <w:r>
        <w:t>Prohibited Reasons for Denial of Program Assistance [24 CFR 982.202(b), 24 CFR 5.2005(b)]</w:t>
      </w:r>
    </w:p>
    <w:p w:rsidR="004E13A5" w:rsidRDefault="00681463">
      <w:pPr>
        <w:pStyle w:val="BodyText"/>
        <w:ind w:right="1375"/>
      </w:pPr>
      <w:r>
        <w:t>HUD rules prohibit denial of program assistance to the program based on any of the following criteria:</w:t>
      </w:r>
    </w:p>
    <w:p w:rsidR="004E13A5" w:rsidRDefault="00681463">
      <w:pPr>
        <w:pStyle w:val="BodyText"/>
        <w:tabs>
          <w:tab w:val="left" w:pos="460"/>
        </w:tabs>
        <w:ind w:left="460" w:right="616" w:hanging="360"/>
      </w:pPr>
      <w:r>
        <w:rPr>
          <w:rFonts w:ascii="Symbol" w:hAnsi="Symbol"/>
        </w:rPr>
        <w:t></w:t>
      </w:r>
      <w:r>
        <w:tab/>
        <w:t>Age, disability, race, color, religion, sex, or national origin (See Chapter 2</w:t>
      </w:r>
      <w:r>
        <w:rPr>
          <w:spacing w:val="-14"/>
        </w:rPr>
        <w:t xml:space="preserve"> </w:t>
      </w:r>
      <w:r>
        <w:t>for</w:t>
      </w:r>
      <w:r>
        <w:rPr>
          <w:spacing w:val="-4"/>
        </w:rPr>
        <w:t xml:space="preserve"> </w:t>
      </w:r>
      <w:r>
        <w:t>additional information about fair housing and equal opportunity</w:t>
      </w:r>
      <w:r>
        <w:rPr>
          <w:spacing w:val="-9"/>
        </w:rPr>
        <w:t xml:space="preserve"> </w:t>
      </w:r>
      <w:r>
        <w:t>requirements.)</w:t>
      </w:r>
    </w:p>
    <w:p w:rsidR="004E13A5" w:rsidRDefault="00681463">
      <w:pPr>
        <w:pStyle w:val="BodyText"/>
        <w:tabs>
          <w:tab w:val="left" w:pos="460"/>
        </w:tabs>
        <w:spacing w:before="120"/>
      </w:pPr>
      <w:r>
        <w:rPr>
          <w:rFonts w:ascii="Symbol" w:hAnsi="Symbol"/>
        </w:rPr>
        <w:t></w:t>
      </w:r>
      <w:r>
        <w:tab/>
        <w:t>Where a family lives prior to admission to the</w:t>
      </w:r>
      <w:r>
        <w:rPr>
          <w:spacing w:val="-10"/>
        </w:rPr>
        <w:t xml:space="preserve"> </w:t>
      </w:r>
      <w:r>
        <w:t>program</w:t>
      </w:r>
    </w:p>
    <w:p w:rsidR="004E13A5" w:rsidRDefault="00681463">
      <w:pPr>
        <w:pStyle w:val="BodyText"/>
        <w:spacing w:before="118"/>
        <w:ind w:left="460" w:right="575" w:hanging="360"/>
        <w:jc w:val="both"/>
      </w:pPr>
      <w:r>
        <w:rPr>
          <w:rFonts w:ascii="Symbol" w:hAnsi="Symbol"/>
        </w:rPr>
        <w:t></w:t>
      </w:r>
      <w:r>
        <w:t xml:space="preserve"> Where the family will live with assistance under the program. Although eligibility is not affected by where the family will live, there may be restrictions on the family’s ability</w:t>
      </w:r>
      <w:r>
        <w:rPr>
          <w:spacing w:val="-22"/>
        </w:rPr>
        <w:t xml:space="preserve"> </w:t>
      </w:r>
      <w:r>
        <w:t>to move outside the PHA’s jurisdiction under portability. (See Chapter</w:t>
      </w:r>
      <w:r>
        <w:rPr>
          <w:spacing w:val="-6"/>
        </w:rPr>
        <w:t xml:space="preserve"> </w:t>
      </w:r>
      <w:r>
        <w:t>10.)</w:t>
      </w:r>
    </w:p>
    <w:p w:rsidR="004E13A5" w:rsidRDefault="00681463">
      <w:pPr>
        <w:pStyle w:val="BodyText"/>
        <w:tabs>
          <w:tab w:val="left" w:pos="460"/>
        </w:tabs>
        <w:ind w:left="460" w:right="917" w:hanging="360"/>
      </w:pPr>
      <w:r>
        <w:rPr>
          <w:rFonts w:ascii="Symbol" w:hAnsi="Symbol"/>
        </w:rPr>
        <w:t></w:t>
      </w:r>
      <w:r>
        <w:tab/>
        <w:t>Whether members of the family are unwed parents, recipients of public</w:t>
      </w:r>
      <w:r>
        <w:rPr>
          <w:spacing w:val="-15"/>
        </w:rPr>
        <w:t xml:space="preserve"> </w:t>
      </w:r>
      <w:r>
        <w:t>assistance,</w:t>
      </w:r>
      <w:r>
        <w:rPr>
          <w:spacing w:val="-1"/>
        </w:rPr>
        <w:t xml:space="preserve"> </w:t>
      </w:r>
      <w:r>
        <w:t>or</w:t>
      </w:r>
      <w:r>
        <w:rPr>
          <w:w w:val="99"/>
        </w:rPr>
        <w:t xml:space="preserve"> </w:t>
      </w:r>
      <w:r>
        <w:t>children born out of</w:t>
      </w:r>
      <w:r>
        <w:rPr>
          <w:spacing w:val="-5"/>
        </w:rPr>
        <w:t xml:space="preserve"> </w:t>
      </w:r>
      <w:r>
        <w:t>wedlock</w:t>
      </w:r>
    </w:p>
    <w:p w:rsidR="004E13A5" w:rsidRDefault="00681463">
      <w:pPr>
        <w:pStyle w:val="BodyText"/>
        <w:tabs>
          <w:tab w:val="left" w:pos="460"/>
        </w:tabs>
      </w:pPr>
      <w:r>
        <w:rPr>
          <w:rFonts w:ascii="Symbol" w:hAnsi="Symbol"/>
        </w:rPr>
        <w:t></w:t>
      </w:r>
      <w:r>
        <w:tab/>
        <w:t>Whether the family includes</w:t>
      </w:r>
      <w:r>
        <w:rPr>
          <w:spacing w:val="-9"/>
        </w:rPr>
        <w:t xml:space="preserve"> </w:t>
      </w:r>
      <w:r>
        <w:t>children</w:t>
      </w:r>
    </w:p>
    <w:p w:rsidR="004E13A5" w:rsidRDefault="004E13A5">
      <w:pPr>
        <w:sectPr w:rsidR="004E13A5">
          <w:pgSz w:w="12240" w:h="15840"/>
          <w:pgMar w:top="1360" w:right="1340" w:bottom="640" w:left="1340" w:header="0" w:footer="381" w:gutter="0"/>
          <w:cols w:space="720"/>
        </w:sectPr>
      </w:pPr>
    </w:p>
    <w:p w:rsidR="004E13A5" w:rsidRDefault="00681463">
      <w:pPr>
        <w:pStyle w:val="BodyText"/>
        <w:tabs>
          <w:tab w:val="left" w:pos="460"/>
        </w:tabs>
        <w:spacing w:before="79"/>
      </w:pPr>
      <w:r>
        <w:rPr>
          <w:rFonts w:ascii="Symbol" w:hAnsi="Symbol"/>
        </w:rPr>
        <w:lastRenderedPageBreak/>
        <w:t></w:t>
      </w:r>
      <w:r>
        <w:tab/>
        <w:t>Whether a family decides to participate in a family self-sufficiency</w:t>
      </w:r>
      <w:r>
        <w:rPr>
          <w:spacing w:val="-10"/>
        </w:rPr>
        <w:t xml:space="preserve"> </w:t>
      </w:r>
      <w:r>
        <w:t>program</w:t>
      </w:r>
    </w:p>
    <w:p w:rsidR="004E13A5" w:rsidRDefault="00681463">
      <w:pPr>
        <w:pStyle w:val="BodyText"/>
        <w:tabs>
          <w:tab w:val="left" w:pos="460"/>
        </w:tabs>
        <w:spacing w:before="118"/>
        <w:ind w:left="460" w:right="1055" w:hanging="360"/>
      </w:pPr>
      <w:r>
        <w:rPr>
          <w:rFonts w:ascii="Symbol" w:hAnsi="Symbol"/>
        </w:rPr>
        <w:t></w:t>
      </w:r>
      <w:r>
        <w:tab/>
        <w:t>Whether or not a qualified applicant is or has been a victim of</w:t>
      </w:r>
      <w:r>
        <w:rPr>
          <w:spacing w:val="-12"/>
        </w:rPr>
        <w:t xml:space="preserve"> </w:t>
      </w:r>
      <w:r>
        <w:t>domestic</w:t>
      </w:r>
      <w:r>
        <w:rPr>
          <w:spacing w:val="-1"/>
        </w:rPr>
        <w:t xml:space="preserve"> </w:t>
      </w:r>
      <w:r>
        <w:t>violence, dating violence, sexual assault, or stalking if the applicant is otherwise qualified</w:t>
      </w:r>
      <w:r>
        <w:rPr>
          <w:spacing w:val="-13"/>
        </w:rPr>
        <w:t xml:space="preserve"> </w:t>
      </w:r>
      <w:r>
        <w:t>for assistance (See section</w:t>
      </w:r>
      <w:r>
        <w:rPr>
          <w:spacing w:val="-9"/>
        </w:rPr>
        <w:t xml:space="preserve"> </w:t>
      </w:r>
      <w:r>
        <w:t>3-III.G.)</w:t>
      </w:r>
    </w:p>
    <w:p w:rsidR="004E13A5" w:rsidRDefault="004E13A5">
      <w:pPr>
        <w:pStyle w:val="BodyText"/>
        <w:spacing w:before="9"/>
        <w:ind w:left="0"/>
        <w:rPr>
          <w:sz w:val="20"/>
        </w:rPr>
      </w:pPr>
    </w:p>
    <w:p w:rsidR="004E13A5" w:rsidRDefault="00681463">
      <w:pPr>
        <w:pStyle w:val="Heading4"/>
      </w:pPr>
      <w:r>
        <w:t>3-III.B. MANDATORY DENIAL OF ASSISTANCE [24 CFR 982.553(a)]</w:t>
      </w:r>
    </w:p>
    <w:p w:rsidR="004E13A5" w:rsidRDefault="00681463">
      <w:pPr>
        <w:pStyle w:val="BodyText"/>
      </w:pPr>
      <w:r>
        <w:t>HUD requires the PHA to deny assistance in the following cases:</w:t>
      </w:r>
    </w:p>
    <w:p w:rsidR="004E13A5" w:rsidRDefault="00681463">
      <w:pPr>
        <w:pStyle w:val="BodyText"/>
        <w:tabs>
          <w:tab w:val="left" w:pos="460"/>
        </w:tabs>
        <w:ind w:left="460" w:right="102" w:hanging="360"/>
      </w:pPr>
      <w:r>
        <w:rPr>
          <w:rFonts w:ascii="Symbol" w:hAnsi="Symbol"/>
        </w:rPr>
        <w:t></w:t>
      </w:r>
      <w:r>
        <w:tab/>
        <w:t>Any member of the household has been evicted from federally-assisted housing in the</w:t>
      </w:r>
      <w:r>
        <w:rPr>
          <w:spacing w:val="-12"/>
        </w:rPr>
        <w:t xml:space="preserve"> </w:t>
      </w:r>
      <w:r>
        <w:t>last</w:t>
      </w:r>
      <w:r>
        <w:rPr>
          <w:spacing w:val="-1"/>
        </w:rPr>
        <w:t xml:space="preserve"> </w:t>
      </w:r>
      <w:r>
        <w:t>3 years for drug-related criminal activity. HUD permits, but does not require, the PHA to</w:t>
      </w:r>
      <w:r>
        <w:rPr>
          <w:spacing w:val="-16"/>
        </w:rPr>
        <w:t xml:space="preserve"> </w:t>
      </w:r>
      <w:r>
        <w:t>admit an otherwise-eligible family if the household member has completed a PHA-approved drug rehabilitation program or the circumstances which led to eviction no longer exist (e.g., the person involved in the criminal activity no longer lives in the</w:t>
      </w:r>
      <w:r>
        <w:rPr>
          <w:spacing w:val="-11"/>
        </w:rPr>
        <w:t xml:space="preserve"> </w:t>
      </w:r>
      <w:r>
        <w:t>household).</w:t>
      </w:r>
    </w:p>
    <w:p w:rsidR="004E13A5" w:rsidRDefault="00681463">
      <w:pPr>
        <w:pStyle w:val="BodyText"/>
        <w:spacing w:before="120"/>
        <w:ind w:left="820"/>
      </w:pPr>
      <w:r>
        <w:rPr>
          <w:u w:val="single"/>
        </w:rPr>
        <w:t>PHA Policy</w:t>
      </w:r>
    </w:p>
    <w:p w:rsidR="004E13A5" w:rsidRDefault="00681463">
      <w:pPr>
        <w:pStyle w:val="BodyText"/>
        <w:ind w:left="820" w:right="149"/>
      </w:pPr>
      <w:r>
        <w:t>The PHA will admit an otherwise-eligible family who was evicted from federally- assisted housing within the past 3 years for drug-related criminal activity, if the PHA is able to verify that the household member who engaged in the criminal activity has completed a supervised drug rehabilitation program approved by the PHA, or the person who committed the crime, is no longer living in the household.</w:t>
      </w:r>
    </w:p>
    <w:p w:rsidR="004E13A5" w:rsidRDefault="00681463">
      <w:pPr>
        <w:pStyle w:val="BodyText"/>
        <w:tabs>
          <w:tab w:val="left" w:pos="460"/>
        </w:tabs>
        <w:ind w:left="460" w:right="431" w:hanging="360"/>
      </w:pPr>
      <w:r>
        <w:rPr>
          <w:rFonts w:ascii="Symbol" w:hAnsi="Symbol"/>
        </w:rPr>
        <w:t></w:t>
      </w:r>
      <w:r>
        <w:tab/>
        <w:t>The PHA determines that any household member is currently engaged in the use</w:t>
      </w:r>
      <w:r>
        <w:rPr>
          <w:spacing w:val="-18"/>
        </w:rPr>
        <w:t xml:space="preserve"> </w:t>
      </w:r>
      <w:r>
        <w:t>of</w:t>
      </w:r>
      <w:r>
        <w:rPr>
          <w:spacing w:val="-1"/>
        </w:rPr>
        <w:t xml:space="preserve"> </w:t>
      </w:r>
      <w:r>
        <w:t>illegal drugs.</w:t>
      </w:r>
    </w:p>
    <w:p w:rsidR="004E13A5" w:rsidRDefault="00681463">
      <w:pPr>
        <w:pStyle w:val="BodyText"/>
        <w:ind w:left="820"/>
      </w:pPr>
      <w:r>
        <w:rPr>
          <w:u w:val="single"/>
        </w:rPr>
        <w:t>PHA Policy</w:t>
      </w:r>
    </w:p>
    <w:p w:rsidR="004E13A5" w:rsidRDefault="00681463">
      <w:pPr>
        <w:spacing w:before="138"/>
        <w:ind w:left="820" w:right="62"/>
        <w:rPr>
          <w:sz w:val="24"/>
        </w:rPr>
      </w:pPr>
      <w:r>
        <w:rPr>
          <w:i/>
          <w:sz w:val="24"/>
        </w:rPr>
        <w:t>Currently engag</w:t>
      </w:r>
      <w:r>
        <w:rPr>
          <w:sz w:val="24"/>
        </w:rPr>
        <w:t>e</w:t>
      </w:r>
      <w:r>
        <w:rPr>
          <w:i/>
          <w:sz w:val="24"/>
        </w:rPr>
        <w:t xml:space="preserve">d in </w:t>
      </w:r>
      <w:r>
        <w:rPr>
          <w:sz w:val="24"/>
        </w:rPr>
        <w:t>is defined as any use of illegal drugs during the previous three months.</w:t>
      </w:r>
    </w:p>
    <w:p w:rsidR="004E13A5" w:rsidRDefault="00681463">
      <w:pPr>
        <w:pStyle w:val="BodyText"/>
        <w:tabs>
          <w:tab w:val="left" w:pos="460"/>
        </w:tabs>
        <w:spacing w:before="138"/>
        <w:ind w:left="460" w:right="149" w:hanging="360"/>
      </w:pPr>
      <w:r>
        <w:rPr>
          <w:rFonts w:ascii="Symbol" w:hAnsi="Symbol"/>
        </w:rPr>
        <w:t></w:t>
      </w:r>
      <w:r>
        <w:tab/>
        <w:t>The PHA has reasonable cause to believe that any household member's current use</w:t>
      </w:r>
      <w:r>
        <w:rPr>
          <w:spacing w:val="-15"/>
        </w:rPr>
        <w:t xml:space="preserve"> </w:t>
      </w:r>
      <w:r>
        <w:t>or</w:t>
      </w:r>
      <w:r>
        <w:rPr>
          <w:spacing w:val="-2"/>
        </w:rPr>
        <w:t xml:space="preserve"> </w:t>
      </w:r>
      <w:r>
        <w:t>pattern of use of illegal drugs, or current abuse or pattern of abuse of alcohol, may threaten the health, safety, or right to peaceful enjoyment of the premises by other</w:t>
      </w:r>
      <w:r>
        <w:rPr>
          <w:spacing w:val="-15"/>
        </w:rPr>
        <w:t xml:space="preserve"> </w:t>
      </w:r>
      <w:r>
        <w:t>residents.</w:t>
      </w:r>
    </w:p>
    <w:p w:rsidR="004E13A5" w:rsidRDefault="00681463">
      <w:pPr>
        <w:pStyle w:val="BodyText"/>
        <w:ind w:left="820"/>
      </w:pPr>
      <w:r>
        <w:rPr>
          <w:u w:val="single"/>
        </w:rPr>
        <w:t>PHA Policy</w:t>
      </w:r>
    </w:p>
    <w:p w:rsidR="004E13A5" w:rsidRDefault="00681463">
      <w:pPr>
        <w:pStyle w:val="BodyText"/>
        <w:ind w:left="820" w:right="129"/>
      </w:pPr>
      <w:r>
        <w:t>In determining reasonable cause, the PHA will consider all credible evidence, including but not limited to, any record of convictions, arrests, or evictions of household members related to the use of illegal drugs or the abuse of alcohol.. A record or records of arrest will not be used as the sole basis of determining reasonable cause. The PHA will also consider evidence from treatment providers or community-based organizations providing services to household members.</w:t>
      </w:r>
    </w:p>
    <w:p w:rsidR="004E13A5" w:rsidRDefault="00681463">
      <w:pPr>
        <w:pStyle w:val="BodyText"/>
        <w:tabs>
          <w:tab w:val="left" w:pos="460"/>
        </w:tabs>
        <w:spacing w:before="120"/>
        <w:ind w:left="460" w:right="588" w:hanging="360"/>
      </w:pPr>
      <w:r>
        <w:rPr>
          <w:rFonts w:ascii="Symbol" w:hAnsi="Symbol"/>
        </w:rPr>
        <w:t></w:t>
      </w:r>
      <w:r>
        <w:tab/>
        <w:t>Any household member has ever been convicted of drug-related criminal activity</w:t>
      </w:r>
      <w:r>
        <w:rPr>
          <w:spacing w:val="-11"/>
        </w:rPr>
        <w:t xml:space="preserve"> </w:t>
      </w:r>
      <w:r>
        <w:t>for</w:t>
      </w:r>
      <w:r>
        <w:rPr>
          <w:spacing w:val="-1"/>
        </w:rPr>
        <w:t xml:space="preserve"> </w:t>
      </w:r>
      <w:r>
        <w:t>the production or manufacture of methamphetamine on the premises of federally assisted housing</w:t>
      </w:r>
    </w:p>
    <w:p w:rsidR="004E13A5" w:rsidRDefault="00681463">
      <w:pPr>
        <w:pStyle w:val="BodyText"/>
        <w:tabs>
          <w:tab w:val="left" w:pos="460"/>
        </w:tabs>
        <w:ind w:left="460" w:right="570" w:hanging="360"/>
      </w:pPr>
      <w:r>
        <w:rPr>
          <w:rFonts w:ascii="Symbol" w:hAnsi="Symbol"/>
        </w:rPr>
        <w:t></w:t>
      </w:r>
      <w:r>
        <w:tab/>
        <w:t>Any household member is subject to a lifetime registration requirement under a</w:t>
      </w:r>
      <w:r>
        <w:rPr>
          <w:spacing w:val="-15"/>
        </w:rPr>
        <w:t xml:space="preserve"> </w:t>
      </w:r>
      <w:r>
        <w:t>state</w:t>
      </w:r>
      <w:r>
        <w:rPr>
          <w:spacing w:val="-2"/>
        </w:rPr>
        <w:t xml:space="preserve"> </w:t>
      </w:r>
      <w:r>
        <w:t>sex offender registration</w:t>
      </w:r>
      <w:r>
        <w:rPr>
          <w:spacing w:val="-10"/>
        </w:rPr>
        <w:t xml:space="preserve"> </w:t>
      </w:r>
      <w:r>
        <w:t>program</w:t>
      </w:r>
    </w:p>
    <w:p w:rsidR="00A60E7F" w:rsidRDefault="00A60E7F">
      <w:pPr>
        <w:pStyle w:val="BodyText"/>
        <w:tabs>
          <w:tab w:val="left" w:pos="460"/>
        </w:tabs>
        <w:ind w:left="460" w:right="570" w:hanging="360"/>
      </w:pPr>
    </w:p>
    <w:p w:rsidR="00A60E7F" w:rsidRDefault="00A60E7F">
      <w:pPr>
        <w:pStyle w:val="BodyText"/>
        <w:tabs>
          <w:tab w:val="left" w:pos="460"/>
        </w:tabs>
        <w:ind w:left="460" w:right="570" w:hanging="360"/>
      </w:pPr>
    </w:p>
    <w:p w:rsidR="00A60E7F" w:rsidRDefault="00A60E7F">
      <w:pPr>
        <w:pStyle w:val="BodyText"/>
        <w:tabs>
          <w:tab w:val="left" w:pos="460"/>
        </w:tabs>
        <w:ind w:left="460" w:right="570" w:hanging="360"/>
      </w:pPr>
    </w:p>
    <w:p w:rsidR="004E13A5" w:rsidRDefault="004E13A5"/>
    <w:p w:rsidR="00A60E7F" w:rsidRDefault="00A60E7F" w:rsidP="00A60E7F">
      <w:pPr>
        <w:spacing w:before="240"/>
        <w:rPr>
          <w:b/>
          <w:bCs/>
        </w:rPr>
      </w:pPr>
      <w:r w:rsidRPr="00A60E7F">
        <w:rPr>
          <w:b/>
          <w:bCs/>
        </w:rPr>
        <w:lastRenderedPageBreak/>
        <w:t>3-III.C. RESTRICTION ON ASSISTANCE BASED ON ASSETS [24 CFR 5.618]</w:t>
      </w:r>
    </w:p>
    <w:p w:rsidR="00A60E7F" w:rsidRPr="00A60E7F" w:rsidRDefault="00A60E7F" w:rsidP="00A60E7F">
      <w:pPr>
        <w:spacing w:before="240"/>
        <w:rPr>
          <w:b/>
          <w:bCs/>
        </w:rPr>
      </w:pPr>
    </w:p>
    <w:p w:rsidR="00A60E7F" w:rsidRPr="00A60E7F" w:rsidRDefault="00A60E7F" w:rsidP="00A60E7F">
      <w:r w:rsidRPr="00A60E7F">
        <w:t>Assistance may not be provided to any family if their net assets exceed $100,000 (adjusted annually); or the family has a present ownership interest in, a legal right to reside in, and the effective legal authority to sell real property that is suitable for occupancy by the family as a residence.</w:t>
      </w:r>
    </w:p>
    <w:p w:rsidR="00A60E7F" w:rsidRPr="00A60E7F" w:rsidRDefault="00A60E7F" w:rsidP="00A60E7F"/>
    <w:p w:rsidR="00A60E7F" w:rsidRPr="00A60E7F" w:rsidRDefault="00A60E7F" w:rsidP="00A60E7F">
      <w:r w:rsidRPr="00A60E7F">
        <w:t>For the restriction to apply, a property must be considered suitable for occupancy. The regulations state that one of the criteria for a property to be considered suitable for occupancy is that it must be sufficient for the size of the family, however, HUD does not define size parameters in the regulation.</w:t>
      </w:r>
    </w:p>
    <w:p w:rsidR="00A60E7F" w:rsidRPr="00A60E7F" w:rsidRDefault="00A60E7F"/>
    <w:p w:rsidR="00A60E7F" w:rsidRPr="00A60E7F" w:rsidRDefault="00A60E7F"/>
    <w:p w:rsidR="00A60E7F" w:rsidRPr="00A60E7F" w:rsidRDefault="00A60E7F" w:rsidP="00A60E7F">
      <w:pPr>
        <w:pStyle w:val="BodyText"/>
        <w:ind w:left="1440"/>
        <w:rPr>
          <w:sz w:val="22"/>
          <w:szCs w:val="22"/>
          <w:u w:val="single"/>
        </w:rPr>
      </w:pPr>
      <w:r w:rsidRPr="00A60E7F">
        <w:rPr>
          <w:sz w:val="22"/>
          <w:szCs w:val="22"/>
          <w:u w:val="single"/>
        </w:rPr>
        <w:t>PHA Policy</w:t>
      </w:r>
    </w:p>
    <w:p w:rsidR="00A60E7F" w:rsidRPr="00A60E7F" w:rsidRDefault="00A60E7F" w:rsidP="00A60E7F">
      <w:pPr>
        <w:pStyle w:val="BodyText"/>
        <w:ind w:left="1440"/>
        <w:rPr>
          <w:sz w:val="22"/>
          <w:szCs w:val="22"/>
        </w:rPr>
      </w:pPr>
    </w:p>
    <w:p w:rsidR="00A60E7F" w:rsidRPr="00A60E7F" w:rsidRDefault="00A60E7F" w:rsidP="00A60E7F">
      <w:pPr>
        <w:tabs>
          <w:tab w:val="left" w:pos="1800"/>
        </w:tabs>
        <w:ind w:left="1440"/>
      </w:pPr>
      <w:r w:rsidRPr="00A60E7F">
        <w:t xml:space="preserve">The PHA defines </w:t>
      </w:r>
      <w:r w:rsidRPr="00A60E7F">
        <w:rPr>
          <w:i/>
          <w:iCs/>
        </w:rPr>
        <w:t>not sufficient for the size of the family</w:t>
      </w:r>
      <w:r w:rsidRPr="00A60E7F">
        <w:t xml:space="preserve"> as being overcrowded based on space standards in Chapter 8 of this policy.</w:t>
      </w:r>
    </w:p>
    <w:p w:rsidR="00A60E7F" w:rsidRDefault="00A60E7F">
      <w:pPr>
        <w:sectPr w:rsidR="00A60E7F">
          <w:pgSz w:w="12240" w:h="15840"/>
          <w:pgMar w:top="1360" w:right="1360" w:bottom="640" w:left="1340" w:header="0" w:footer="381" w:gutter="0"/>
          <w:cols w:space="720"/>
        </w:sectPr>
      </w:pPr>
    </w:p>
    <w:p w:rsidR="004E13A5" w:rsidRDefault="00681463">
      <w:pPr>
        <w:pStyle w:val="Heading4"/>
        <w:spacing w:before="79"/>
      </w:pPr>
      <w:r>
        <w:lastRenderedPageBreak/>
        <w:t>3-III.</w:t>
      </w:r>
      <w:r w:rsidR="00A60E7F">
        <w:t>D</w:t>
      </w:r>
      <w:r>
        <w:t>. OTHER PERMITTED REASONS FOR DENIAL OF ASSISTANCE</w:t>
      </w:r>
    </w:p>
    <w:p w:rsidR="004E13A5" w:rsidRDefault="00681463">
      <w:pPr>
        <w:pStyle w:val="BodyText"/>
        <w:ind w:right="254"/>
      </w:pPr>
      <w:r>
        <w:t>HUD permits, but does not require, the PHA to deny assistance for the reasons discussed in this section.</w:t>
      </w:r>
    </w:p>
    <w:p w:rsidR="004E13A5" w:rsidRDefault="00681463">
      <w:pPr>
        <w:pStyle w:val="Heading4"/>
        <w:spacing w:before="119"/>
      </w:pPr>
      <w:r>
        <w:t>Criminal Activity [24 CFR 982.553]</w:t>
      </w:r>
    </w:p>
    <w:p w:rsidR="004E13A5" w:rsidRDefault="00681463">
      <w:pPr>
        <w:pStyle w:val="BodyText"/>
      </w:pPr>
      <w:r>
        <w:t>HUD permits, but does not require, the PHA to deny assistance if the PHA determines that any household member is currently engaged in, or has engaged in during a reasonable time before the family would receive assistance, certain types of criminal activity.</w:t>
      </w:r>
    </w:p>
    <w:p w:rsidR="004E13A5" w:rsidRDefault="00681463">
      <w:pPr>
        <w:pStyle w:val="BodyText"/>
        <w:ind w:left="820"/>
      </w:pPr>
      <w:r>
        <w:rPr>
          <w:u w:val="single"/>
        </w:rPr>
        <w:t>PHA Policy</w:t>
      </w:r>
    </w:p>
    <w:p w:rsidR="004E13A5" w:rsidRDefault="00681463">
      <w:pPr>
        <w:pStyle w:val="BodyText"/>
        <w:ind w:left="820"/>
      </w:pPr>
      <w:r>
        <w:t>If any household member is currently engaged in, or has engaged in any of the following criminal activities, within the past three years, the family will be denied assistance.</w:t>
      </w:r>
    </w:p>
    <w:p w:rsidR="004E13A5" w:rsidRDefault="00681463">
      <w:pPr>
        <w:pStyle w:val="BodyText"/>
        <w:spacing w:before="120"/>
        <w:ind w:left="820"/>
      </w:pPr>
      <w:r>
        <w:rPr>
          <w:i/>
        </w:rPr>
        <w:t>Drug-related criminal activity</w:t>
      </w:r>
      <w:r>
        <w:t>, defined by HUD as the illegal manufacture, sale, distribution, or use of a drug, or the possession of a drug with intent to manufacture, sell, distribute or use the drug [24 CFR 5.100].</w:t>
      </w:r>
    </w:p>
    <w:p w:rsidR="004E13A5" w:rsidRDefault="00681463">
      <w:pPr>
        <w:pStyle w:val="BodyText"/>
        <w:spacing w:before="120"/>
        <w:ind w:left="820"/>
      </w:pPr>
      <w:r>
        <w:rPr>
          <w:i/>
        </w:rPr>
        <w:t>Violent criminal activity</w:t>
      </w:r>
      <w:r>
        <w:t>, defined by HUD as any criminal activity that has as one of its elements the use, attempted use, or threatened use of physical force substantial enough to cause, or be reasonably likely to cause, serious bodily injury or property damage [24 CFR 5.100].</w:t>
      </w:r>
    </w:p>
    <w:p w:rsidR="004E13A5" w:rsidRDefault="00681463">
      <w:pPr>
        <w:pStyle w:val="BodyText"/>
        <w:spacing w:before="120"/>
        <w:ind w:left="820" w:right="262"/>
      </w:pPr>
      <w:r>
        <w:t>Criminal activity that may threaten the health, safety, or right to peaceful enjoyment of the premises by other residents or persons residing in the immediate vicinity; or</w:t>
      </w:r>
    </w:p>
    <w:p w:rsidR="004E13A5" w:rsidRDefault="00681463">
      <w:pPr>
        <w:pStyle w:val="BodyText"/>
        <w:spacing w:before="120"/>
        <w:ind w:left="820" w:right="149"/>
      </w:pPr>
      <w:r>
        <w:t>Criminal activity that may threaten the health or safety of property owners, management staff, and persons performing contract administration functions or other responsibilities on behalf of the PHA (including a PHA employee or a PHA contractor, subcontractor, or agent).</w:t>
      </w:r>
    </w:p>
    <w:p w:rsidR="004E13A5" w:rsidRDefault="00681463">
      <w:pPr>
        <w:pStyle w:val="BodyText"/>
        <w:spacing w:before="120" w:line="343" w:lineRule="auto"/>
        <w:ind w:left="820" w:right="2042"/>
      </w:pPr>
      <w:r>
        <w:rPr>
          <w:i/>
        </w:rPr>
        <w:t xml:space="preserve">Immediate vicinity </w:t>
      </w:r>
      <w:r>
        <w:t>means within a three-block radius of the premises. Evidence of such criminal activity includes, but is not limited to:</w:t>
      </w:r>
    </w:p>
    <w:p w:rsidR="004E13A5" w:rsidRDefault="00681463">
      <w:pPr>
        <w:pStyle w:val="BodyText"/>
        <w:spacing w:before="5"/>
        <w:ind w:left="1540" w:right="661"/>
      </w:pPr>
      <w:r>
        <w:t>Any conviction for drug-related or violent criminal activity within the past 3 years.</w:t>
      </w:r>
    </w:p>
    <w:p w:rsidR="004E13A5" w:rsidRDefault="00681463">
      <w:pPr>
        <w:pStyle w:val="BodyText"/>
        <w:ind w:left="1540" w:right="375"/>
      </w:pPr>
      <w:r>
        <w:t>Records of arrests for drug-related or violent criminal activity within the past 3 years, although a record or records of arrest(s) will not be used as the sole basis for the denial or proof that the applicant engaged in disqualifying criminal activity.</w:t>
      </w:r>
    </w:p>
    <w:p w:rsidR="004E13A5" w:rsidRDefault="00681463">
      <w:pPr>
        <w:pStyle w:val="BodyText"/>
        <w:ind w:left="820" w:right="248"/>
      </w:pPr>
      <w:r>
        <w:t>In making its decision to deny assistance, the PHA will consider the factors discussed in Section 3-III.E. Upon consideration of such factors, the PHA may, on a case-by-case basis, decide not to deny assistance.</w:t>
      </w:r>
    </w:p>
    <w:p w:rsidR="004E13A5" w:rsidRDefault="00681463">
      <w:pPr>
        <w:pStyle w:val="Heading4"/>
        <w:spacing w:before="119"/>
      </w:pPr>
      <w:r>
        <w:t>Previous Behavior in Assisted Housing [24 CFR 982.552(c)]</w:t>
      </w:r>
    </w:p>
    <w:p w:rsidR="004E13A5" w:rsidRDefault="00681463">
      <w:pPr>
        <w:pStyle w:val="BodyText"/>
        <w:ind w:right="228"/>
      </w:pPr>
      <w:r>
        <w:t>HUD authorizes the PHA to deny assistance based on the family’s previous behavior in assisted housing.</w:t>
      </w:r>
    </w:p>
    <w:p w:rsidR="004E13A5" w:rsidRDefault="00681463">
      <w:pPr>
        <w:pStyle w:val="BodyText"/>
        <w:spacing w:before="138"/>
        <w:ind w:right="262"/>
      </w:pPr>
      <w:r>
        <w:t>PHAs are not permitted to deny assistance to a family because the family previously failed to meet its obligations under the Family Self-Sufficiency (FSS) program [24 CFR 984.101(d)].</w:t>
      </w:r>
    </w:p>
    <w:p w:rsidR="004E13A5" w:rsidRDefault="00681463">
      <w:pPr>
        <w:pStyle w:val="BodyText"/>
        <w:spacing w:before="138"/>
        <w:ind w:left="820"/>
      </w:pPr>
      <w:r>
        <w:rPr>
          <w:u w:val="single"/>
        </w:rPr>
        <w:t>PHA Policy</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440"/>
      </w:pPr>
      <w:r>
        <w:lastRenderedPageBreak/>
        <w:t xml:space="preserve">The PHA </w:t>
      </w:r>
      <w:r>
        <w:rPr>
          <w:b/>
        </w:rPr>
        <w:t xml:space="preserve">will </w:t>
      </w:r>
      <w:r>
        <w:t>deny assistance to an applicant family if:</w:t>
      </w:r>
    </w:p>
    <w:p w:rsidR="004E13A5" w:rsidRDefault="00681463">
      <w:pPr>
        <w:pStyle w:val="BodyText"/>
        <w:ind w:left="1160" w:right="621"/>
      </w:pPr>
      <w:r>
        <w:t>The family does not provide information that the PHA or HUD determines is necessary in the administration of the program.</w:t>
      </w:r>
    </w:p>
    <w:p w:rsidR="004E13A5" w:rsidRDefault="00681463">
      <w:pPr>
        <w:pStyle w:val="BodyText"/>
        <w:ind w:left="1160"/>
      </w:pPr>
      <w:r>
        <w:t>The family does not provide complete and true information to the PHA.</w:t>
      </w:r>
    </w:p>
    <w:p w:rsidR="004E13A5" w:rsidRDefault="00681463">
      <w:pPr>
        <w:pStyle w:val="BodyText"/>
        <w:ind w:left="1160" w:right="168"/>
      </w:pPr>
      <w:r>
        <w:t>Any family member has been evicted from federally-assisted housing in the last 3 years.</w:t>
      </w:r>
    </w:p>
    <w:p w:rsidR="004E13A5" w:rsidRDefault="00681463">
      <w:pPr>
        <w:pStyle w:val="BodyText"/>
        <w:ind w:left="1160" w:right="621"/>
      </w:pPr>
      <w:r>
        <w:t>Any family member has committed fraud, bribery, or any other corrupt or criminal act in connection with any federal housing program.</w:t>
      </w:r>
    </w:p>
    <w:p w:rsidR="004E13A5" w:rsidRDefault="00681463">
      <w:pPr>
        <w:pStyle w:val="BodyText"/>
        <w:ind w:left="1160" w:right="288"/>
      </w:pPr>
      <w:r>
        <w:t>The family owes rent or other amounts to any PHA in connection with Section 8 or other public housing assistance under the 1937 Act, unless the family repays the full amount of the debt prior to being selected from the waiting list.</w:t>
      </w:r>
    </w:p>
    <w:p w:rsidR="004E13A5" w:rsidRDefault="00681463">
      <w:pPr>
        <w:pStyle w:val="BodyText"/>
        <w:spacing w:before="120"/>
        <w:ind w:left="1160" w:right="168"/>
      </w:pPr>
      <w:r>
        <w:t>If the family has not reimbursed any PHA for amounts the PHA paid to an owner under a HAP contract for rent, damages to the unit, or other amounts owed by the family under the lease, unless the family repays the full amount of the debt prior to being selected from the waiting list.</w:t>
      </w:r>
    </w:p>
    <w:p w:rsidR="004E13A5" w:rsidRDefault="00681463">
      <w:pPr>
        <w:pStyle w:val="BodyText"/>
        <w:spacing w:before="120"/>
        <w:ind w:left="1160" w:right="109"/>
      </w:pPr>
      <w:r>
        <w:t>The family has breached the terms of a repayment agreement entered into with the PHA, unless the family repays the full amount of the debt covered in the repayment agreement prior to being selected from the waiting list.</w:t>
      </w:r>
    </w:p>
    <w:p w:rsidR="004E13A5" w:rsidRDefault="00681463">
      <w:pPr>
        <w:pStyle w:val="BodyText"/>
        <w:spacing w:before="139"/>
        <w:ind w:left="1880" w:right="168"/>
      </w:pPr>
      <w:r>
        <w:t>When denying admission due to family debts as shown in HUD’s EIV system, the PHA will provide the family with a copy of the EIV Debt Owed to PHA and Termination report.</w:t>
      </w:r>
    </w:p>
    <w:p w:rsidR="004E13A5" w:rsidRDefault="00681463">
      <w:pPr>
        <w:pStyle w:val="BodyText"/>
        <w:spacing w:before="139"/>
        <w:ind w:left="1880" w:right="121"/>
      </w:pPr>
      <w:r>
        <w:t>If the family wishes to dispute the information in the report, the family must contact the PHA that entered the information in EIV in writing, explaining why EIV information is disputed. The family must also provide a copy of the letter and all applicable verification to the PHA to support the family’s claim. The PHA will consider the information provided by</w:t>
      </w:r>
      <w:r>
        <w:rPr>
          <w:spacing w:val="-12"/>
        </w:rPr>
        <w:t xml:space="preserve"> </w:t>
      </w:r>
      <w:r>
        <w:t>the family prior to issuing a notice of</w:t>
      </w:r>
      <w:r>
        <w:rPr>
          <w:spacing w:val="-11"/>
        </w:rPr>
        <w:t xml:space="preserve"> </w:t>
      </w:r>
      <w:r>
        <w:t>denial.</w:t>
      </w:r>
    </w:p>
    <w:p w:rsidR="004E13A5" w:rsidRDefault="004E13A5">
      <w:pPr>
        <w:pStyle w:val="BodyText"/>
        <w:spacing w:before="0"/>
        <w:ind w:left="0"/>
        <w:rPr>
          <w:sz w:val="26"/>
        </w:rPr>
      </w:pPr>
    </w:p>
    <w:p w:rsidR="004E13A5" w:rsidRDefault="004E13A5">
      <w:pPr>
        <w:pStyle w:val="BodyText"/>
        <w:spacing w:before="8"/>
        <w:ind w:left="0"/>
        <w:rPr>
          <w:sz w:val="20"/>
        </w:rPr>
      </w:pPr>
    </w:p>
    <w:p w:rsidR="004E13A5" w:rsidRDefault="00681463">
      <w:pPr>
        <w:pStyle w:val="BodyText"/>
        <w:spacing w:before="0"/>
        <w:ind w:left="1160" w:right="102"/>
      </w:pPr>
      <w:r>
        <w:t>A family member has engaged in or threatened violent or abusive behavior toward PHA personnel.</w:t>
      </w:r>
    </w:p>
    <w:p w:rsidR="004E13A5" w:rsidRDefault="00681463">
      <w:pPr>
        <w:pStyle w:val="BodyText"/>
        <w:ind w:left="1880" w:right="494"/>
      </w:pPr>
      <w:r>
        <w:rPr>
          <w:i/>
        </w:rPr>
        <w:t xml:space="preserve">Abusive or violent behavior towards PHA personnel </w:t>
      </w:r>
      <w:r>
        <w:t>includes verbal as well as physical abuse or violence. Use of racial epithets, or other language, written or oral, that is customarily used to intimidate may be considered abusive or violent behavior.</w:t>
      </w:r>
    </w:p>
    <w:p w:rsidR="004E13A5" w:rsidRDefault="00681463">
      <w:pPr>
        <w:pStyle w:val="BodyText"/>
        <w:ind w:left="1880" w:right="755"/>
      </w:pPr>
      <w:r>
        <w:rPr>
          <w:i/>
        </w:rPr>
        <w:t xml:space="preserve">Threatening </w:t>
      </w:r>
      <w:r>
        <w:t>refers to oral or written threats or physical gestures that communicate intent to abuse or commit violence.</w:t>
      </w:r>
    </w:p>
    <w:p w:rsidR="004E13A5" w:rsidRDefault="00681463">
      <w:pPr>
        <w:pStyle w:val="BodyText"/>
        <w:ind w:left="440" w:right="268"/>
      </w:pPr>
      <w:r>
        <w:t>In making its decision to deny assistance, the PHA will consider the factors discussed in Section 3-III.E. Upon consideration of such factors, the PHA may, on a case-by-case basis, decide not to deny assistance.</w:t>
      </w:r>
    </w:p>
    <w:p w:rsidR="004E13A5" w:rsidRDefault="004E13A5">
      <w:pPr>
        <w:sectPr w:rsidR="004E13A5">
          <w:pgSz w:w="12240" w:h="15840"/>
          <w:pgMar w:top="1360" w:right="1320" w:bottom="640" w:left="1720" w:header="0" w:footer="381" w:gutter="0"/>
          <w:cols w:space="720"/>
        </w:sectPr>
      </w:pPr>
    </w:p>
    <w:p w:rsidR="004E13A5" w:rsidRDefault="00681463">
      <w:pPr>
        <w:pStyle w:val="Heading4"/>
        <w:spacing w:before="79"/>
      </w:pPr>
      <w:r>
        <w:lastRenderedPageBreak/>
        <w:t>3-III.</w:t>
      </w:r>
      <w:r w:rsidR="00A60E7F">
        <w:t>E</w:t>
      </w:r>
      <w:r>
        <w:t>. SCREENING</w:t>
      </w:r>
    </w:p>
    <w:p w:rsidR="004E13A5" w:rsidRDefault="00681463">
      <w:pPr>
        <w:spacing w:before="119"/>
        <w:ind w:left="100"/>
        <w:rPr>
          <w:b/>
          <w:sz w:val="24"/>
        </w:rPr>
      </w:pPr>
      <w:r>
        <w:rPr>
          <w:b/>
          <w:sz w:val="24"/>
        </w:rPr>
        <w:t>Screening for Eligibility</w:t>
      </w:r>
    </w:p>
    <w:p w:rsidR="004E13A5" w:rsidRDefault="00681463">
      <w:pPr>
        <w:pStyle w:val="BodyText"/>
        <w:ind w:right="103"/>
      </w:pPr>
      <w:r>
        <w:t>PHAs are authorized to obtain criminal conviction records from law enforcement agencies to screen applicants for admission to the HCV program. This authority assists the PHA in complying with HUD requirements and PHA policies to deny assistance to applicants who are engaging in or have engaged in certain criminal activities. In order to obtain access to the records the PHA must require every applicant family to submit a consent form signed by each adult household member [24 CFR 5.903].</w:t>
      </w:r>
    </w:p>
    <w:p w:rsidR="004E13A5" w:rsidRDefault="00681463">
      <w:pPr>
        <w:pStyle w:val="BodyText"/>
        <w:ind w:left="820"/>
      </w:pPr>
      <w:r>
        <w:rPr>
          <w:u w:val="single"/>
        </w:rPr>
        <w:t>PHA Policy</w:t>
      </w:r>
    </w:p>
    <w:p w:rsidR="004E13A5" w:rsidRDefault="00681463">
      <w:pPr>
        <w:pStyle w:val="BodyText"/>
        <w:ind w:left="820" w:right="136"/>
      </w:pPr>
      <w:r>
        <w:t>The PHA will perform a criminal background check through the Online Rental Exchange database for every adult household member.</w:t>
      </w:r>
    </w:p>
    <w:p w:rsidR="004E13A5" w:rsidRDefault="00681463">
      <w:pPr>
        <w:pStyle w:val="BodyText"/>
        <w:spacing w:before="120"/>
        <w:ind w:left="820"/>
      </w:pPr>
      <w:r>
        <w:t>If the results of the criminal background check indicate that there may be past criminal activity, but the results are inconclusive, the PHA will request a fingerprint card and will request information from the National Crime Information center (NCIC).</w:t>
      </w:r>
    </w:p>
    <w:p w:rsidR="004E13A5" w:rsidRDefault="00681463">
      <w:pPr>
        <w:pStyle w:val="BodyText"/>
        <w:spacing w:before="120"/>
        <w:ind w:right="262"/>
      </w:pPr>
      <w:r>
        <w:t>While a PHA has regulatory authority to use criminal conviction records for the purpose of applicant screening for admission, there is no corresponding authority to use these records to check for criminal and illegal drug activity by participants, and therefore, PHAs may not use records for this purpose.</w:t>
      </w:r>
    </w:p>
    <w:p w:rsidR="004E13A5" w:rsidRDefault="00681463">
      <w:pPr>
        <w:pStyle w:val="BodyText"/>
        <w:spacing w:before="120"/>
        <w:ind w:right="116"/>
      </w:pPr>
      <w:r>
        <w:t>PHAs are required to perform criminal background checks necessary to determine whether any household member is subject to a lifetime registration requirement under a state sex offender program in the state where the housing is located, as well as in any other state where a household member is known to have resided [24 CFR 982.553(a)(2)(i)].</w:t>
      </w:r>
    </w:p>
    <w:p w:rsidR="004E13A5" w:rsidRDefault="00681463">
      <w:pPr>
        <w:pStyle w:val="BodyText"/>
        <w:spacing w:before="120"/>
        <w:ind w:left="820"/>
      </w:pPr>
      <w:r>
        <w:rPr>
          <w:u w:val="single"/>
        </w:rPr>
        <w:t>PHA Policy</w:t>
      </w:r>
    </w:p>
    <w:p w:rsidR="004E13A5" w:rsidRDefault="00681463">
      <w:pPr>
        <w:pStyle w:val="BodyText"/>
        <w:ind w:left="820" w:right="515"/>
      </w:pPr>
      <w:r>
        <w:t>The PHA will use Online Rental Exchange database and the Dru Sjodin National Sex Offender database to screen applicants for admission.</w:t>
      </w:r>
    </w:p>
    <w:p w:rsidR="004E13A5" w:rsidRDefault="00681463">
      <w:pPr>
        <w:pStyle w:val="BodyText"/>
      </w:pPr>
      <w:r>
        <w:t>Additionally, PHAs must ask whether the applicant, or any member of the applicant’s household, is subject to a lifetime registered sex offender registration requirement in any state [Notice</w:t>
      </w:r>
    </w:p>
    <w:p w:rsidR="004E13A5" w:rsidRDefault="00681463">
      <w:pPr>
        <w:pStyle w:val="BodyText"/>
        <w:spacing w:before="0"/>
      </w:pPr>
      <w:r>
        <w:t>PIH 2012-28].</w:t>
      </w:r>
    </w:p>
    <w:p w:rsidR="004E13A5" w:rsidRDefault="00681463">
      <w:pPr>
        <w:pStyle w:val="BodyText"/>
        <w:spacing w:before="120"/>
        <w:ind w:right="475"/>
        <w:jc w:val="both"/>
      </w:pPr>
      <w:r>
        <w:t>If the PHA proposes to deny assistance based on a criminal record or on lifetime sex offender registration information, the PHA must notify the household of the proposed action and must provide the subject of the record and the applicant a copy of the record and an opportunity to dispute the accuracy and relevance of the information prior to a denial of admission. [24 CFR 5.903(f) and 5.905(d)].</w:t>
      </w:r>
    </w:p>
    <w:p w:rsidR="004E13A5" w:rsidRDefault="00681463">
      <w:pPr>
        <w:pStyle w:val="Heading4"/>
        <w:spacing w:before="120"/>
      </w:pPr>
      <w:r>
        <w:t>Screening for Suitability as a Tenant [24 CFR 982.307]</w:t>
      </w:r>
    </w:p>
    <w:p w:rsidR="004E13A5" w:rsidRDefault="00681463">
      <w:pPr>
        <w:pStyle w:val="BodyText"/>
        <w:ind w:right="81"/>
      </w:pPr>
      <w:r>
        <w:t>The PHA has no liability or responsibility to the owner for the family’s behavior or suitability for tenancy. The PHA has the authority to conduct additional screening to determine whether an applicant is likely to be a suitable tenant.</w:t>
      </w:r>
    </w:p>
    <w:p w:rsidR="004E13A5" w:rsidRDefault="00681463">
      <w:pPr>
        <w:pStyle w:val="BodyText"/>
        <w:ind w:left="820"/>
      </w:pPr>
      <w:r>
        <w:rPr>
          <w:u w:val="single"/>
        </w:rPr>
        <w:t>PHA Policy</w:t>
      </w:r>
    </w:p>
    <w:p w:rsidR="004E13A5" w:rsidRDefault="00681463">
      <w:pPr>
        <w:pStyle w:val="BodyText"/>
        <w:ind w:left="820" w:right="262"/>
      </w:pPr>
      <w:r>
        <w:t>The PHA will not conduct additional screening to determine an applicant family’s suitability for tenancy.</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right="95"/>
      </w:pPr>
      <w:r>
        <w:lastRenderedPageBreak/>
        <w:t>The owner is responsible for screening and selection of the family to occupy the owner’s unit. The PHA must inform the owner that screening and selection for tenancy is the responsibility of the owner. An owner may consider a family’s history with respect to factors such as: payment of rent and utilities, caring for a unit and premises, respecting the rights of other residents to the peaceful enjoyment of their housing, criminal activity that is a threat to the health, safety or property of others, and compliance with other essential conditions of tenancy.</w:t>
      </w:r>
    </w:p>
    <w:p w:rsidR="004E13A5" w:rsidRDefault="00681463">
      <w:pPr>
        <w:pStyle w:val="BodyText"/>
        <w:ind w:right="95"/>
      </w:pPr>
      <w:r>
        <w:t>HUD requires the PHA to provide prospective owners with the family's current and prior address (as shown in PHA records) and the name and address (if known) of the owner at the family's current and prior addresses. HUD permits the PHA to provide owners with additional information, as long as families are notified that the information will be provided, and the same type of information is provided to all owners.</w:t>
      </w:r>
    </w:p>
    <w:p w:rsidR="004E13A5" w:rsidRDefault="00681463">
      <w:pPr>
        <w:pStyle w:val="BodyText"/>
        <w:ind w:right="56"/>
      </w:pPr>
      <w:r>
        <w:t>The PHA may not disclose to the owner any confidential information provided to the PHA by the family in response to a PHA request for documentation of domestic violence, dating violence, sexual assault, or stalking except at the written request or with the written consent of the individual providing the documentation</w:t>
      </w:r>
    </w:p>
    <w:p w:rsidR="004E13A5" w:rsidRDefault="00681463">
      <w:pPr>
        <w:pStyle w:val="BodyText"/>
        <w:spacing w:before="0"/>
      </w:pPr>
      <w:r>
        <w:t>[24 CFR 5.2007(a)(4)].</w:t>
      </w:r>
    </w:p>
    <w:p w:rsidR="004E13A5" w:rsidRDefault="00681463">
      <w:pPr>
        <w:pStyle w:val="BodyText"/>
        <w:spacing w:before="120"/>
        <w:ind w:left="820"/>
        <w:jc w:val="both"/>
      </w:pPr>
      <w:r>
        <w:rPr>
          <w:u w:val="single"/>
        </w:rPr>
        <w:t>PHA Policy</w:t>
      </w:r>
    </w:p>
    <w:p w:rsidR="004E13A5" w:rsidRDefault="00681463">
      <w:pPr>
        <w:pStyle w:val="BodyText"/>
        <w:spacing w:before="138"/>
        <w:ind w:left="676" w:right="199"/>
      </w:pPr>
      <w:r>
        <w:t xml:space="preserve">The PHA will inform owners of their responsibility to screen prospective tenants, and will provide owners with the required address information, at the time of the initial </w:t>
      </w:r>
      <w:r w:rsidR="002C4221">
        <w:t>NSPIRE</w:t>
      </w:r>
      <w:r>
        <w:t xml:space="preserve"> inspection or before. The PHA will not provide any additional information to the owner, such as tenancy history, criminal history, etc.</w:t>
      </w:r>
    </w:p>
    <w:p w:rsidR="004E13A5" w:rsidRDefault="004E13A5">
      <w:pPr>
        <w:pStyle w:val="BodyText"/>
        <w:spacing w:before="9"/>
        <w:ind w:left="0"/>
        <w:rPr>
          <w:sz w:val="20"/>
        </w:rPr>
      </w:pPr>
    </w:p>
    <w:p w:rsidR="004E13A5" w:rsidRDefault="00681463">
      <w:pPr>
        <w:pStyle w:val="Heading4"/>
      </w:pPr>
      <w:r>
        <w:t>3-III.</w:t>
      </w:r>
      <w:r w:rsidR="00A60E7F">
        <w:t>F</w:t>
      </w:r>
      <w:r>
        <w:t>. CRITERIA FOR DECIDING TO DENY ASSISTANCE</w:t>
      </w:r>
    </w:p>
    <w:p w:rsidR="004E13A5" w:rsidRDefault="00681463">
      <w:pPr>
        <w:spacing w:before="120"/>
        <w:ind w:left="100"/>
        <w:rPr>
          <w:b/>
          <w:sz w:val="24"/>
        </w:rPr>
      </w:pPr>
      <w:r>
        <w:rPr>
          <w:b/>
          <w:sz w:val="24"/>
        </w:rPr>
        <w:t>Evidence [24 CFR 982.553(c)]</w:t>
      </w:r>
    </w:p>
    <w:p w:rsidR="004E13A5" w:rsidRDefault="00681463">
      <w:pPr>
        <w:pStyle w:val="BodyText"/>
        <w:spacing w:before="120"/>
        <w:ind w:left="820"/>
        <w:jc w:val="both"/>
      </w:pPr>
      <w:r>
        <w:rPr>
          <w:u w:val="single"/>
        </w:rPr>
        <w:t>PHA Policy</w:t>
      </w:r>
    </w:p>
    <w:p w:rsidR="004E13A5" w:rsidRDefault="00681463">
      <w:pPr>
        <w:pStyle w:val="BodyText"/>
        <w:spacing w:before="120"/>
        <w:ind w:left="820" w:right="396"/>
      </w:pPr>
      <w:r>
        <w:t>The PHA will use the concept of the preponderance of the evidence as the standard for making all admission decisions.</w:t>
      </w:r>
    </w:p>
    <w:p w:rsidR="004E13A5" w:rsidRDefault="00681463">
      <w:pPr>
        <w:pStyle w:val="BodyText"/>
        <w:spacing w:before="120"/>
        <w:ind w:left="820" w:right="208"/>
        <w:jc w:val="both"/>
      </w:pPr>
      <w:r>
        <w:rPr>
          <w:i/>
        </w:rPr>
        <w:t xml:space="preserve">Preponderance of the evidence </w:t>
      </w:r>
      <w:r>
        <w:t>is defined as evidence which is of greater weight or more convincing than the evidence which is offered in opposition to it; that is, evidence which as a whole shows that the fact sought to be proved is more probable than not.</w:t>
      </w:r>
    </w:p>
    <w:p w:rsidR="004E13A5" w:rsidRDefault="00681463">
      <w:pPr>
        <w:pStyle w:val="BodyText"/>
        <w:spacing w:before="0"/>
        <w:ind w:left="820" w:right="89"/>
      </w:pPr>
      <w:r>
        <w:t>Preponderance of the evidence may not be determined by the number of witnesses, but by the greater weight of all evidence.</w:t>
      </w:r>
    </w:p>
    <w:p w:rsidR="004E13A5" w:rsidRDefault="00681463">
      <w:pPr>
        <w:pStyle w:val="Heading4"/>
        <w:spacing w:before="120"/>
      </w:pPr>
      <w:r>
        <w:t>Consideration of Circumstances [24 CFR 982.552(c)(2)]</w:t>
      </w:r>
    </w:p>
    <w:p w:rsidR="004E13A5" w:rsidRDefault="00681463">
      <w:pPr>
        <w:pStyle w:val="BodyText"/>
        <w:spacing w:before="120"/>
        <w:ind w:right="215"/>
        <w:jc w:val="both"/>
      </w:pPr>
      <w:r>
        <w:t>HUD authorizes the PHA to consider all relevant circumstances when deciding whether to deny assistance based on a family’s past history except in the situations for which denial of assistance is mandatory (see Section 3-III.B).</w:t>
      </w:r>
    </w:p>
    <w:p w:rsidR="004E13A5" w:rsidRDefault="00681463">
      <w:pPr>
        <w:pStyle w:val="BodyText"/>
        <w:spacing w:before="120"/>
        <w:ind w:left="820"/>
        <w:jc w:val="both"/>
      </w:pPr>
      <w:r>
        <w:rPr>
          <w:u w:val="single"/>
        </w:rPr>
        <w:t>PHA Policy</w:t>
      </w:r>
    </w:p>
    <w:p w:rsidR="004E13A5" w:rsidRDefault="00681463">
      <w:pPr>
        <w:pStyle w:val="BodyText"/>
        <w:spacing w:before="120"/>
        <w:ind w:left="820" w:right="975"/>
      </w:pPr>
      <w:r>
        <w:t>The PHA will consider the following facts and circumstances prior to making its decision:</w:t>
      </w:r>
    </w:p>
    <w:p w:rsidR="004E13A5" w:rsidRDefault="00681463">
      <w:pPr>
        <w:pStyle w:val="BodyText"/>
        <w:spacing w:before="120"/>
        <w:ind w:left="1540" w:right="349"/>
      </w:pPr>
      <w:r>
        <w:t>The seriousness of the case, especially with respect to how it would affect other residents’ safety or property</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1540" w:right="502"/>
      </w:pPr>
      <w:r>
        <w:lastRenderedPageBreak/>
        <w:t>The effects that denial of assistance may have on other members of the family who were not involved in the action or failure to act</w:t>
      </w:r>
    </w:p>
    <w:p w:rsidR="004E13A5" w:rsidRDefault="00681463">
      <w:pPr>
        <w:pStyle w:val="BodyText"/>
        <w:ind w:left="1540" w:right="155"/>
      </w:pPr>
      <w:r>
        <w:t>The extent of participation or culpability of individual family members, including whether the culpable family member is a minor or a person with disabilities, or (as discussed further in section 3-III.G) a victim of domestic violence, dating violence, sexual assault, or stalking.</w:t>
      </w:r>
    </w:p>
    <w:p w:rsidR="004E13A5" w:rsidRDefault="00681463">
      <w:pPr>
        <w:pStyle w:val="BodyText"/>
        <w:ind w:left="1540" w:right="100"/>
        <w:jc w:val="both"/>
      </w:pPr>
      <w:r>
        <w:t>The length of time since the violation occurred, including the age of the individual at the time of the conduct, as well as the family’s recent history and the likelihood of favorable conduct in the future.</w:t>
      </w:r>
    </w:p>
    <w:p w:rsidR="004E13A5" w:rsidRDefault="00681463">
      <w:pPr>
        <w:pStyle w:val="BodyText"/>
        <w:ind w:left="1540" w:right="209"/>
      </w:pPr>
      <w:r>
        <w:t>While a record or records of arrest(s) will not be used as the sole basis for denial, an arrest may trigger an investigation to determine whether the applicant actually engaged in disqualifying criminal activity. As part of its investigation, the PHA may obtain the police report associated with the arrest and consider the reported circumstances of the arrest. The PHA may also consider:</w:t>
      </w:r>
    </w:p>
    <w:p w:rsidR="004E13A5" w:rsidRDefault="00681463">
      <w:pPr>
        <w:pStyle w:val="BodyText"/>
        <w:ind w:left="2260" w:right="881"/>
      </w:pPr>
      <w:r>
        <w:t>Any statements made by witnesses or the applicant not included in the police report</w:t>
      </w:r>
    </w:p>
    <w:p w:rsidR="004E13A5" w:rsidRDefault="00681463">
      <w:pPr>
        <w:pStyle w:val="BodyText"/>
        <w:ind w:left="2260"/>
      </w:pPr>
      <w:r>
        <w:t>Whether criminal charges were filed</w:t>
      </w:r>
    </w:p>
    <w:p w:rsidR="004E13A5" w:rsidRDefault="00681463">
      <w:pPr>
        <w:pStyle w:val="BodyText"/>
        <w:ind w:left="2260" w:right="855"/>
      </w:pPr>
      <w:r>
        <w:t>Whether, if filed, criminal charges were abandoned, dismissed, not prosecuted, or ultimately resulted in an acquittal</w:t>
      </w:r>
    </w:p>
    <w:p w:rsidR="004E13A5" w:rsidRDefault="00681463">
      <w:pPr>
        <w:pStyle w:val="BodyText"/>
        <w:ind w:left="2260" w:right="349"/>
      </w:pPr>
      <w:r>
        <w:t>Any other evidence relevant to determining whether or not the applicant engaged in disqualifying activity</w:t>
      </w:r>
    </w:p>
    <w:p w:rsidR="004E13A5" w:rsidRDefault="00681463">
      <w:pPr>
        <w:pStyle w:val="BodyText"/>
        <w:ind w:left="1540" w:right="262"/>
      </w:pPr>
      <w:r>
        <w:t>Evidence of criminal conduct will be considered if it indicates a demonstrable risk to safety and/or property</w:t>
      </w:r>
      <w:r>
        <w:rPr>
          <w:color w:val="0000FF"/>
        </w:rPr>
        <w:t>.</w:t>
      </w:r>
    </w:p>
    <w:p w:rsidR="004E13A5" w:rsidRDefault="00681463">
      <w:pPr>
        <w:pStyle w:val="BodyText"/>
        <w:ind w:left="1540" w:right="262"/>
      </w:pPr>
      <w:r>
        <w:t>In the case of drug or alcohol abuse, whether the culpable household member is participating in or has successfully completed a supervised drug or alcohol rehabilitation program or has otherwise been rehabilitated successfully</w:t>
      </w:r>
    </w:p>
    <w:p w:rsidR="004E13A5" w:rsidRDefault="00681463">
      <w:pPr>
        <w:pStyle w:val="BodyText"/>
        <w:ind w:left="2260"/>
      </w:pPr>
      <w:r>
        <w:t>The PHA will require the applicant to submit evidence of the household member’s current participation in or successful completion of a supervised drug or alcohol rehabilitation program, or evidence of otherwise having been rehabilitated successfully.</w:t>
      </w:r>
    </w:p>
    <w:p w:rsidR="004E13A5" w:rsidRDefault="00681463">
      <w:pPr>
        <w:pStyle w:val="Heading4"/>
        <w:spacing w:before="119"/>
      </w:pPr>
      <w:r>
        <w:t>Removal of a Family Member's Name from the Application</w:t>
      </w:r>
    </w:p>
    <w:p w:rsidR="004E13A5" w:rsidRDefault="00681463">
      <w:pPr>
        <w:pStyle w:val="BodyText"/>
        <w:ind w:right="182"/>
      </w:pPr>
      <w:r>
        <w:t>Should the PHA’s screening process reveal that an applicant’s household includes an individual subject to state lifetime registered sex offender registration, the PHA must offer the family the opportunity to remove the ineligible family member from the household. If the family is unwilling to remove that individual from the household, the PHA must deny admission to the family [Notice PIH 2012-28].</w:t>
      </w:r>
    </w:p>
    <w:p w:rsidR="004E13A5" w:rsidRDefault="00681463">
      <w:pPr>
        <w:pStyle w:val="BodyText"/>
        <w:ind w:right="795"/>
      </w:pPr>
      <w:r>
        <w:t>For other criminal activity, the PHA may permit the family to exclude the culpable family members as a condition of eligibility. [24 CFR 982.552(c)(2)(ii)].</w:t>
      </w:r>
    </w:p>
    <w:p w:rsidR="004E13A5" w:rsidRDefault="00681463">
      <w:pPr>
        <w:pStyle w:val="BodyText"/>
        <w:ind w:left="820"/>
      </w:pPr>
      <w:r>
        <w:rPr>
          <w:u w:val="single"/>
        </w:rPr>
        <w:t>PHA Policy</w:t>
      </w:r>
    </w:p>
    <w:p w:rsidR="004E13A5" w:rsidRDefault="00681463">
      <w:pPr>
        <w:pStyle w:val="BodyText"/>
        <w:ind w:left="820" w:right="183"/>
      </w:pPr>
      <w:r>
        <w:t>As a condition of receiving assistance, a family may agree to remove the culpable family member from the application. In such instances, the head of household must certify that</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820" w:right="62"/>
      </w:pPr>
      <w:r>
        <w:lastRenderedPageBreak/>
        <w:t>the family member will not be permitted to visit, stay as a guest, or reside in the assisted unit.</w:t>
      </w:r>
    </w:p>
    <w:p w:rsidR="004E13A5" w:rsidRDefault="00681463">
      <w:pPr>
        <w:pStyle w:val="BodyText"/>
        <w:ind w:left="820" w:right="382"/>
      </w:pPr>
      <w:r>
        <w:t>After admission to the program, the family must present evidence of the former family member’s current address upon PHA request.</w:t>
      </w:r>
    </w:p>
    <w:p w:rsidR="004E13A5" w:rsidRDefault="00681463">
      <w:pPr>
        <w:pStyle w:val="Heading4"/>
        <w:spacing w:before="119"/>
      </w:pPr>
      <w:r>
        <w:t>Reasonable Accommodation [24 CFR 982.552(c)(2)(iv)]</w:t>
      </w:r>
    </w:p>
    <w:p w:rsidR="004E13A5" w:rsidRDefault="00681463">
      <w:pPr>
        <w:pStyle w:val="BodyText"/>
        <w:ind w:right="262"/>
      </w:pPr>
      <w:r>
        <w:t>If the family includes a person with disabilities, the PHA’s decision concerning denial of admission is subject to consideration of reasonable accommodation in accordance with 24 CFR Part 8.</w:t>
      </w:r>
    </w:p>
    <w:p w:rsidR="004E13A5" w:rsidRDefault="00681463">
      <w:pPr>
        <w:pStyle w:val="BodyText"/>
        <w:ind w:left="820"/>
      </w:pPr>
      <w:r>
        <w:rPr>
          <w:u w:val="single"/>
        </w:rPr>
        <w:t>PHA Policy</w:t>
      </w:r>
    </w:p>
    <w:p w:rsidR="004E13A5" w:rsidRDefault="00681463">
      <w:pPr>
        <w:pStyle w:val="BodyText"/>
        <w:ind w:left="820" w:right="62"/>
      </w:pPr>
      <w:r>
        <w:t>If the family indicates that the behavior of a family member with a disability is the reason for the proposed denial of assistance, the PHA will determine whether the behavior is related to the stated disability. If so, upon the family’s request, the PHA will determine whether admitting the family as a reasonable accommodation is appropriate. The PHA will only consider accommodations that can reasonably be expected to address the behavior that is the basis of the proposed denial of assistance. See Chapter 2 for a discussion of reasonable accommodation.</w:t>
      </w:r>
    </w:p>
    <w:p w:rsidR="004E13A5" w:rsidRDefault="004E13A5">
      <w:pPr>
        <w:pStyle w:val="BodyText"/>
        <w:spacing w:before="9"/>
        <w:ind w:left="0"/>
        <w:rPr>
          <w:sz w:val="20"/>
        </w:rPr>
      </w:pPr>
    </w:p>
    <w:p w:rsidR="004E13A5" w:rsidRDefault="00681463">
      <w:pPr>
        <w:pStyle w:val="Heading4"/>
      </w:pPr>
      <w:r>
        <w:t>3-III.</w:t>
      </w:r>
      <w:r w:rsidR="00D537D2">
        <w:t>G</w:t>
      </w:r>
      <w:r>
        <w:t>. NOTICE OF ELIGIBILITY OR DENIAL</w:t>
      </w:r>
    </w:p>
    <w:p w:rsidR="004E13A5" w:rsidRDefault="00681463">
      <w:pPr>
        <w:pStyle w:val="BodyText"/>
        <w:ind w:right="328"/>
      </w:pPr>
      <w:r>
        <w:t>If the family is eligible for assistance, the PHA will notify the family in writing and schedule a tenant briefing, as discussed in Chapter 5.</w:t>
      </w:r>
    </w:p>
    <w:p w:rsidR="004E13A5" w:rsidRDefault="00681463">
      <w:pPr>
        <w:pStyle w:val="BodyText"/>
        <w:ind w:right="149"/>
      </w:pPr>
      <w:r>
        <w:t>If the PHA determines that a family is not eligible for the program for any reason, the family must be notified promptly. The notice must describe: (1) the reasons for which assistance has been denied, (2) the family’s right to an informal review, and (3) the process for obtaining the informal review [24 CFR 982.554 (a)]. See Chapter 16, for informal review policies and procedures.</w:t>
      </w:r>
    </w:p>
    <w:p w:rsidR="004E13A5" w:rsidRDefault="00681463">
      <w:pPr>
        <w:pStyle w:val="BodyText"/>
        <w:ind w:left="820"/>
      </w:pPr>
      <w:r>
        <w:rPr>
          <w:u w:val="single"/>
        </w:rPr>
        <w:t>PHA Policy</w:t>
      </w:r>
    </w:p>
    <w:p w:rsidR="004E13A5" w:rsidRDefault="00681463">
      <w:pPr>
        <w:pStyle w:val="BodyText"/>
        <w:ind w:left="820" w:right="188"/>
      </w:pPr>
      <w:r>
        <w:t>The family will be notified of a decision to deny assistance in writing within 10 business days of the determination.</w:t>
      </w:r>
    </w:p>
    <w:p w:rsidR="004E13A5" w:rsidRDefault="00681463">
      <w:pPr>
        <w:pStyle w:val="BodyText"/>
        <w:ind w:right="149"/>
      </w:pPr>
      <w:r>
        <w:t>If a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In addition, a copy of the record must be provided to the subject of the record [24 CFR 5.903(f) and 5.905(d)]. The PHA must give the family an opportunity to dispute the accuracy and relevance of that record, in the informal review process in accordance with program requirements [24 CFR 982.553(d)].</w:t>
      </w:r>
    </w:p>
    <w:p w:rsidR="004E13A5" w:rsidRDefault="00681463">
      <w:pPr>
        <w:pStyle w:val="BodyText"/>
        <w:ind w:left="820"/>
      </w:pPr>
      <w:r>
        <w:rPr>
          <w:u w:val="single"/>
        </w:rPr>
        <w:t>PHA Policy</w:t>
      </w:r>
    </w:p>
    <w:p w:rsidR="004E13A5" w:rsidRDefault="00681463">
      <w:pPr>
        <w:pStyle w:val="BodyText"/>
        <w:ind w:left="820" w:right="103"/>
      </w:pPr>
      <w:r>
        <w:t>If based on a criminal record or sex offender registration information, an applicant family appears to be ineligible the PHA will notify the family in writing of the proposed denial and provide an opportunity for the applicant and subject of the record to review the record, if requested. The family will be given 10 business days to dispute the accuracy and relevance of the information. If the family does not contact the PHA to dispute the information within that 10-day period, the PHA will proceed with issuing the notice of denial of admission. A family that does not exercise their right to dispute the accuracy of</w:t>
      </w:r>
    </w:p>
    <w:p w:rsidR="004E13A5" w:rsidRDefault="004E13A5">
      <w:pPr>
        <w:sectPr w:rsidR="004E13A5">
          <w:pgSz w:w="12240" w:h="15840"/>
          <w:pgMar w:top="1360" w:right="1360" w:bottom="640" w:left="1340" w:header="0" w:footer="381" w:gutter="0"/>
          <w:cols w:space="720"/>
        </w:sectPr>
      </w:pPr>
    </w:p>
    <w:p w:rsidR="004E13A5" w:rsidRDefault="00681463">
      <w:pPr>
        <w:pStyle w:val="BodyText"/>
        <w:spacing w:before="79"/>
        <w:ind w:left="820" w:right="935"/>
      </w:pPr>
      <w:r>
        <w:lastRenderedPageBreak/>
        <w:t>the information prior to issuance of the official denial letter will still be given the opportunity to do so as part of the informal review process.</w:t>
      </w:r>
    </w:p>
    <w:p w:rsidR="004E13A5" w:rsidRDefault="00681463">
      <w:pPr>
        <w:pStyle w:val="BodyText"/>
      </w:pPr>
      <w:r>
        <w:t>Notice requirements related to denying assistance to noncitizens are contained in Section 3-II.B.</w:t>
      </w:r>
    </w:p>
    <w:p w:rsidR="004E13A5" w:rsidRDefault="00681463">
      <w:pPr>
        <w:pStyle w:val="BodyText"/>
        <w:ind w:right="701"/>
      </w:pPr>
      <w:r>
        <w:t>Notice policies related to denying admission to applicants who may be victims of domestic violence, dating violence, sexual assault or stalking are contained in Section 3-III.G.</w:t>
      </w:r>
    </w:p>
    <w:p w:rsidR="004E13A5" w:rsidRDefault="004E13A5">
      <w:pPr>
        <w:pStyle w:val="BodyText"/>
        <w:spacing w:before="9"/>
        <w:ind w:left="0"/>
        <w:rPr>
          <w:sz w:val="20"/>
        </w:rPr>
      </w:pPr>
    </w:p>
    <w:p w:rsidR="004E13A5" w:rsidRDefault="00681463">
      <w:pPr>
        <w:pStyle w:val="Heading4"/>
      </w:pPr>
      <w:r>
        <w:t>3-III.</w:t>
      </w:r>
      <w:r w:rsidR="00D537D2">
        <w:t>H</w:t>
      </w:r>
      <w:r>
        <w:t>. PROHIBITION AGAINST DENIAL OF ASSISTANCE TO VICTIMS OF DOMESTIC VIOLENCE, DATING VIOLENCE, SEXUAL ASSAULT, AND STALKING</w:t>
      </w:r>
    </w:p>
    <w:p w:rsidR="004E13A5" w:rsidRDefault="00681463">
      <w:pPr>
        <w:pStyle w:val="BodyText"/>
        <w:ind w:right="88"/>
      </w:pPr>
      <w:r>
        <w:t>The Violence against Women Act of 2013 (VAWA) and the HUD regulation at 24 CFR 5.2005(b) prohibit PHAs from denying an applicant admission to the HCV program “on the basis or as a direct result of the fact that the applicant is or has been a victim of domestic violence, dating violence, sexual assault or stalking, if the applicant otherwise qualifies for assistance or admission.”</w:t>
      </w:r>
    </w:p>
    <w:p w:rsidR="004E13A5" w:rsidRDefault="00681463">
      <w:pPr>
        <w:pStyle w:val="BodyText"/>
        <w:ind w:right="815"/>
      </w:pPr>
      <w:r>
        <w:t>Definitions of key terms used in VAWA are provided in section 16-IX of this plan, where general VAWA requirements and policies pertaining to notification, documentation, and confidentiality are also located.</w:t>
      </w:r>
    </w:p>
    <w:p w:rsidR="004E13A5" w:rsidRDefault="004E13A5">
      <w:pPr>
        <w:pStyle w:val="BodyText"/>
        <w:spacing w:before="0"/>
        <w:ind w:left="0"/>
        <w:rPr>
          <w:sz w:val="26"/>
        </w:rPr>
      </w:pPr>
    </w:p>
    <w:p w:rsidR="004E13A5" w:rsidRDefault="00681463">
      <w:pPr>
        <w:pStyle w:val="Heading4"/>
        <w:spacing w:before="216"/>
      </w:pPr>
      <w:r>
        <w:t>Notification</w:t>
      </w:r>
    </w:p>
    <w:p w:rsidR="004E13A5" w:rsidRDefault="00681463">
      <w:pPr>
        <w:pStyle w:val="BodyText"/>
        <w:ind w:right="116"/>
      </w:pPr>
      <w:r>
        <w:t>VAWA 2013 expanded notification requirements to include the obligation for PHAs to provide applicants who are denied assistance with a VAWA Notice of Occupancy Rights (form HUD- 5380) and a domestic violence certification form (HUD-5382) at the time the applicant is denied.</w:t>
      </w:r>
    </w:p>
    <w:p w:rsidR="004E13A5" w:rsidRDefault="00681463">
      <w:pPr>
        <w:pStyle w:val="BodyText"/>
        <w:ind w:left="820"/>
      </w:pPr>
      <w:r>
        <w:rPr>
          <w:u w:val="single"/>
        </w:rPr>
        <w:t>PHA Policy</w:t>
      </w:r>
    </w:p>
    <w:p w:rsidR="004E13A5" w:rsidRDefault="00681463">
      <w:pPr>
        <w:pStyle w:val="BodyText"/>
        <w:spacing w:before="120"/>
        <w:ind w:left="820" w:right="290"/>
      </w:pPr>
      <w:r>
        <w:t>The PHA acknowledges that a victim of domestic violence, dating violence, sexual assault, or stalking may have an unfavorable history (e.g., a poor credit history, poor rental history, a record of previous damage to an apartment, a prior arrest record) due to adverse factors that would warrant denial under the PHA’s policies.</w:t>
      </w:r>
    </w:p>
    <w:p w:rsidR="004E13A5" w:rsidRDefault="00681463">
      <w:pPr>
        <w:pStyle w:val="BodyText"/>
        <w:spacing w:before="120"/>
        <w:ind w:left="820" w:right="95"/>
      </w:pPr>
      <w:r>
        <w:t>While the PHA is not required to identify whether adverse factors that resulted in the applicant’s denial are a result of domestic violence, dating violence, sexual assault, or stalking, the applicant may inform the PHA that their status as a victim is directly related to the grounds for the denial. The PHA will request that the applicant provide enough information to the PHA to allow the PHA to make an objectively reasonable determination, based on all circumstances, whether the adverse factor is a direct result of their status as a victim.</w:t>
      </w:r>
    </w:p>
    <w:p w:rsidR="004E13A5" w:rsidRDefault="00681463">
      <w:pPr>
        <w:pStyle w:val="BodyText"/>
        <w:spacing w:before="120"/>
        <w:ind w:left="820" w:right="121" w:firstLine="60"/>
      </w:pPr>
      <w:r>
        <w:t>The PHA will include in its notice of denial the VAWA information described in section 16-IX.C of this plan as well as including a copy of the form HUD-5382. The PHA will request in writing that an applicant wishing to claim protection under VAWA notify the PHA within 14 business days.</w:t>
      </w:r>
    </w:p>
    <w:p w:rsidR="004E13A5" w:rsidRDefault="00681463">
      <w:pPr>
        <w:pStyle w:val="Heading4"/>
        <w:spacing w:before="119"/>
      </w:pPr>
      <w:r>
        <w:t>Documentation</w:t>
      </w:r>
    </w:p>
    <w:p w:rsidR="004E13A5" w:rsidRDefault="00681463">
      <w:pPr>
        <w:pStyle w:val="Heading5"/>
      </w:pPr>
      <w:r>
        <w:t>Victim Documentation [24 CFR 5.2007]</w:t>
      </w:r>
    </w:p>
    <w:p w:rsidR="004E13A5" w:rsidRDefault="00681463">
      <w:pPr>
        <w:pStyle w:val="BodyText"/>
        <w:ind w:left="820"/>
      </w:pPr>
      <w:r>
        <w:rPr>
          <w:u w:val="single"/>
        </w:rPr>
        <w:t>PHA Policy</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940" w:right="355"/>
      </w:pPr>
      <w:r>
        <w:lastRenderedPageBreak/>
        <w:t>If an applicant claims the protection against denial of assistance that VAWA provides to victims of domestic violence, dating violence, sexual assault or stalking, the PHA will request in writing that the applicant provide documentation supporting the claim in accordance with section 16-IX.D of this plan.</w:t>
      </w:r>
    </w:p>
    <w:p w:rsidR="004E13A5" w:rsidRDefault="00681463">
      <w:pPr>
        <w:pStyle w:val="Heading5"/>
        <w:spacing w:before="59"/>
        <w:ind w:left="201" w:right="6831"/>
        <w:jc w:val="center"/>
      </w:pPr>
      <w:r>
        <w:t>Perpetrator Documentation</w:t>
      </w:r>
    </w:p>
    <w:p w:rsidR="004E13A5" w:rsidRDefault="00681463">
      <w:pPr>
        <w:pStyle w:val="BodyText"/>
        <w:ind w:left="940"/>
      </w:pPr>
      <w:r>
        <w:rPr>
          <w:u w:val="single"/>
        </w:rPr>
        <w:t>PHA Policy</w:t>
      </w:r>
    </w:p>
    <w:p w:rsidR="004E13A5" w:rsidRDefault="00681463">
      <w:pPr>
        <w:pStyle w:val="BodyText"/>
        <w:ind w:left="940"/>
      </w:pPr>
      <w:r>
        <w:t>If the perpetrator of the abuse is a member of the applicant family, the applicant must provide additional documentation consisting of one of the following:</w:t>
      </w:r>
    </w:p>
    <w:p w:rsidR="004E13A5" w:rsidRDefault="00681463">
      <w:pPr>
        <w:pStyle w:val="BodyText"/>
        <w:ind w:left="1660" w:right="382"/>
      </w:pPr>
      <w:r>
        <w:t>A signed statement (1) requesting that the perpetrator be removed from the application and (2) certifying that the perpetrator will not be permitted to visit or to stay as a guest in the assisted unit</w:t>
      </w:r>
    </w:p>
    <w:p w:rsidR="004E13A5" w:rsidRDefault="003263D1">
      <w:pPr>
        <w:pStyle w:val="BodyText"/>
        <w:spacing w:before="120"/>
        <w:ind w:left="1660" w:right="229"/>
      </w:pPr>
      <w:r>
        <w:rPr>
          <w:noProof/>
        </w:rPr>
        <mc:AlternateContent>
          <mc:Choice Requires="wps">
            <w:drawing>
              <wp:anchor distT="0" distB="0" distL="0" distR="0" simplePos="0" relativeHeight="1120" behindDoc="0" locked="0" layoutInCell="1" allowOverlap="1">
                <wp:simplePos x="0" y="0"/>
                <wp:positionH relativeFrom="page">
                  <wp:posOffset>843280</wp:posOffset>
                </wp:positionH>
                <wp:positionV relativeFrom="paragraph">
                  <wp:posOffset>1559560</wp:posOffset>
                </wp:positionV>
                <wp:extent cx="6088380" cy="205740"/>
                <wp:effectExtent l="5080" t="7620" r="12065" b="5715"/>
                <wp:wrapTopAndBottom/>
                <wp:docPr id="8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907"/>
                              <w:rPr>
                                <w:b/>
                                <w:sz w:val="24"/>
                              </w:rPr>
                            </w:pPr>
                            <w:r>
                              <w:rPr>
                                <w:b/>
                                <w:sz w:val="24"/>
                              </w:rPr>
                              <w:t>EXHIBIT 3-1: DETAILED DEFINITIONS RELATED TO DISABILITIES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66.4pt;margin-top:122.8pt;width:479.4pt;height:16.2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" filled="f" strokeweight=".48pt">
                <v:textbox inset="0,0,0,0">
                  <w:txbxContent>
                    <w:p w:rsidR="00BA59C9" w:rsidRDefault="00BA59C9">
                      <w:pPr>
                        <w:spacing w:before="18"/>
                        <w:ind w:left="907"/>
                        <w:rPr>
                          <w:b/>
                          <w:sz w:val="24"/>
                        </w:rPr>
                      </w:pPr>
                      <w:r>
                        <w:rPr>
                          <w:b/>
                          <w:sz w:val="24"/>
                        </w:rPr>
                        <w:t>EXHIBIT 3-1: DETAILED DEFINITIONS RELATED TO DISABILITIES</w:t>
                      </w:r>
                    </w:p>
                  </w:txbxContent>
                </v:textbox>
                <w10:wrap type="topAndBottom" anchorx="page"/>
              </v:shape>
            </w:pict>
          </mc:Fallback>
        </mc:AlternateContent>
      </w:r>
      <w:r w:rsidR="00681463">
        <w:t>Documentation that the perpetrator has successfully completed, or is successfully undergoing, rehabilitation or treatment. The documentation must be signed by an employee or agent of a domestic violence service provider or by a medical or other knowledgeable professional from whom the perpetrator has sought or is receiving assistance in addressing the abuse. The signer must attest under penalty of perjury to their belief that the rehabilitation was successfully completed or is progressing successfully. The victim and perpetrator must also sign or attest to the documentation.</w:t>
      </w:r>
    </w:p>
    <w:p w:rsidR="004E13A5" w:rsidRDefault="00681463">
      <w:pPr>
        <w:pStyle w:val="Heading4"/>
        <w:spacing w:before="90"/>
        <w:ind w:left="220"/>
      </w:pPr>
      <w:r>
        <w:t>Person with Disabilities [24 CFR 5.403]</w:t>
      </w:r>
    </w:p>
    <w:p w:rsidR="004E13A5" w:rsidRDefault="00681463">
      <w:pPr>
        <w:spacing w:before="120"/>
        <w:ind w:left="220" w:right="183"/>
        <w:rPr>
          <w:sz w:val="24"/>
        </w:rPr>
      </w:pPr>
      <w:r>
        <w:rPr>
          <w:sz w:val="24"/>
        </w:rPr>
        <w:t xml:space="preserve">The term </w:t>
      </w:r>
      <w:r>
        <w:rPr>
          <w:i/>
          <w:sz w:val="24"/>
        </w:rPr>
        <w:t xml:space="preserve">person with disabilities </w:t>
      </w:r>
      <w:r>
        <w:rPr>
          <w:sz w:val="24"/>
        </w:rPr>
        <w:t>means a person who has any of the following types of conditions:</w:t>
      </w:r>
    </w:p>
    <w:p w:rsidR="004E13A5" w:rsidRDefault="00681463">
      <w:pPr>
        <w:pStyle w:val="ListParagraph"/>
        <w:numPr>
          <w:ilvl w:val="0"/>
          <w:numId w:val="90"/>
        </w:numPr>
        <w:tabs>
          <w:tab w:val="left" w:pos="580"/>
          <w:tab w:val="left" w:pos="581"/>
        </w:tabs>
        <w:rPr>
          <w:sz w:val="24"/>
        </w:rPr>
      </w:pPr>
      <w:r>
        <w:rPr>
          <w:sz w:val="24"/>
        </w:rPr>
        <w:t>Has a disability, as defined in 42 U.S.C. Section 423(d)(1)(A), which</w:t>
      </w:r>
      <w:r>
        <w:rPr>
          <w:spacing w:val="-14"/>
          <w:sz w:val="24"/>
        </w:rPr>
        <w:t xml:space="preserve"> </w:t>
      </w:r>
      <w:r>
        <w:rPr>
          <w:sz w:val="24"/>
        </w:rPr>
        <w:t>reads:</w:t>
      </w:r>
    </w:p>
    <w:p w:rsidR="004E13A5" w:rsidRDefault="00681463">
      <w:pPr>
        <w:pStyle w:val="BodyText"/>
        <w:spacing w:before="118"/>
        <w:ind w:left="940" w:right="423"/>
        <w:rPr>
          <w:i/>
        </w:rPr>
      </w:pPr>
      <w:r>
        <w:t xml:space="preserve">Inability to engage in any substantial gainful activity by reason of any medically determinable physical or mental impairment which can be expected to result in death or which has lasted or can be expected to last for a continuous period of not less than 12 months; </w:t>
      </w:r>
      <w:r>
        <w:rPr>
          <w:i/>
        </w:rPr>
        <w:t>or</w:t>
      </w:r>
    </w:p>
    <w:p w:rsidR="004E13A5" w:rsidRDefault="00681463">
      <w:pPr>
        <w:pStyle w:val="BodyText"/>
        <w:ind w:left="940" w:right="275"/>
      </w:pPr>
      <w:r>
        <w:t>In the case of an individual who has attained the age of 55 and is blind (within the meaning of “blindness” as defined in section 416(i)(1) of this title), inability by reason of such blindness to engage in substantial gainful activity, requiring skills or ability comparable to those of any gainful activity in which he has previously engaged with some regularity and over a substantial period of time.</w:t>
      </w:r>
    </w:p>
    <w:p w:rsidR="004E13A5" w:rsidRDefault="00681463">
      <w:pPr>
        <w:pStyle w:val="ListParagraph"/>
        <w:numPr>
          <w:ilvl w:val="0"/>
          <w:numId w:val="90"/>
        </w:numPr>
        <w:tabs>
          <w:tab w:val="left" w:pos="580"/>
          <w:tab w:val="left" w:pos="581"/>
        </w:tabs>
        <w:spacing w:before="120"/>
        <w:ind w:right="445"/>
        <w:rPr>
          <w:sz w:val="24"/>
        </w:rPr>
      </w:pPr>
      <w:r>
        <w:rPr>
          <w:sz w:val="24"/>
        </w:rPr>
        <w:t>Has a developmental disability as defined in the Developmental Disabilities Assistance</w:t>
      </w:r>
      <w:r>
        <w:rPr>
          <w:spacing w:val="-18"/>
          <w:sz w:val="24"/>
        </w:rPr>
        <w:t xml:space="preserve"> </w:t>
      </w:r>
      <w:r>
        <w:rPr>
          <w:sz w:val="24"/>
        </w:rPr>
        <w:t>and Bill of Rights Act of 2000 [42 U.S.C.15002(8)], which defines developmental disability in functional terms as</w:t>
      </w:r>
      <w:r>
        <w:rPr>
          <w:spacing w:val="-4"/>
          <w:sz w:val="24"/>
        </w:rPr>
        <w:t xml:space="preserve"> </w:t>
      </w:r>
      <w:r>
        <w:rPr>
          <w:sz w:val="24"/>
        </w:rPr>
        <w:t>follows:</w:t>
      </w:r>
    </w:p>
    <w:p w:rsidR="004E13A5" w:rsidRDefault="00681463">
      <w:pPr>
        <w:pStyle w:val="Heading4"/>
        <w:numPr>
          <w:ilvl w:val="2"/>
          <w:numId w:val="91"/>
        </w:numPr>
        <w:tabs>
          <w:tab w:val="left" w:pos="1301"/>
        </w:tabs>
        <w:spacing w:before="120"/>
        <w:jc w:val="left"/>
      </w:pPr>
      <w:r>
        <w:t>In</w:t>
      </w:r>
      <w:r>
        <w:rPr>
          <w:spacing w:val="-6"/>
        </w:rPr>
        <w:t xml:space="preserve"> </w:t>
      </w:r>
      <w:r>
        <w:t>General</w:t>
      </w:r>
    </w:p>
    <w:p w:rsidR="004E13A5" w:rsidRDefault="00681463">
      <w:pPr>
        <w:pStyle w:val="BodyText"/>
        <w:spacing w:before="120"/>
        <w:ind w:left="940" w:right="1475"/>
      </w:pPr>
      <w:r>
        <w:t>The term “developmental disability” means a severe, chronic disability of an individual that:</w:t>
      </w:r>
    </w:p>
    <w:p w:rsidR="004E13A5" w:rsidRDefault="00681463">
      <w:pPr>
        <w:pStyle w:val="ListParagraph"/>
        <w:numPr>
          <w:ilvl w:val="3"/>
          <w:numId w:val="91"/>
        </w:numPr>
        <w:tabs>
          <w:tab w:val="left" w:pos="1661"/>
        </w:tabs>
        <w:spacing w:before="120"/>
        <w:ind w:right="514"/>
        <w:jc w:val="left"/>
        <w:rPr>
          <w:sz w:val="24"/>
        </w:rPr>
      </w:pPr>
      <w:r>
        <w:rPr>
          <w:sz w:val="24"/>
        </w:rPr>
        <w:t>is attributable to a mental or physical impairment or combination of mental</w:t>
      </w:r>
      <w:r>
        <w:rPr>
          <w:spacing w:val="-9"/>
          <w:sz w:val="24"/>
        </w:rPr>
        <w:t xml:space="preserve"> </w:t>
      </w:r>
      <w:r>
        <w:rPr>
          <w:sz w:val="24"/>
        </w:rPr>
        <w:t>and physical</w:t>
      </w:r>
      <w:r>
        <w:rPr>
          <w:spacing w:val="-5"/>
          <w:sz w:val="24"/>
        </w:rPr>
        <w:t xml:space="preserve"> </w:t>
      </w:r>
      <w:r>
        <w:rPr>
          <w:sz w:val="24"/>
        </w:rPr>
        <w:t>impairments;</w:t>
      </w:r>
    </w:p>
    <w:p w:rsidR="004E13A5" w:rsidRDefault="004E13A5">
      <w:pPr>
        <w:rPr>
          <w:sz w:val="24"/>
        </w:rPr>
        <w:sectPr w:rsidR="004E13A5">
          <w:pgSz w:w="12240" w:h="15840"/>
          <w:pgMar w:top="1360" w:right="1220" w:bottom="640" w:left="1220" w:header="0" w:footer="381" w:gutter="0"/>
          <w:cols w:space="720"/>
        </w:sectPr>
      </w:pPr>
    </w:p>
    <w:p w:rsidR="004E13A5" w:rsidRDefault="00681463">
      <w:pPr>
        <w:pStyle w:val="ListParagraph"/>
        <w:numPr>
          <w:ilvl w:val="3"/>
          <w:numId w:val="91"/>
        </w:numPr>
        <w:tabs>
          <w:tab w:val="left" w:pos="1534"/>
        </w:tabs>
        <w:spacing w:before="79"/>
        <w:ind w:left="1533" w:hanging="353"/>
        <w:jc w:val="left"/>
        <w:rPr>
          <w:sz w:val="24"/>
        </w:rPr>
      </w:pPr>
      <w:r>
        <w:rPr>
          <w:sz w:val="24"/>
        </w:rPr>
        <w:lastRenderedPageBreak/>
        <w:t>is manifested before the individual attains age</w:t>
      </w:r>
      <w:r>
        <w:rPr>
          <w:spacing w:val="-8"/>
          <w:sz w:val="24"/>
        </w:rPr>
        <w:t xml:space="preserve"> </w:t>
      </w:r>
      <w:r>
        <w:rPr>
          <w:sz w:val="24"/>
        </w:rPr>
        <w:t>22;</w:t>
      </w:r>
    </w:p>
    <w:p w:rsidR="004E13A5" w:rsidRDefault="00681463">
      <w:pPr>
        <w:pStyle w:val="ListParagraph"/>
        <w:numPr>
          <w:ilvl w:val="3"/>
          <w:numId w:val="91"/>
        </w:numPr>
        <w:tabs>
          <w:tab w:val="left" w:pos="1601"/>
        </w:tabs>
        <w:ind w:left="1600" w:hanging="420"/>
        <w:jc w:val="left"/>
        <w:rPr>
          <w:sz w:val="24"/>
        </w:rPr>
      </w:pPr>
      <w:r>
        <w:rPr>
          <w:sz w:val="24"/>
        </w:rPr>
        <w:t>is likely to continue</w:t>
      </w:r>
      <w:r>
        <w:rPr>
          <w:spacing w:val="-13"/>
          <w:sz w:val="24"/>
        </w:rPr>
        <w:t xml:space="preserve"> </w:t>
      </w:r>
      <w:r>
        <w:rPr>
          <w:sz w:val="24"/>
        </w:rPr>
        <w:t>indefinitely;</w:t>
      </w:r>
    </w:p>
    <w:p w:rsidR="004E13A5" w:rsidRDefault="00681463">
      <w:pPr>
        <w:pStyle w:val="ListParagraph"/>
        <w:numPr>
          <w:ilvl w:val="3"/>
          <w:numId w:val="91"/>
        </w:numPr>
        <w:tabs>
          <w:tab w:val="left" w:pos="1586"/>
        </w:tabs>
        <w:ind w:left="1540" w:right="168"/>
        <w:jc w:val="left"/>
        <w:rPr>
          <w:sz w:val="24"/>
        </w:rPr>
      </w:pPr>
      <w:r>
        <w:rPr>
          <w:sz w:val="24"/>
        </w:rPr>
        <w:t>results in substantial functional limitations in 3 or more of the following areas of major life activity: (I) Self-care, (II) Receptive and expressive language, (III) Learning, (IV) Mobility, (V) Self-direction, (VI) Capacity for independent</w:t>
      </w:r>
      <w:r>
        <w:rPr>
          <w:spacing w:val="-19"/>
          <w:sz w:val="24"/>
        </w:rPr>
        <w:t xml:space="preserve"> </w:t>
      </w:r>
      <w:r>
        <w:rPr>
          <w:sz w:val="24"/>
        </w:rPr>
        <w:t>living,</w:t>
      </w:r>
    </w:p>
    <w:p w:rsidR="004E13A5" w:rsidRDefault="00681463">
      <w:pPr>
        <w:pStyle w:val="BodyText"/>
        <w:spacing w:before="0"/>
        <w:ind w:left="1540"/>
      </w:pPr>
      <w:r>
        <w:t>(VII) Economic self-sufficiency; and</w:t>
      </w:r>
    </w:p>
    <w:p w:rsidR="004E13A5" w:rsidRDefault="00681463">
      <w:pPr>
        <w:pStyle w:val="ListParagraph"/>
        <w:numPr>
          <w:ilvl w:val="3"/>
          <w:numId w:val="91"/>
        </w:numPr>
        <w:tabs>
          <w:tab w:val="left" w:pos="1519"/>
        </w:tabs>
        <w:spacing w:before="120"/>
        <w:ind w:left="1540" w:right="357"/>
        <w:jc w:val="left"/>
        <w:rPr>
          <w:sz w:val="24"/>
        </w:rPr>
      </w:pPr>
      <w:r>
        <w:rPr>
          <w:sz w:val="24"/>
        </w:rPr>
        <w:t>reflects the individual’s need for a combination and sequence of special, interdisciplinary, or generic services, individualized supports, or other forms of assistance that are of lifelong or extended duration and are individually</w:t>
      </w:r>
      <w:r>
        <w:rPr>
          <w:spacing w:val="-12"/>
          <w:sz w:val="24"/>
        </w:rPr>
        <w:t xml:space="preserve"> </w:t>
      </w:r>
      <w:r>
        <w:rPr>
          <w:sz w:val="24"/>
        </w:rPr>
        <w:t>planned and</w:t>
      </w:r>
      <w:r>
        <w:rPr>
          <w:spacing w:val="-5"/>
          <w:sz w:val="24"/>
        </w:rPr>
        <w:t xml:space="preserve"> </w:t>
      </w:r>
      <w:r>
        <w:rPr>
          <w:sz w:val="24"/>
        </w:rPr>
        <w:t>coordinated.</w:t>
      </w:r>
    </w:p>
    <w:p w:rsidR="004E13A5" w:rsidRDefault="00681463">
      <w:pPr>
        <w:pStyle w:val="Heading4"/>
        <w:numPr>
          <w:ilvl w:val="2"/>
          <w:numId w:val="91"/>
        </w:numPr>
        <w:tabs>
          <w:tab w:val="left" w:pos="1201"/>
        </w:tabs>
        <w:spacing w:before="119"/>
        <w:ind w:left="1200" w:hanging="380"/>
        <w:jc w:val="left"/>
      </w:pPr>
      <w:r>
        <w:t>Infants and Young</w:t>
      </w:r>
      <w:r>
        <w:rPr>
          <w:spacing w:val="-5"/>
        </w:rPr>
        <w:t xml:space="preserve"> </w:t>
      </w:r>
      <w:r>
        <w:t>Children</w:t>
      </w:r>
    </w:p>
    <w:p w:rsidR="004E13A5" w:rsidRDefault="00681463">
      <w:pPr>
        <w:pStyle w:val="BodyText"/>
        <w:spacing w:before="120"/>
        <w:ind w:left="820" w:right="162"/>
      </w:pPr>
      <w:r>
        <w:t>An individual from birth to age 9, inclusive, who has a substantial developmental delay or specific congenital or acquired condition, may be considered to have a developmental disability without meeting 3 or more of the criteria described in clauses (i) through (v) of subparagraph (A) if the individual, without services and supports, has a high probability of meeting those criteria later in life.</w:t>
      </w:r>
    </w:p>
    <w:p w:rsidR="004E13A5" w:rsidRDefault="00681463">
      <w:pPr>
        <w:pStyle w:val="BodyText"/>
        <w:tabs>
          <w:tab w:val="left" w:pos="460"/>
        </w:tabs>
        <w:ind w:left="460" w:right="133" w:hanging="360"/>
      </w:pPr>
      <w:r>
        <w:rPr>
          <w:rFonts w:ascii="Symbol" w:hAnsi="Symbol"/>
        </w:rPr>
        <w:t></w:t>
      </w:r>
      <w:r>
        <w:tab/>
        <w:t>Has a physical, mental, or emotional impairment that is expected to be of</w:t>
      </w:r>
      <w:r>
        <w:rPr>
          <w:spacing w:val="-14"/>
        </w:rPr>
        <w:t xml:space="preserve"> </w:t>
      </w:r>
      <w:r>
        <w:t>long-continued</w:t>
      </w:r>
      <w:r>
        <w:rPr>
          <w:spacing w:val="-1"/>
        </w:rPr>
        <w:t xml:space="preserve"> </w:t>
      </w:r>
      <w:r>
        <w:t>and indefinite duration; substantially impedes their ability to live independently, and is of such a nature that the ability to live independently could be improved by more suitable housing conditions.</w:t>
      </w:r>
    </w:p>
    <w:p w:rsidR="004E13A5" w:rsidRDefault="00681463">
      <w:pPr>
        <w:pStyle w:val="BodyText"/>
      </w:pPr>
      <w:r>
        <w:t>People with the acquired immunodeficiency syndrome (AIDS) or any conditions arising from the etiologic agent for AIDS are not excluded from this definition.</w:t>
      </w:r>
    </w:p>
    <w:p w:rsidR="004E13A5" w:rsidRDefault="00681463">
      <w:pPr>
        <w:pStyle w:val="BodyText"/>
        <w:spacing w:before="120"/>
        <w:ind w:right="123"/>
      </w:pPr>
      <w:r>
        <w:t>A person whose disability is based solely on any drug or alcohol dependence does not qualify as a person with disabilities for the purposes of this program.</w:t>
      </w:r>
    </w:p>
    <w:p w:rsidR="004E13A5" w:rsidRDefault="00681463">
      <w:pPr>
        <w:pStyle w:val="BodyText"/>
        <w:spacing w:before="120"/>
        <w:ind w:right="62"/>
      </w:pPr>
      <w:r>
        <w:t>For purposes of reasonable accommodation and program accessibility for persons with disabilities, the term person with disabilities refers to an individual with handicaps.</w:t>
      </w:r>
    </w:p>
    <w:p w:rsidR="004E13A5" w:rsidRDefault="00681463">
      <w:pPr>
        <w:pStyle w:val="Heading4"/>
        <w:spacing w:before="120"/>
      </w:pPr>
      <w:r>
        <w:t>Individual with Handicaps [24 CFR 8.3]</w:t>
      </w:r>
    </w:p>
    <w:p w:rsidR="004E13A5" w:rsidRDefault="00681463">
      <w:pPr>
        <w:pStyle w:val="BodyText"/>
        <w:spacing w:before="120"/>
        <w:ind w:right="183"/>
      </w:pPr>
      <w:r>
        <w:rPr>
          <w:i/>
        </w:rPr>
        <w:t xml:space="preserve">Individual with handicaps </w:t>
      </w:r>
      <w:r>
        <w:t>means any person who has a physical or mental impairment that substantially limits one or more major life activities; has a record of such an impairment; or is regarded as having such an impairment.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 As used in this definition, the phrase:</w:t>
      </w:r>
    </w:p>
    <w:p w:rsidR="004E13A5" w:rsidRDefault="00681463">
      <w:pPr>
        <w:pStyle w:val="ListParagraph"/>
        <w:numPr>
          <w:ilvl w:val="0"/>
          <w:numId w:val="89"/>
        </w:numPr>
        <w:tabs>
          <w:tab w:val="left" w:pos="461"/>
        </w:tabs>
        <w:spacing w:before="120"/>
        <w:rPr>
          <w:sz w:val="24"/>
        </w:rPr>
      </w:pPr>
      <w:r>
        <w:rPr>
          <w:sz w:val="24"/>
        </w:rPr>
        <w:t>Physical or mental impairment</w:t>
      </w:r>
      <w:r>
        <w:rPr>
          <w:spacing w:val="-8"/>
          <w:sz w:val="24"/>
        </w:rPr>
        <w:t xml:space="preserve"> </w:t>
      </w:r>
      <w:r>
        <w:rPr>
          <w:sz w:val="24"/>
        </w:rPr>
        <w:t>includes:</w:t>
      </w:r>
    </w:p>
    <w:p w:rsidR="004E13A5" w:rsidRDefault="00681463">
      <w:pPr>
        <w:pStyle w:val="ListParagraph"/>
        <w:numPr>
          <w:ilvl w:val="1"/>
          <w:numId w:val="89"/>
        </w:numPr>
        <w:tabs>
          <w:tab w:val="left" w:pos="821"/>
        </w:tabs>
        <w:spacing w:before="120"/>
        <w:ind w:right="237"/>
        <w:rPr>
          <w:sz w:val="24"/>
        </w:rPr>
      </w:pPr>
      <w:r>
        <w:rPr>
          <w:sz w:val="24"/>
        </w:rPr>
        <w:t>Any physiological disorder or condition, cosmetic disfigurement, or anatomical loss affecting one or more of the following body systems: neurological; musculoskeletal; special sense organs; respiratory, including speech organs; cardiovascular;</w:t>
      </w:r>
      <w:r>
        <w:rPr>
          <w:spacing w:val="-15"/>
          <w:sz w:val="24"/>
        </w:rPr>
        <w:t xml:space="preserve"> </w:t>
      </w:r>
      <w:r>
        <w:rPr>
          <w:sz w:val="24"/>
        </w:rPr>
        <w:t>reproductive; digestive; genito-urinary; hemic and lymphatic; skin; and endocrine;</w:t>
      </w:r>
      <w:r>
        <w:rPr>
          <w:spacing w:val="-18"/>
          <w:sz w:val="24"/>
        </w:rPr>
        <w:t xml:space="preserve"> </w:t>
      </w:r>
      <w:r>
        <w:rPr>
          <w:sz w:val="24"/>
        </w:rPr>
        <w:t>or</w:t>
      </w:r>
    </w:p>
    <w:p w:rsidR="004E13A5" w:rsidRDefault="00681463">
      <w:pPr>
        <w:pStyle w:val="ListParagraph"/>
        <w:numPr>
          <w:ilvl w:val="1"/>
          <w:numId w:val="89"/>
        </w:numPr>
        <w:tabs>
          <w:tab w:val="left" w:pos="821"/>
        </w:tabs>
        <w:ind w:right="836"/>
        <w:rPr>
          <w:sz w:val="24"/>
        </w:rPr>
      </w:pPr>
      <w:r>
        <w:rPr>
          <w:sz w:val="24"/>
        </w:rPr>
        <w:t>Any mental or psychological disorder, such as mental retardation, organic brain syndrome, emotional or mental illness, and specific learning disabilities. The</w:t>
      </w:r>
      <w:r>
        <w:rPr>
          <w:spacing w:val="-18"/>
          <w:sz w:val="24"/>
        </w:rPr>
        <w:t xml:space="preserve"> </w:t>
      </w:r>
      <w:r>
        <w:rPr>
          <w:sz w:val="24"/>
        </w:rPr>
        <w:t>term physical or mental impairment includes, but is not limited to, such diseases</w:t>
      </w:r>
      <w:r>
        <w:rPr>
          <w:spacing w:val="-16"/>
          <w:sz w:val="24"/>
        </w:rPr>
        <w:t xml:space="preserve"> </w:t>
      </w:r>
      <w:r>
        <w:rPr>
          <w:sz w:val="24"/>
        </w:rPr>
        <w:t>and</w:t>
      </w:r>
    </w:p>
    <w:p w:rsidR="004E13A5" w:rsidRDefault="004E13A5">
      <w:pPr>
        <w:rPr>
          <w:sz w:val="24"/>
        </w:rPr>
        <w:sectPr w:rsidR="004E13A5">
          <w:pgSz w:w="12240" w:h="15840"/>
          <w:pgMar w:top="1360" w:right="1360" w:bottom="640" w:left="1340" w:header="0" w:footer="381" w:gutter="0"/>
          <w:cols w:space="720"/>
        </w:sectPr>
      </w:pPr>
    </w:p>
    <w:p w:rsidR="004E13A5" w:rsidRDefault="00681463">
      <w:pPr>
        <w:pStyle w:val="BodyText"/>
        <w:spacing w:before="79"/>
        <w:ind w:left="820"/>
      </w:pPr>
      <w:r>
        <w:lastRenderedPageBreak/>
        <w:t>conditions as orthopedic, visual, speech and hearing impairments, cerebral palsy, autism, epilepsy, muscular dystrophy, multiple sclerosis, cancer, heart disease, diabetes, mental retardation, emotional illness, drug addiction and alcoholism.</w:t>
      </w:r>
    </w:p>
    <w:p w:rsidR="004E13A5" w:rsidRDefault="00681463">
      <w:pPr>
        <w:pStyle w:val="ListParagraph"/>
        <w:numPr>
          <w:ilvl w:val="0"/>
          <w:numId w:val="89"/>
        </w:numPr>
        <w:tabs>
          <w:tab w:val="left" w:pos="461"/>
        </w:tabs>
        <w:ind w:right="208"/>
        <w:rPr>
          <w:sz w:val="24"/>
        </w:rPr>
      </w:pPr>
      <w:r>
        <w:rPr>
          <w:i/>
          <w:sz w:val="24"/>
        </w:rPr>
        <w:t xml:space="preserve">Major life activities </w:t>
      </w:r>
      <w:r>
        <w:rPr>
          <w:sz w:val="24"/>
        </w:rPr>
        <w:t>means functions such as caring for one's self, performing manual</w:t>
      </w:r>
      <w:r>
        <w:rPr>
          <w:spacing w:val="-20"/>
          <w:sz w:val="24"/>
        </w:rPr>
        <w:t xml:space="preserve"> </w:t>
      </w:r>
      <w:r>
        <w:rPr>
          <w:sz w:val="24"/>
        </w:rPr>
        <w:t>tasks, walking, seeing, hearing, speaking, breathing, learning and</w:t>
      </w:r>
      <w:r>
        <w:rPr>
          <w:spacing w:val="-15"/>
          <w:sz w:val="24"/>
        </w:rPr>
        <w:t xml:space="preserve"> </w:t>
      </w:r>
      <w:r>
        <w:rPr>
          <w:sz w:val="24"/>
        </w:rPr>
        <w:t>working.</w:t>
      </w:r>
    </w:p>
    <w:p w:rsidR="004E13A5" w:rsidRDefault="00681463">
      <w:pPr>
        <w:pStyle w:val="ListParagraph"/>
        <w:numPr>
          <w:ilvl w:val="0"/>
          <w:numId w:val="89"/>
        </w:numPr>
        <w:tabs>
          <w:tab w:val="left" w:pos="461"/>
        </w:tabs>
        <w:ind w:right="584"/>
        <w:jc w:val="both"/>
        <w:rPr>
          <w:sz w:val="24"/>
        </w:rPr>
      </w:pPr>
      <w:r>
        <w:rPr>
          <w:sz w:val="24"/>
        </w:rPr>
        <w:t>Has a record of such an impairment means has a history of, or has been misclassified</w:t>
      </w:r>
      <w:r>
        <w:rPr>
          <w:spacing w:val="-15"/>
          <w:sz w:val="24"/>
        </w:rPr>
        <w:t xml:space="preserve"> </w:t>
      </w:r>
      <w:r>
        <w:rPr>
          <w:sz w:val="24"/>
        </w:rPr>
        <w:t>as having, a mental or physical impairment that substantially limits one or more major life activities.</w:t>
      </w:r>
    </w:p>
    <w:p w:rsidR="004E13A5" w:rsidRDefault="00681463">
      <w:pPr>
        <w:pStyle w:val="ListParagraph"/>
        <w:numPr>
          <w:ilvl w:val="0"/>
          <w:numId w:val="89"/>
        </w:numPr>
        <w:tabs>
          <w:tab w:val="left" w:pos="461"/>
        </w:tabs>
        <w:rPr>
          <w:sz w:val="24"/>
        </w:rPr>
      </w:pPr>
      <w:r>
        <w:rPr>
          <w:i/>
          <w:sz w:val="24"/>
        </w:rPr>
        <w:t>Is regarded as having an impairment</w:t>
      </w:r>
      <w:r>
        <w:rPr>
          <w:i/>
          <w:spacing w:val="-7"/>
          <w:sz w:val="24"/>
        </w:rPr>
        <w:t xml:space="preserve"> </w:t>
      </w:r>
      <w:r>
        <w:rPr>
          <w:sz w:val="24"/>
        </w:rPr>
        <w:t>means:</w:t>
      </w:r>
    </w:p>
    <w:p w:rsidR="004E13A5" w:rsidRDefault="00681463">
      <w:pPr>
        <w:pStyle w:val="ListParagraph"/>
        <w:numPr>
          <w:ilvl w:val="1"/>
          <w:numId w:val="89"/>
        </w:numPr>
        <w:tabs>
          <w:tab w:val="left" w:pos="821"/>
        </w:tabs>
        <w:ind w:right="187"/>
        <w:rPr>
          <w:sz w:val="24"/>
        </w:rPr>
      </w:pPr>
      <w:r>
        <w:rPr>
          <w:sz w:val="24"/>
        </w:rPr>
        <w:t>Has a physical or mental impairment that does not substantially limit one or more</w:t>
      </w:r>
      <w:r>
        <w:rPr>
          <w:spacing w:val="-15"/>
          <w:sz w:val="24"/>
        </w:rPr>
        <w:t xml:space="preserve"> </w:t>
      </w:r>
      <w:r>
        <w:rPr>
          <w:sz w:val="24"/>
        </w:rPr>
        <w:t>major life activities but that is treated by a recipient as constituting such a</w:t>
      </w:r>
      <w:r>
        <w:rPr>
          <w:spacing w:val="-16"/>
          <w:sz w:val="24"/>
        </w:rPr>
        <w:t xml:space="preserve"> </w:t>
      </w:r>
      <w:r>
        <w:rPr>
          <w:sz w:val="24"/>
        </w:rPr>
        <w:t>limitation;</w:t>
      </w:r>
    </w:p>
    <w:p w:rsidR="004E13A5" w:rsidRDefault="00681463">
      <w:pPr>
        <w:pStyle w:val="ListParagraph"/>
        <w:numPr>
          <w:ilvl w:val="1"/>
          <w:numId w:val="89"/>
        </w:numPr>
        <w:tabs>
          <w:tab w:val="left" w:pos="821"/>
        </w:tabs>
        <w:spacing w:before="120"/>
        <w:ind w:right="579"/>
        <w:rPr>
          <w:sz w:val="24"/>
        </w:rPr>
      </w:pPr>
      <w:r>
        <w:rPr>
          <w:sz w:val="24"/>
        </w:rPr>
        <w:t>Has a physical or mental impairment that substantially limits one or more major life activities only as a result of the attitudes of others toward such impairment;</w:t>
      </w:r>
      <w:r>
        <w:rPr>
          <w:spacing w:val="-9"/>
          <w:sz w:val="24"/>
        </w:rPr>
        <w:t xml:space="preserve"> </w:t>
      </w:r>
      <w:r>
        <w:rPr>
          <w:sz w:val="24"/>
        </w:rPr>
        <w:t>or</w:t>
      </w:r>
    </w:p>
    <w:p w:rsidR="004E13A5" w:rsidRDefault="00681463">
      <w:pPr>
        <w:pStyle w:val="ListParagraph"/>
        <w:numPr>
          <w:ilvl w:val="1"/>
          <w:numId w:val="89"/>
        </w:numPr>
        <w:tabs>
          <w:tab w:val="left" w:pos="821"/>
        </w:tabs>
        <w:spacing w:before="120"/>
        <w:ind w:right="311"/>
        <w:rPr>
          <w:sz w:val="24"/>
        </w:rPr>
      </w:pPr>
      <w:r>
        <w:rPr>
          <w:sz w:val="24"/>
        </w:rPr>
        <w:t>Has none of the impairments defined in paragraph (1) of this section but is treated by</w:t>
      </w:r>
      <w:r>
        <w:rPr>
          <w:spacing w:val="-16"/>
          <w:sz w:val="24"/>
        </w:rPr>
        <w:t xml:space="preserve"> </w:t>
      </w:r>
      <w:r>
        <w:rPr>
          <w:sz w:val="24"/>
        </w:rPr>
        <w:t>a recipient as having such an</w:t>
      </w:r>
      <w:r>
        <w:rPr>
          <w:spacing w:val="-7"/>
          <w:sz w:val="24"/>
        </w:rPr>
        <w:t xml:space="preserve"> </w:t>
      </w:r>
      <w:r>
        <w:rPr>
          <w:sz w:val="24"/>
        </w:rPr>
        <w:t>impairment.</w:t>
      </w:r>
    </w:p>
    <w:p w:rsidR="004E13A5" w:rsidRDefault="004E13A5">
      <w:pPr>
        <w:rPr>
          <w:sz w:val="24"/>
        </w:rPr>
        <w:sectPr w:rsidR="004E13A5">
          <w:pgSz w:w="12240" w:h="15840"/>
          <w:pgMar w:top="1360" w:right="1440" w:bottom="640" w:left="1340" w:header="0" w:footer="381" w:gutter="0"/>
          <w:cols w:space="720"/>
        </w:sectPr>
      </w:pPr>
    </w:p>
    <w:p w:rsidR="004E13A5" w:rsidRDefault="004E13A5">
      <w:pPr>
        <w:pStyle w:val="BodyText"/>
        <w:spacing w:before="2"/>
        <w:ind w:left="0"/>
        <w:rPr>
          <w:sz w:val="5"/>
        </w:rPr>
      </w:pPr>
    </w:p>
    <w:p w:rsidR="004E13A5" w:rsidRDefault="00681463">
      <w:pPr>
        <w:ind w:left="102"/>
        <w:rPr>
          <w:sz w:val="20"/>
        </w:rPr>
      </w:pPr>
      <w:r>
        <w:rPr>
          <w:spacing w:val="-49"/>
          <w:sz w:val="20"/>
        </w:rPr>
        <w:t xml:space="preserve"> </w:t>
      </w:r>
      <w:r w:rsidR="003263D1">
        <w:rPr>
          <w:noProof/>
          <w:spacing w:val="-49"/>
          <w:sz w:val="20"/>
        </w:rPr>
        <mc:AlternateContent>
          <mc:Choice Requires="wps">
            <w:drawing>
              <wp:inline distT="0" distB="0" distL="0" distR="0">
                <wp:extent cx="6088380" cy="382905"/>
                <wp:effectExtent l="11430" t="8890" r="5715" b="8255"/>
                <wp:docPr id="7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3463" w:right="770" w:hanging="2687"/>
                              <w:rPr>
                                <w:b/>
                                <w:sz w:val="24"/>
                              </w:rPr>
                            </w:pPr>
                            <w:r>
                              <w:rPr>
                                <w:b/>
                                <w:sz w:val="24"/>
                              </w:rPr>
                              <w:t>EXHIBIT 3-2: DEFINITION OF INSTITUTION OF HIGHER EDUCATION [20 U.S.C. 1001 and 1002]</w:t>
                            </w:r>
                          </w:p>
                        </w:txbxContent>
                      </wps:txbx>
                      <wps:bodyPr rot="0" vert="horz" wrap="square" lIns="0" tIns="0" rIns="0" bIns="0" anchor="t" anchorCtr="0" upright="1">
                        <a:noAutofit/>
                      </wps:bodyPr>
                    </wps:wsp>
                  </a:graphicData>
                </a:graphic>
              </wp:inline>
            </w:drawing>
          </mc:Choice>
          <mc:Fallback>
            <w:pict>
              <v:shape id="Text Box 99" o:spid="_x0000_s1030" type="#_x0000_t202" style="width:479.4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" filled="f" strokeweight=".48pt">
                <v:textbox inset="0,0,0,0">
                  <w:txbxContent>
                    <w:p w:rsidR="00BA59C9" w:rsidRDefault="00BA59C9">
                      <w:pPr>
                        <w:spacing w:before="18"/>
                        <w:ind w:left="3463" w:right="770" w:hanging="2687"/>
                        <w:rPr>
                          <w:b/>
                          <w:sz w:val="24"/>
                        </w:rPr>
                      </w:pPr>
                      <w:r>
                        <w:rPr>
                          <w:b/>
                          <w:sz w:val="24"/>
                        </w:rPr>
                        <w:t>EXHIBIT 3-2: DEFINITION OF INSTITUTION OF HIGHER EDUCATION [20 U.S.C. 1001 and 1002]</w:t>
                      </w:r>
                    </w:p>
                  </w:txbxContent>
                </v:textbox>
                <w10:anchorlock/>
              </v:shape>
            </w:pict>
          </mc:Fallback>
        </mc:AlternateContent>
      </w:r>
    </w:p>
    <w:p w:rsidR="004E13A5" w:rsidRDefault="00681463">
      <w:pPr>
        <w:pStyle w:val="Heading4"/>
        <w:spacing w:before="91"/>
        <w:ind w:left="220" w:right="355"/>
      </w:pPr>
      <w:r>
        <w:t>Eligibility of Students for Assisted Housing Under Section 8 of the U.S. Housing Act of 1937; Supplementary Guidance; Notice [Federal Register, April 10, 2006]</w:t>
      </w:r>
    </w:p>
    <w:p w:rsidR="004E13A5" w:rsidRDefault="00681463">
      <w:pPr>
        <w:spacing w:before="119"/>
        <w:ind w:left="220" w:right="415"/>
        <w:rPr>
          <w:sz w:val="24"/>
        </w:rPr>
      </w:pPr>
      <w:r>
        <w:rPr>
          <w:i/>
          <w:sz w:val="24"/>
        </w:rPr>
        <w:t xml:space="preserve">Institution of Higher Education </w:t>
      </w:r>
      <w:r>
        <w:rPr>
          <w:sz w:val="24"/>
        </w:rPr>
        <w:t>shall have the meaning given this term in the Higher Education Act of 1965 in 20 U.S.C. 1001 and 1002.</w:t>
      </w:r>
    </w:p>
    <w:p w:rsidR="004E13A5" w:rsidRDefault="00681463">
      <w:pPr>
        <w:spacing w:before="119"/>
        <w:ind w:left="220"/>
        <w:rPr>
          <w:i/>
          <w:sz w:val="24"/>
        </w:rPr>
      </w:pPr>
      <w:r>
        <w:rPr>
          <w:i/>
          <w:sz w:val="24"/>
        </w:rPr>
        <w:t>Definition of ‘‘Institution of Higher Education’’ From 20 U.S.C. 1001</w:t>
      </w:r>
    </w:p>
    <w:p w:rsidR="004E13A5" w:rsidRDefault="00681463">
      <w:pPr>
        <w:pStyle w:val="ListParagraph"/>
        <w:numPr>
          <w:ilvl w:val="0"/>
          <w:numId w:val="88"/>
        </w:numPr>
        <w:tabs>
          <w:tab w:val="left" w:pos="581"/>
        </w:tabs>
        <w:ind w:right="535"/>
        <w:jc w:val="both"/>
        <w:rPr>
          <w:sz w:val="24"/>
        </w:rPr>
      </w:pPr>
      <w:r>
        <w:rPr>
          <w:sz w:val="24"/>
        </w:rPr>
        <w:t>Institution of higher education. For purposes of this chapter, other than subchapter IV and part C of subchapter I of chapter 34 of Title 42, the term ‘‘institution of higher</w:t>
      </w:r>
      <w:r>
        <w:rPr>
          <w:spacing w:val="-12"/>
          <w:sz w:val="24"/>
        </w:rPr>
        <w:t xml:space="preserve"> </w:t>
      </w:r>
      <w:r>
        <w:rPr>
          <w:sz w:val="24"/>
        </w:rPr>
        <w:t>education’’ means an educational institution in any State</w:t>
      </w:r>
      <w:r>
        <w:rPr>
          <w:spacing w:val="-13"/>
          <w:sz w:val="24"/>
        </w:rPr>
        <w:t xml:space="preserve"> </w:t>
      </w:r>
      <w:r>
        <w:rPr>
          <w:sz w:val="24"/>
        </w:rPr>
        <w:t>that</w:t>
      </w:r>
    </w:p>
    <w:p w:rsidR="004E13A5" w:rsidRDefault="00681463">
      <w:pPr>
        <w:pStyle w:val="ListParagraph"/>
        <w:numPr>
          <w:ilvl w:val="1"/>
          <w:numId w:val="88"/>
        </w:numPr>
        <w:tabs>
          <w:tab w:val="left" w:pos="941"/>
        </w:tabs>
        <w:spacing w:before="120"/>
        <w:ind w:right="403"/>
        <w:rPr>
          <w:sz w:val="24"/>
        </w:rPr>
      </w:pPr>
      <w:r>
        <w:rPr>
          <w:sz w:val="24"/>
        </w:rPr>
        <w:t>Admits as regular students only persons having a certificate of graduation from a</w:t>
      </w:r>
      <w:r>
        <w:rPr>
          <w:spacing w:val="-16"/>
          <w:sz w:val="24"/>
        </w:rPr>
        <w:t xml:space="preserve"> </w:t>
      </w:r>
      <w:r>
        <w:rPr>
          <w:sz w:val="24"/>
        </w:rPr>
        <w:t>school providing secondary education, or the recognized equivalent of such a</w:t>
      </w:r>
      <w:r>
        <w:rPr>
          <w:spacing w:val="-9"/>
          <w:sz w:val="24"/>
        </w:rPr>
        <w:t xml:space="preserve"> </w:t>
      </w:r>
      <w:r>
        <w:rPr>
          <w:sz w:val="24"/>
        </w:rPr>
        <w:t>certificate;</w:t>
      </w:r>
    </w:p>
    <w:p w:rsidR="004E13A5" w:rsidRDefault="00681463">
      <w:pPr>
        <w:pStyle w:val="ListParagraph"/>
        <w:numPr>
          <w:ilvl w:val="1"/>
          <w:numId w:val="88"/>
        </w:numPr>
        <w:tabs>
          <w:tab w:val="left" w:pos="941"/>
        </w:tabs>
        <w:ind w:right="1091"/>
        <w:rPr>
          <w:sz w:val="24"/>
        </w:rPr>
      </w:pPr>
      <w:r>
        <w:rPr>
          <w:sz w:val="24"/>
        </w:rPr>
        <w:t>Is legally authorized within such State to provide a program of education</w:t>
      </w:r>
      <w:r>
        <w:rPr>
          <w:spacing w:val="-13"/>
          <w:sz w:val="24"/>
        </w:rPr>
        <w:t xml:space="preserve"> </w:t>
      </w:r>
      <w:r>
        <w:rPr>
          <w:sz w:val="24"/>
        </w:rPr>
        <w:t>beyond secondary</w:t>
      </w:r>
      <w:r>
        <w:rPr>
          <w:spacing w:val="-5"/>
          <w:sz w:val="24"/>
        </w:rPr>
        <w:t xml:space="preserve"> </w:t>
      </w:r>
      <w:r>
        <w:rPr>
          <w:sz w:val="24"/>
        </w:rPr>
        <w:t>education;</w:t>
      </w:r>
    </w:p>
    <w:p w:rsidR="004E13A5" w:rsidRDefault="00681463">
      <w:pPr>
        <w:pStyle w:val="ListParagraph"/>
        <w:numPr>
          <w:ilvl w:val="1"/>
          <w:numId w:val="88"/>
        </w:numPr>
        <w:tabs>
          <w:tab w:val="left" w:pos="941"/>
        </w:tabs>
        <w:ind w:right="399"/>
        <w:rPr>
          <w:sz w:val="24"/>
        </w:rPr>
      </w:pPr>
      <w:r>
        <w:rPr>
          <w:sz w:val="24"/>
        </w:rPr>
        <w:t>Provides an educational program for which the institution awards a bachelor’s degree</w:t>
      </w:r>
      <w:r>
        <w:rPr>
          <w:spacing w:val="-13"/>
          <w:sz w:val="24"/>
        </w:rPr>
        <w:t xml:space="preserve"> </w:t>
      </w:r>
      <w:r>
        <w:rPr>
          <w:sz w:val="24"/>
        </w:rPr>
        <w:t>or provides not less than a 2-year program that is acceptable for full credit toward such a degree;</w:t>
      </w:r>
    </w:p>
    <w:p w:rsidR="004E13A5" w:rsidRDefault="00681463">
      <w:pPr>
        <w:pStyle w:val="ListParagraph"/>
        <w:numPr>
          <w:ilvl w:val="1"/>
          <w:numId w:val="88"/>
        </w:numPr>
        <w:tabs>
          <w:tab w:val="left" w:pos="941"/>
        </w:tabs>
        <w:rPr>
          <w:sz w:val="24"/>
        </w:rPr>
      </w:pPr>
      <w:r>
        <w:rPr>
          <w:sz w:val="24"/>
        </w:rPr>
        <w:t>Is a public or other nonprofit institution;</w:t>
      </w:r>
      <w:r>
        <w:rPr>
          <w:spacing w:val="-6"/>
          <w:sz w:val="24"/>
        </w:rPr>
        <w:t xml:space="preserve"> </w:t>
      </w:r>
      <w:r>
        <w:rPr>
          <w:sz w:val="24"/>
        </w:rPr>
        <w:t>and</w:t>
      </w:r>
    </w:p>
    <w:p w:rsidR="004E13A5" w:rsidRDefault="00681463">
      <w:pPr>
        <w:pStyle w:val="ListParagraph"/>
        <w:numPr>
          <w:ilvl w:val="1"/>
          <w:numId w:val="88"/>
        </w:numPr>
        <w:tabs>
          <w:tab w:val="left" w:pos="941"/>
        </w:tabs>
        <w:ind w:right="363"/>
        <w:rPr>
          <w:sz w:val="24"/>
        </w:rPr>
      </w:pPr>
      <w:r>
        <w:rPr>
          <w:sz w:val="24"/>
        </w:rPr>
        <w:t>Is accredited by a nationally recognized accrediting agency or association, or if not so accredited, is an institution that has been granted pre-accreditation status by such an agency or association that has been recognized by the Secretary for the granting of pre- accreditation status, and the Secretary has determined that there is satisfactory assurance that the institution will meet the accreditation standards of such an agency or</w:t>
      </w:r>
      <w:r>
        <w:rPr>
          <w:spacing w:val="-16"/>
          <w:sz w:val="24"/>
        </w:rPr>
        <w:t xml:space="preserve"> </w:t>
      </w:r>
      <w:r>
        <w:rPr>
          <w:sz w:val="24"/>
        </w:rPr>
        <w:t>association within a reasonable</w:t>
      </w:r>
      <w:r>
        <w:rPr>
          <w:spacing w:val="-4"/>
          <w:sz w:val="24"/>
        </w:rPr>
        <w:t xml:space="preserve"> </w:t>
      </w:r>
      <w:r>
        <w:rPr>
          <w:sz w:val="24"/>
        </w:rPr>
        <w:t>time.</w:t>
      </w:r>
    </w:p>
    <w:p w:rsidR="004E13A5" w:rsidRDefault="00681463">
      <w:pPr>
        <w:pStyle w:val="ListParagraph"/>
        <w:numPr>
          <w:ilvl w:val="0"/>
          <w:numId w:val="88"/>
        </w:numPr>
        <w:tabs>
          <w:tab w:val="left" w:pos="581"/>
        </w:tabs>
        <w:ind w:right="476"/>
        <w:jc w:val="both"/>
        <w:rPr>
          <w:sz w:val="24"/>
        </w:rPr>
      </w:pPr>
      <w:r>
        <w:rPr>
          <w:sz w:val="24"/>
        </w:rPr>
        <w:t>Additional institutions included. For purposes of this chapter, other than subchapter IV</w:t>
      </w:r>
      <w:r>
        <w:rPr>
          <w:spacing w:val="-16"/>
          <w:sz w:val="24"/>
        </w:rPr>
        <w:t xml:space="preserve"> </w:t>
      </w:r>
      <w:r>
        <w:rPr>
          <w:sz w:val="24"/>
        </w:rPr>
        <w:t>and part C of subchapter I of chapter 34 of Title 42, the term ‘‘institution of higher education’’ also</w:t>
      </w:r>
      <w:r>
        <w:rPr>
          <w:spacing w:val="-4"/>
          <w:sz w:val="24"/>
        </w:rPr>
        <w:t xml:space="preserve"> </w:t>
      </w:r>
      <w:r>
        <w:rPr>
          <w:sz w:val="24"/>
        </w:rPr>
        <w:t>includes—</w:t>
      </w:r>
    </w:p>
    <w:p w:rsidR="004E13A5" w:rsidRDefault="00681463">
      <w:pPr>
        <w:pStyle w:val="ListParagraph"/>
        <w:numPr>
          <w:ilvl w:val="1"/>
          <w:numId w:val="88"/>
        </w:numPr>
        <w:tabs>
          <w:tab w:val="left" w:pos="941"/>
        </w:tabs>
        <w:ind w:right="543"/>
        <w:rPr>
          <w:sz w:val="24"/>
        </w:rPr>
      </w:pPr>
      <w:r>
        <w:rPr>
          <w:sz w:val="24"/>
        </w:rPr>
        <w:t>Any school that provides not less than a 1-year program of training to prepare</w:t>
      </w:r>
      <w:r>
        <w:rPr>
          <w:spacing w:val="-15"/>
          <w:sz w:val="24"/>
        </w:rPr>
        <w:t xml:space="preserve"> </w:t>
      </w:r>
      <w:r>
        <w:rPr>
          <w:sz w:val="24"/>
        </w:rPr>
        <w:t>students for gainful employment in a recognized occupation and that meets the provision of paragraphs (1), (2), (4), and (5) of subsection (a) of this section;</w:t>
      </w:r>
      <w:r>
        <w:rPr>
          <w:spacing w:val="-11"/>
          <w:sz w:val="24"/>
        </w:rPr>
        <w:t xml:space="preserve"> </w:t>
      </w:r>
      <w:r>
        <w:rPr>
          <w:sz w:val="24"/>
        </w:rPr>
        <w:t>and</w:t>
      </w:r>
    </w:p>
    <w:p w:rsidR="004E13A5" w:rsidRDefault="00681463">
      <w:pPr>
        <w:pStyle w:val="ListParagraph"/>
        <w:numPr>
          <w:ilvl w:val="1"/>
          <w:numId w:val="88"/>
        </w:numPr>
        <w:tabs>
          <w:tab w:val="left" w:pos="941"/>
        </w:tabs>
        <w:ind w:right="403"/>
        <w:rPr>
          <w:sz w:val="24"/>
        </w:rPr>
      </w:pPr>
      <w:r>
        <w:rPr>
          <w:sz w:val="24"/>
        </w:rPr>
        <w:t>A public or nonprofit private educational institution in any State that, in lieu of the requirement in subsection (a)(1) of this section, admits as regular students persons who are beyond the age of compulsory school attendance in the State in which the institution is</w:t>
      </w:r>
      <w:r>
        <w:rPr>
          <w:spacing w:val="-2"/>
          <w:sz w:val="24"/>
        </w:rPr>
        <w:t xml:space="preserve"> </w:t>
      </w:r>
      <w:r>
        <w:rPr>
          <w:sz w:val="24"/>
        </w:rPr>
        <w:t>located.</w:t>
      </w:r>
    </w:p>
    <w:p w:rsidR="004E13A5" w:rsidRDefault="00681463">
      <w:pPr>
        <w:pStyle w:val="ListParagraph"/>
        <w:numPr>
          <w:ilvl w:val="0"/>
          <w:numId w:val="88"/>
        </w:numPr>
        <w:tabs>
          <w:tab w:val="left" w:pos="581"/>
        </w:tabs>
        <w:ind w:right="599"/>
        <w:rPr>
          <w:sz w:val="24"/>
        </w:rPr>
      </w:pPr>
      <w:r>
        <w:rPr>
          <w:sz w:val="24"/>
        </w:rPr>
        <w:t>List of accrediting agencies. For purposes of this section and section 1002 of this title, the Secretary shall publish a list of nationally recognized accrediting agencies or associations that the Secretary determines, pursuant to subpart 2 of part G of subchapter IV of this chapter, to be reliable authority as to the quality of the education or training</w:t>
      </w:r>
      <w:r>
        <w:rPr>
          <w:spacing w:val="-18"/>
          <w:sz w:val="24"/>
        </w:rPr>
        <w:t xml:space="preserve"> </w:t>
      </w:r>
      <w:r>
        <w:rPr>
          <w:sz w:val="24"/>
        </w:rPr>
        <w:t>offered.</w:t>
      </w:r>
    </w:p>
    <w:p w:rsidR="004E13A5" w:rsidRDefault="00681463">
      <w:pPr>
        <w:spacing w:before="119"/>
        <w:ind w:left="220"/>
        <w:rPr>
          <w:i/>
          <w:sz w:val="24"/>
        </w:rPr>
      </w:pPr>
      <w:r>
        <w:rPr>
          <w:i/>
          <w:sz w:val="24"/>
        </w:rPr>
        <w:t>Definition of ‘‘Institution of Higher Education’’ From 20 U.S.C. 1002</w:t>
      </w:r>
    </w:p>
    <w:p w:rsidR="004E13A5" w:rsidRDefault="00681463">
      <w:pPr>
        <w:pStyle w:val="ListParagraph"/>
        <w:numPr>
          <w:ilvl w:val="0"/>
          <w:numId w:val="87"/>
        </w:numPr>
        <w:tabs>
          <w:tab w:val="left" w:pos="581"/>
        </w:tabs>
        <w:jc w:val="left"/>
        <w:rPr>
          <w:sz w:val="24"/>
        </w:rPr>
      </w:pPr>
      <w:r>
        <w:rPr>
          <w:sz w:val="24"/>
        </w:rPr>
        <w:t>Definition of institution of higher education for purposes of student assistance</w:t>
      </w:r>
      <w:r>
        <w:rPr>
          <w:spacing w:val="-15"/>
          <w:sz w:val="24"/>
        </w:rPr>
        <w:t xml:space="preserve"> </w:t>
      </w:r>
      <w:r>
        <w:rPr>
          <w:sz w:val="24"/>
        </w:rPr>
        <w:t>programs</w:t>
      </w:r>
    </w:p>
    <w:p w:rsidR="004E13A5" w:rsidRDefault="004E13A5">
      <w:pPr>
        <w:rPr>
          <w:sz w:val="24"/>
        </w:rPr>
        <w:sectPr w:rsidR="004E13A5">
          <w:pgSz w:w="12240" w:h="15840"/>
          <w:pgMar w:top="1500" w:right="1220" w:bottom="640" w:left="1220" w:header="0" w:footer="381" w:gutter="0"/>
          <w:cols w:space="720"/>
        </w:sectPr>
      </w:pPr>
    </w:p>
    <w:p w:rsidR="004E13A5" w:rsidRDefault="00681463">
      <w:pPr>
        <w:pStyle w:val="ListParagraph"/>
        <w:numPr>
          <w:ilvl w:val="0"/>
          <w:numId w:val="86"/>
        </w:numPr>
        <w:tabs>
          <w:tab w:val="left" w:pos="461"/>
        </w:tabs>
        <w:spacing w:before="79"/>
        <w:ind w:right="113"/>
        <w:jc w:val="left"/>
        <w:rPr>
          <w:sz w:val="24"/>
        </w:rPr>
      </w:pPr>
      <w:r>
        <w:rPr>
          <w:sz w:val="24"/>
        </w:rPr>
        <w:lastRenderedPageBreak/>
        <w:t>Inclusion of additional institutions. Subject to paragraphs (2) through (4) of this subsection, the term ‘‘institution of higher education’’ for purposes of subchapter IV of this chapter and part C of subchapter I of chapter 34 of title 42 includes, in addition to the institutions covered by the definition in section 1001 of this</w:t>
      </w:r>
      <w:r>
        <w:rPr>
          <w:spacing w:val="-6"/>
          <w:sz w:val="24"/>
        </w:rPr>
        <w:t xml:space="preserve"> </w:t>
      </w:r>
      <w:r>
        <w:rPr>
          <w:sz w:val="24"/>
        </w:rPr>
        <w:t>title—</w:t>
      </w:r>
    </w:p>
    <w:p w:rsidR="004E13A5" w:rsidRDefault="00681463">
      <w:pPr>
        <w:pStyle w:val="BodyText"/>
        <w:ind w:left="820" w:hanging="360"/>
      </w:pPr>
      <w:r>
        <w:t>(A) A proprietary institution of higher education (as defined in subsection (b) of this section);</w:t>
      </w:r>
    </w:p>
    <w:p w:rsidR="004E13A5" w:rsidRDefault="00681463">
      <w:pPr>
        <w:pStyle w:val="ListParagraph"/>
        <w:numPr>
          <w:ilvl w:val="0"/>
          <w:numId w:val="85"/>
        </w:numPr>
        <w:tabs>
          <w:tab w:val="left" w:pos="821"/>
        </w:tabs>
        <w:ind w:right="341"/>
        <w:rPr>
          <w:sz w:val="24"/>
        </w:rPr>
      </w:pPr>
      <w:r>
        <w:rPr>
          <w:sz w:val="24"/>
        </w:rPr>
        <w:t>A postsecondary vocational institution (as defined in subsection (c) of this</w:t>
      </w:r>
      <w:r>
        <w:rPr>
          <w:spacing w:val="-16"/>
          <w:sz w:val="24"/>
        </w:rPr>
        <w:t xml:space="preserve"> </w:t>
      </w:r>
      <w:r>
        <w:rPr>
          <w:sz w:val="24"/>
        </w:rPr>
        <w:t>section); and</w:t>
      </w:r>
    </w:p>
    <w:p w:rsidR="004E13A5" w:rsidRDefault="00681463">
      <w:pPr>
        <w:pStyle w:val="ListParagraph"/>
        <w:numPr>
          <w:ilvl w:val="0"/>
          <w:numId w:val="85"/>
        </w:numPr>
        <w:tabs>
          <w:tab w:val="left" w:pos="821"/>
        </w:tabs>
        <w:ind w:right="120"/>
        <w:rPr>
          <w:sz w:val="24"/>
        </w:rPr>
      </w:pPr>
      <w:r>
        <w:rPr>
          <w:sz w:val="24"/>
        </w:rPr>
        <w:t>Only for the purposes of part B of subchapter IV of this chapter, an institution</w:t>
      </w:r>
      <w:r>
        <w:rPr>
          <w:spacing w:val="-14"/>
          <w:sz w:val="24"/>
        </w:rPr>
        <w:t xml:space="preserve"> </w:t>
      </w:r>
      <w:r>
        <w:rPr>
          <w:sz w:val="24"/>
        </w:rPr>
        <w:t>outside the United States that is comparable to an institution of higher education as defined in section 1001 of this title and that has been approved by the Secretary for the purpose of part B of subchapter IV of this</w:t>
      </w:r>
      <w:r>
        <w:rPr>
          <w:spacing w:val="-10"/>
          <w:sz w:val="24"/>
        </w:rPr>
        <w:t xml:space="preserve"> </w:t>
      </w:r>
      <w:r>
        <w:rPr>
          <w:sz w:val="24"/>
        </w:rPr>
        <w:t>chapter.</w:t>
      </w:r>
    </w:p>
    <w:p w:rsidR="004E13A5" w:rsidRDefault="00681463">
      <w:pPr>
        <w:pStyle w:val="ListParagraph"/>
        <w:numPr>
          <w:ilvl w:val="0"/>
          <w:numId w:val="86"/>
        </w:numPr>
        <w:tabs>
          <w:tab w:val="left" w:pos="461"/>
        </w:tabs>
        <w:spacing w:before="120"/>
        <w:jc w:val="left"/>
        <w:rPr>
          <w:sz w:val="24"/>
        </w:rPr>
      </w:pPr>
      <w:r>
        <w:rPr>
          <w:sz w:val="24"/>
        </w:rPr>
        <w:t>Institutions outside the United</w:t>
      </w:r>
      <w:r>
        <w:rPr>
          <w:spacing w:val="-8"/>
          <w:sz w:val="24"/>
        </w:rPr>
        <w:t xml:space="preserve"> </w:t>
      </w:r>
      <w:r>
        <w:rPr>
          <w:sz w:val="24"/>
        </w:rPr>
        <w:t>States</w:t>
      </w:r>
    </w:p>
    <w:p w:rsidR="004E13A5" w:rsidRDefault="00681463">
      <w:pPr>
        <w:pStyle w:val="ListParagraph"/>
        <w:numPr>
          <w:ilvl w:val="1"/>
          <w:numId w:val="86"/>
        </w:numPr>
        <w:tabs>
          <w:tab w:val="left" w:pos="821"/>
        </w:tabs>
        <w:spacing w:before="120"/>
        <w:ind w:right="118"/>
        <w:rPr>
          <w:sz w:val="24"/>
        </w:rPr>
      </w:pPr>
      <w:r>
        <w:rPr>
          <w:sz w:val="24"/>
        </w:rPr>
        <w:t>In general. For the purpose of qualifying as an institution under paragraph (1)(C), the Secretary shall establish criteria by regulation for the approval of institutions outside the United States and for the determination that such institutions are comparable to</w:t>
      </w:r>
      <w:r>
        <w:rPr>
          <w:spacing w:val="-15"/>
          <w:sz w:val="24"/>
        </w:rPr>
        <w:t xml:space="preserve"> </w:t>
      </w:r>
      <w:r>
        <w:rPr>
          <w:sz w:val="24"/>
        </w:rPr>
        <w:t>an institution of higher education as defined in section 1001 of this title (except that a graduate medical school, or a veterinary school, located outside the United States shall not be required to meet the requirements of section 1001 (a)(4) of this title). Such criteria shall include a requirement that a student attending such school outside the United States is ineligible for loans made, insured, or guaranteed under part B of subchapter IV of this chapter</w:t>
      </w:r>
      <w:r>
        <w:rPr>
          <w:spacing w:val="-7"/>
          <w:sz w:val="24"/>
        </w:rPr>
        <w:t xml:space="preserve"> </w:t>
      </w:r>
      <w:r>
        <w:rPr>
          <w:sz w:val="24"/>
        </w:rPr>
        <w:t>unless—</w:t>
      </w:r>
    </w:p>
    <w:p w:rsidR="004E13A5" w:rsidRDefault="00681463">
      <w:pPr>
        <w:pStyle w:val="ListParagraph"/>
        <w:numPr>
          <w:ilvl w:val="2"/>
          <w:numId w:val="86"/>
        </w:numPr>
        <w:tabs>
          <w:tab w:val="left" w:pos="1181"/>
        </w:tabs>
        <w:spacing w:before="27" w:line="396" w:lineRule="exact"/>
        <w:ind w:right="704"/>
        <w:rPr>
          <w:sz w:val="24"/>
        </w:rPr>
      </w:pPr>
      <w:r>
        <w:rPr>
          <w:sz w:val="24"/>
        </w:rPr>
        <w:t>In the case of a graduate medical school located outside the United States— (I)(aa) At least 60 percent of those enrolled in, and at least 60 percent of</w:t>
      </w:r>
      <w:r>
        <w:rPr>
          <w:spacing w:val="-16"/>
          <w:sz w:val="24"/>
        </w:rPr>
        <w:t xml:space="preserve"> </w:t>
      </w:r>
      <w:r>
        <w:rPr>
          <w:sz w:val="24"/>
        </w:rPr>
        <w:t>the</w:t>
      </w:r>
    </w:p>
    <w:p w:rsidR="004E13A5" w:rsidRDefault="00681463">
      <w:pPr>
        <w:pStyle w:val="BodyText"/>
        <w:spacing w:before="0" w:line="249" w:lineRule="exact"/>
        <w:ind w:left="1540"/>
      </w:pPr>
      <w:r>
        <w:t>graduates of, the graduate medical school outside the United States were not</w:t>
      </w:r>
    </w:p>
    <w:p w:rsidR="004E13A5" w:rsidRDefault="00681463">
      <w:pPr>
        <w:pStyle w:val="BodyText"/>
        <w:spacing w:before="0"/>
        <w:ind w:left="1540" w:right="302"/>
      </w:pPr>
      <w:r>
        <w:t>persons described in section 1091(a)(5) of this title in the year preceding the year for which a student is seeking a loan under part B of subchapter IV of this chapter; and</w:t>
      </w:r>
    </w:p>
    <w:p w:rsidR="004E13A5" w:rsidRDefault="00681463">
      <w:pPr>
        <w:pStyle w:val="BodyText"/>
        <w:ind w:left="1540" w:right="142" w:hanging="360"/>
      </w:pPr>
      <w:r>
        <w:t>(bb) At least 60 percent of the individuals who were students or graduates of the graduate medical school outside the United States or Canada (both nationals of the United States and others) taking the examinations administered by the Educational Commission for Foreign Medical Graduates received a passing score in the year preceding the year for which a student is seeking a loan under part B of subchapter IV of this chapter; or</w:t>
      </w:r>
    </w:p>
    <w:p w:rsidR="004E13A5" w:rsidRDefault="00681463">
      <w:pPr>
        <w:pStyle w:val="BodyText"/>
        <w:spacing w:before="120"/>
        <w:ind w:left="1540" w:hanging="360"/>
      </w:pPr>
      <w:r>
        <w:t>(II) The institution has a clinical training program that was approved by a State as of January 1, 1992; or</w:t>
      </w:r>
    </w:p>
    <w:p w:rsidR="004E13A5" w:rsidRDefault="00681463">
      <w:pPr>
        <w:pStyle w:val="ListParagraph"/>
        <w:numPr>
          <w:ilvl w:val="2"/>
          <w:numId w:val="86"/>
        </w:numPr>
        <w:tabs>
          <w:tab w:val="left" w:pos="1181"/>
        </w:tabs>
        <w:spacing w:before="120"/>
        <w:ind w:right="212"/>
        <w:rPr>
          <w:sz w:val="24"/>
        </w:rPr>
      </w:pPr>
      <w:r>
        <w:rPr>
          <w:sz w:val="24"/>
        </w:rPr>
        <w:t>In the case of a veterinary school located outside the United States that does not meet the requirements of section 1001(a)(4) of this title, the institution’s students complete their clinical training at an approved veterinary school located in the United</w:t>
      </w:r>
      <w:r>
        <w:rPr>
          <w:spacing w:val="-2"/>
          <w:sz w:val="24"/>
        </w:rPr>
        <w:t xml:space="preserve"> </w:t>
      </w:r>
      <w:r>
        <w:rPr>
          <w:sz w:val="24"/>
        </w:rPr>
        <w:t>States.</w:t>
      </w:r>
    </w:p>
    <w:p w:rsidR="004E13A5" w:rsidRDefault="00681463">
      <w:pPr>
        <w:pStyle w:val="ListParagraph"/>
        <w:numPr>
          <w:ilvl w:val="1"/>
          <w:numId w:val="86"/>
        </w:numPr>
        <w:tabs>
          <w:tab w:val="left" w:pos="821"/>
        </w:tabs>
        <w:spacing w:before="120"/>
        <w:rPr>
          <w:sz w:val="24"/>
        </w:rPr>
      </w:pPr>
      <w:r>
        <w:rPr>
          <w:sz w:val="24"/>
        </w:rPr>
        <w:t>Advisory</w:t>
      </w:r>
      <w:r>
        <w:rPr>
          <w:spacing w:val="-4"/>
          <w:sz w:val="24"/>
        </w:rPr>
        <w:t xml:space="preserve"> </w:t>
      </w:r>
      <w:r>
        <w:rPr>
          <w:sz w:val="24"/>
        </w:rPr>
        <w:t>panel</w:t>
      </w:r>
    </w:p>
    <w:p w:rsidR="004E13A5" w:rsidRDefault="004E13A5">
      <w:pPr>
        <w:rPr>
          <w:sz w:val="24"/>
        </w:rPr>
        <w:sectPr w:rsidR="004E13A5">
          <w:pgSz w:w="12240" w:h="15840"/>
          <w:pgMar w:top="1360" w:right="1360" w:bottom="640" w:left="1700" w:header="0" w:footer="381" w:gutter="0"/>
          <w:cols w:space="720"/>
        </w:sectPr>
      </w:pPr>
    </w:p>
    <w:p w:rsidR="004E13A5" w:rsidRDefault="00681463">
      <w:pPr>
        <w:pStyle w:val="ListParagraph"/>
        <w:numPr>
          <w:ilvl w:val="2"/>
          <w:numId w:val="86"/>
        </w:numPr>
        <w:tabs>
          <w:tab w:val="left" w:pos="1181"/>
        </w:tabs>
        <w:spacing w:before="79"/>
        <w:ind w:right="258"/>
        <w:rPr>
          <w:sz w:val="24"/>
        </w:rPr>
      </w:pPr>
      <w:r>
        <w:rPr>
          <w:sz w:val="24"/>
        </w:rPr>
        <w:lastRenderedPageBreak/>
        <w:t>In general. For the purpose of qualifying as an institution under paragraph</w:t>
      </w:r>
      <w:r>
        <w:rPr>
          <w:spacing w:val="-19"/>
          <w:sz w:val="24"/>
        </w:rPr>
        <w:t xml:space="preserve"> </w:t>
      </w:r>
      <w:r>
        <w:rPr>
          <w:sz w:val="24"/>
        </w:rPr>
        <w:t>(1)(C) of this subsection, the Secretary shall establish an advisory panel of medical experts that</w:t>
      </w:r>
      <w:r>
        <w:rPr>
          <w:spacing w:val="-1"/>
          <w:sz w:val="24"/>
        </w:rPr>
        <w:t xml:space="preserve"> </w:t>
      </w:r>
      <w:r>
        <w:rPr>
          <w:sz w:val="24"/>
        </w:rPr>
        <w:t>shall—</w:t>
      </w:r>
    </w:p>
    <w:p w:rsidR="004E13A5" w:rsidRDefault="00681463">
      <w:pPr>
        <w:pStyle w:val="ListParagraph"/>
        <w:numPr>
          <w:ilvl w:val="3"/>
          <w:numId w:val="86"/>
        </w:numPr>
        <w:tabs>
          <w:tab w:val="left" w:pos="1541"/>
        </w:tabs>
        <w:ind w:right="417"/>
        <w:rPr>
          <w:sz w:val="24"/>
        </w:rPr>
      </w:pPr>
      <w:r>
        <w:rPr>
          <w:sz w:val="24"/>
        </w:rPr>
        <w:t>Evaluate the standards of accreditation applied to applicant foreign</w:t>
      </w:r>
      <w:r>
        <w:rPr>
          <w:spacing w:val="-13"/>
          <w:sz w:val="24"/>
        </w:rPr>
        <w:t xml:space="preserve"> </w:t>
      </w:r>
      <w:r>
        <w:rPr>
          <w:sz w:val="24"/>
        </w:rPr>
        <w:t>medical schools;</w:t>
      </w:r>
      <w:r>
        <w:rPr>
          <w:spacing w:val="-2"/>
          <w:sz w:val="24"/>
        </w:rPr>
        <w:t xml:space="preserve"> </w:t>
      </w:r>
      <w:r>
        <w:rPr>
          <w:sz w:val="24"/>
        </w:rPr>
        <w:t>and</w:t>
      </w:r>
    </w:p>
    <w:p w:rsidR="004E13A5" w:rsidRDefault="00681463">
      <w:pPr>
        <w:pStyle w:val="ListParagraph"/>
        <w:numPr>
          <w:ilvl w:val="3"/>
          <w:numId w:val="86"/>
        </w:numPr>
        <w:tabs>
          <w:tab w:val="left" w:pos="1541"/>
        </w:tabs>
        <w:ind w:right="252"/>
        <w:rPr>
          <w:sz w:val="24"/>
        </w:rPr>
      </w:pPr>
      <w:r>
        <w:rPr>
          <w:sz w:val="24"/>
        </w:rPr>
        <w:t>Determine the comparability of those standards to standards for accreditation applied to United States medical</w:t>
      </w:r>
      <w:r>
        <w:rPr>
          <w:spacing w:val="-7"/>
          <w:sz w:val="24"/>
        </w:rPr>
        <w:t xml:space="preserve"> </w:t>
      </w:r>
      <w:r>
        <w:rPr>
          <w:sz w:val="24"/>
        </w:rPr>
        <w:t>schools.</w:t>
      </w:r>
    </w:p>
    <w:p w:rsidR="004E13A5" w:rsidRDefault="00681463">
      <w:pPr>
        <w:pStyle w:val="ListParagraph"/>
        <w:numPr>
          <w:ilvl w:val="2"/>
          <w:numId w:val="86"/>
        </w:numPr>
        <w:tabs>
          <w:tab w:val="left" w:pos="1181"/>
        </w:tabs>
        <w:ind w:right="387"/>
        <w:rPr>
          <w:sz w:val="24"/>
        </w:rPr>
      </w:pPr>
      <w:r>
        <w:rPr>
          <w:sz w:val="24"/>
        </w:rPr>
        <w:t>Special rule if the accreditation standards described in clause (i) are determined not to be comparable, the foreign medical school shall be required to meet the requirements of section 1001 of this</w:t>
      </w:r>
      <w:r>
        <w:rPr>
          <w:spacing w:val="-4"/>
          <w:sz w:val="24"/>
        </w:rPr>
        <w:t xml:space="preserve"> </w:t>
      </w:r>
      <w:r>
        <w:rPr>
          <w:sz w:val="24"/>
        </w:rPr>
        <w:t>title.</w:t>
      </w:r>
    </w:p>
    <w:p w:rsidR="004E13A5" w:rsidRDefault="00681463">
      <w:pPr>
        <w:pStyle w:val="ListParagraph"/>
        <w:numPr>
          <w:ilvl w:val="1"/>
          <w:numId w:val="86"/>
        </w:numPr>
        <w:tabs>
          <w:tab w:val="left" w:pos="821"/>
        </w:tabs>
        <w:ind w:right="322"/>
        <w:rPr>
          <w:sz w:val="24"/>
        </w:rPr>
      </w:pPr>
      <w:r>
        <w:rPr>
          <w:sz w:val="24"/>
        </w:rPr>
        <w:t>Failure to release information. The failure of an institution outside the United</w:t>
      </w:r>
      <w:r>
        <w:rPr>
          <w:spacing w:val="-16"/>
          <w:sz w:val="24"/>
        </w:rPr>
        <w:t xml:space="preserve"> </w:t>
      </w:r>
      <w:r>
        <w:rPr>
          <w:sz w:val="24"/>
        </w:rPr>
        <w:t>States to provide, release, or authorize release to the Secretary of such information as may be required by subparagraph (A) shall render such institution ineligible for the purpose of part B of subchapter IV of this</w:t>
      </w:r>
      <w:r>
        <w:rPr>
          <w:spacing w:val="-11"/>
          <w:sz w:val="24"/>
        </w:rPr>
        <w:t xml:space="preserve"> </w:t>
      </w:r>
      <w:r>
        <w:rPr>
          <w:sz w:val="24"/>
        </w:rPr>
        <w:t>chapter.</w:t>
      </w:r>
    </w:p>
    <w:p w:rsidR="004E13A5" w:rsidRDefault="00681463">
      <w:pPr>
        <w:pStyle w:val="BodyText"/>
        <w:ind w:left="820" w:right="70" w:hanging="360"/>
      </w:pPr>
      <w:r>
        <w:t>(D) Special rule. If, pursuant to this paragraph, an institution loses eligibility to participate in the programs under subchapter IV of this chapter and part C of subchapter I of chapter 34 of title 42, then a student enrolled at such institution may, notwithstanding such loss of eligibility, continue to be eligible to receive a loan under part B while attending such institution for the academic year succeeding the academic year in which such loss of eligibility occurred.</w:t>
      </w:r>
    </w:p>
    <w:p w:rsidR="004E13A5" w:rsidRDefault="00681463">
      <w:pPr>
        <w:pStyle w:val="ListParagraph"/>
        <w:numPr>
          <w:ilvl w:val="0"/>
          <w:numId w:val="86"/>
        </w:numPr>
        <w:tabs>
          <w:tab w:val="left" w:pos="461"/>
        </w:tabs>
        <w:ind w:right="132"/>
        <w:jc w:val="left"/>
        <w:rPr>
          <w:sz w:val="24"/>
        </w:rPr>
      </w:pPr>
      <w:r>
        <w:rPr>
          <w:sz w:val="24"/>
        </w:rPr>
        <w:t>Limitations based on course of study or enrollment. An institution shall not be</w:t>
      </w:r>
      <w:r>
        <w:rPr>
          <w:spacing w:val="-19"/>
          <w:sz w:val="24"/>
        </w:rPr>
        <w:t xml:space="preserve"> </w:t>
      </w:r>
      <w:r>
        <w:rPr>
          <w:sz w:val="24"/>
        </w:rPr>
        <w:t>considered to meet the definition of an institution of higher education in paragraph (1) if such institution—</w:t>
      </w:r>
    </w:p>
    <w:p w:rsidR="004E13A5" w:rsidRDefault="00681463">
      <w:pPr>
        <w:pStyle w:val="BodyText"/>
        <w:spacing w:before="120"/>
        <w:ind w:left="820" w:right="275" w:hanging="360"/>
        <w:jc w:val="both"/>
      </w:pPr>
      <w:r>
        <w:t>(A) Offers more than 50 percent of such institution’s courses by correspondence, unless the institution is an institution that meets the definition in section 2471 (4)(C) of</w:t>
      </w:r>
      <w:r>
        <w:rPr>
          <w:spacing w:val="-14"/>
        </w:rPr>
        <w:t xml:space="preserve"> </w:t>
      </w:r>
      <w:r>
        <w:t>this title;</w:t>
      </w:r>
    </w:p>
    <w:p w:rsidR="004E13A5" w:rsidRDefault="00681463">
      <w:pPr>
        <w:pStyle w:val="ListParagraph"/>
        <w:numPr>
          <w:ilvl w:val="0"/>
          <w:numId w:val="84"/>
        </w:numPr>
        <w:tabs>
          <w:tab w:val="left" w:pos="821"/>
        </w:tabs>
        <w:spacing w:before="120"/>
        <w:ind w:right="105"/>
        <w:rPr>
          <w:sz w:val="24"/>
        </w:rPr>
      </w:pPr>
      <w:r>
        <w:rPr>
          <w:sz w:val="24"/>
        </w:rPr>
        <w:t>Enrolls 50 percent or more of the institution’s students in correspondence courses, unless the institution is an institution that meets the definition in such section, except that the Secretary, at the request of such institution, may waive the applicability of this subparagraph to such institution for good cause, as determined by the Secretary</w:t>
      </w:r>
      <w:r>
        <w:rPr>
          <w:spacing w:val="-19"/>
          <w:sz w:val="24"/>
        </w:rPr>
        <w:t xml:space="preserve"> </w:t>
      </w:r>
      <w:r>
        <w:rPr>
          <w:sz w:val="24"/>
        </w:rPr>
        <w:t>in the case of an institution of higher education that provides a 2-or 4-year program of instruction (or both) for which the institution awards an associate or baccalaureate degree,</w:t>
      </w:r>
      <w:r>
        <w:rPr>
          <w:spacing w:val="-8"/>
          <w:sz w:val="24"/>
        </w:rPr>
        <w:t xml:space="preserve"> </w:t>
      </w:r>
      <w:r>
        <w:rPr>
          <w:sz w:val="24"/>
        </w:rPr>
        <w:t>respectively;</w:t>
      </w:r>
    </w:p>
    <w:p w:rsidR="004E13A5" w:rsidRDefault="00681463">
      <w:pPr>
        <w:pStyle w:val="ListParagraph"/>
        <w:numPr>
          <w:ilvl w:val="0"/>
          <w:numId w:val="84"/>
        </w:numPr>
        <w:tabs>
          <w:tab w:val="left" w:pos="821"/>
        </w:tabs>
        <w:spacing w:before="120"/>
        <w:ind w:right="622"/>
        <w:rPr>
          <w:sz w:val="24"/>
        </w:rPr>
      </w:pPr>
      <w:r>
        <w:rPr>
          <w:sz w:val="24"/>
        </w:rPr>
        <w:t>Has a student enrollment in which more than 25 percent of the students are incarcerated, except that the Secretary may waive the limitation contained in</w:t>
      </w:r>
      <w:r>
        <w:rPr>
          <w:spacing w:val="-15"/>
          <w:sz w:val="24"/>
        </w:rPr>
        <w:t xml:space="preserve"> </w:t>
      </w:r>
      <w:r>
        <w:rPr>
          <w:sz w:val="24"/>
        </w:rPr>
        <w:t>this subparagraph for a nonprofit institution that provides a 2-or 4-year program of instruction (or both) for which the institution awards a bachelor’s degree, or an associate’s degree or a postsecondary diploma, respectively;</w:t>
      </w:r>
      <w:r>
        <w:rPr>
          <w:spacing w:val="-13"/>
          <w:sz w:val="24"/>
        </w:rPr>
        <w:t xml:space="preserve"> </w:t>
      </w:r>
      <w:r>
        <w:rPr>
          <w:sz w:val="24"/>
        </w:rPr>
        <w:t>or</w:t>
      </w:r>
    </w:p>
    <w:p w:rsidR="004E13A5" w:rsidRDefault="00681463">
      <w:pPr>
        <w:pStyle w:val="BodyText"/>
        <w:spacing w:before="120"/>
        <w:ind w:left="820" w:right="122" w:hanging="360"/>
      </w:pPr>
      <w:r>
        <w:t>(D) Has a student enrollment in which more than 50 percent of the students do not have a secondary school diploma or its recognized equivalent, and does not provide a 2-or 4- year program of instruction (or both) for which the institution awards a bachelor’s degree or an associate’s degree, respectively, except that the Secretary may waive the limitation contained in this subparagraph if a nonprofit institution demonstrates to the</w:t>
      </w:r>
    </w:p>
    <w:p w:rsidR="004E13A5" w:rsidRDefault="004E13A5">
      <w:pPr>
        <w:sectPr w:rsidR="004E13A5">
          <w:pgSz w:w="12240" w:h="15840"/>
          <w:pgMar w:top="1360" w:right="1340" w:bottom="640" w:left="1700" w:header="0" w:footer="381" w:gutter="0"/>
          <w:cols w:space="720"/>
        </w:sectPr>
      </w:pPr>
    </w:p>
    <w:p w:rsidR="004E13A5" w:rsidRDefault="00681463">
      <w:pPr>
        <w:pStyle w:val="BodyText"/>
        <w:spacing w:before="79"/>
        <w:ind w:left="1180" w:right="262"/>
      </w:pPr>
      <w:r>
        <w:lastRenderedPageBreak/>
        <w:t>satisfaction of the Secretary that the institution exceeds such limitation because the institution serves, through contracts with Federal, State, or local government agencies, significant numbers of students who do not have a secondary school diploma or its recognized equivalent.</w:t>
      </w:r>
    </w:p>
    <w:p w:rsidR="004E13A5" w:rsidRDefault="00681463">
      <w:pPr>
        <w:pStyle w:val="ListParagraph"/>
        <w:numPr>
          <w:ilvl w:val="0"/>
          <w:numId w:val="86"/>
        </w:numPr>
        <w:tabs>
          <w:tab w:val="left" w:pos="821"/>
        </w:tabs>
        <w:ind w:left="820" w:right="600"/>
        <w:jc w:val="left"/>
        <w:rPr>
          <w:sz w:val="24"/>
        </w:rPr>
      </w:pPr>
      <w:r>
        <w:rPr>
          <w:sz w:val="24"/>
        </w:rPr>
        <w:t>Limitations based on management. An institution shall not be considered to meet</w:t>
      </w:r>
      <w:r>
        <w:rPr>
          <w:spacing w:val="-14"/>
          <w:sz w:val="24"/>
        </w:rPr>
        <w:t xml:space="preserve"> </w:t>
      </w:r>
      <w:r>
        <w:rPr>
          <w:sz w:val="24"/>
        </w:rPr>
        <w:t>the definition of an institution of higher education in paragraph (1)</w:t>
      </w:r>
      <w:r>
        <w:rPr>
          <w:spacing w:val="-11"/>
          <w:sz w:val="24"/>
        </w:rPr>
        <w:t xml:space="preserve"> </w:t>
      </w:r>
      <w:r>
        <w:rPr>
          <w:sz w:val="24"/>
        </w:rPr>
        <w:t>if—</w:t>
      </w:r>
    </w:p>
    <w:p w:rsidR="004E13A5" w:rsidRDefault="00681463">
      <w:pPr>
        <w:pStyle w:val="BodyText"/>
        <w:ind w:left="1180" w:right="89" w:hanging="360"/>
      </w:pPr>
      <w:r>
        <w:t>(A) The institution, or an affiliate of the institution that has the power, by contract or ownership interest, to direct or cause the direction of the management or policies of the institution, has filed for bankruptcy, except that this paragraph shall not apply to a nonprofit institution, the primary function of which is to provide health care educational services (or an affiliate of such an institution that has the power, by contract or ownership interest, to direct or cause the direction of the institution’s management or policies) that files for bankruptcy under chapter 11 of title 11 between July 1, 1998, and December 1, 1998; or</w:t>
      </w:r>
    </w:p>
    <w:p w:rsidR="004E13A5" w:rsidRDefault="00681463">
      <w:pPr>
        <w:pStyle w:val="BodyText"/>
        <w:ind w:left="1180" w:right="95" w:hanging="360"/>
      </w:pPr>
      <w:r>
        <w:t>(B) The institution, the institution’s owner, or the institution’s chief executive officer has been convicted of, or has pled nolo contendere or guilty to, a crime involving the acquisition, use, or expenditure of funds under subchapter IV of this chapter and part C of subchapter I of chapter 34 of title 42, or has been judicially determined to have committed fraud involving funds under subchapter IV of this chapter and part C of subchapter I of chapter 34 of title 42.</w:t>
      </w:r>
    </w:p>
    <w:p w:rsidR="004E13A5" w:rsidRDefault="00681463">
      <w:pPr>
        <w:pStyle w:val="ListParagraph"/>
        <w:numPr>
          <w:ilvl w:val="0"/>
          <w:numId w:val="86"/>
        </w:numPr>
        <w:tabs>
          <w:tab w:val="left" w:pos="821"/>
        </w:tabs>
        <w:ind w:left="820" w:right="103"/>
        <w:jc w:val="left"/>
        <w:rPr>
          <w:sz w:val="24"/>
        </w:rPr>
      </w:pPr>
      <w:r>
        <w:rPr>
          <w:sz w:val="24"/>
        </w:rPr>
        <w:t>Certification. The Secretary shall certify an institution’s qualification as an institution of higher education in accordance with the requirements of subpart 3 of part G of</w:t>
      </w:r>
      <w:r>
        <w:rPr>
          <w:spacing w:val="-11"/>
          <w:sz w:val="24"/>
        </w:rPr>
        <w:t xml:space="preserve"> </w:t>
      </w:r>
      <w:r>
        <w:rPr>
          <w:sz w:val="24"/>
        </w:rPr>
        <w:t>subchapter IV of this</w:t>
      </w:r>
      <w:r>
        <w:rPr>
          <w:spacing w:val="-6"/>
          <w:sz w:val="24"/>
        </w:rPr>
        <w:t xml:space="preserve"> </w:t>
      </w:r>
      <w:r>
        <w:rPr>
          <w:sz w:val="24"/>
        </w:rPr>
        <w:t>chapter.</w:t>
      </w:r>
    </w:p>
    <w:p w:rsidR="004E13A5" w:rsidRDefault="00681463">
      <w:pPr>
        <w:pStyle w:val="ListParagraph"/>
        <w:numPr>
          <w:ilvl w:val="0"/>
          <w:numId w:val="86"/>
        </w:numPr>
        <w:tabs>
          <w:tab w:val="left" w:pos="821"/>
        </w:tabs>
        <w:spacing w:before="120"/>
        <w:ind w:left="820" w:right="266"/>
        <w:jc w:val="left"/>
        <w:rPr>
          <w:sz w:val="24"/>
        </w:rPr>
      </w:pPr>
      <w:r>
        <w:rPr>
          <w:sz w:val="24"/>
        </w:rPr>
        <w:t>Loss of eligibility. An institution of higher education shall not be considered to meet the definition of an institution of higher education in paragraph (1) if such institution is removed from eligibility for funds under subchapter IV of this chapter and part C of subchapter I of chapter 34 of title 42 as a result of an action pursuant to part G of subchapter IV of this</w:t>
      </w:r>
      <w:r>
        <w:rPr>
          <w:spacing w:val="-8"/>
          <w:sz w:val="24"/>
        </w:rPr>
        <w:t xml:space="preserve"> </w:t>
      </w:r>
      <w:r>
        <w:rPr>
          <w:sz w:val="24"/>
        </w:rPr>
        <w:t>chapter.</w:t>
      </w:r>
    </w:p>
    <w:p w:rsidR="004E13A5" w:rsidRDefault="00681463">
      <w:pPr>
        <w:pStyle w:val="ListParagraph"/>
        <w:numPr>
          <w:ilvl w:val="0"/>
          <w:numId w:val="87"/>
        </w:numPr>
        <w:tabs>
          <w:tab w:val="left" w:pos="461"/>
        </w:tabs>
        <w:spacing w:before="120"/>
        <w:ind w:left="460"/>
        <w:jc w:val="left"/>
        <w:rPr>
          <w:sz w:val="24"/>
        </w:rPr>
      </w:pPr>
      <w:r>
        <w:rPr>
          <w:sz w:val="24"/>
        </w:rPr>
        <w:t>Proprietary institution of higher</w:t>
      </w:r>
      <w:r>
        <w:rPr>
          <w:spacing w:val="-9"/>
          <w:sz w:val="24"/>
        </w:rPr>
        <w:t xml:space="preserve"> </w:t>
      </w:r>
      <w:r>
        <w:rPr>
          <w:sz w:val="24"/>
        </w:rPr>
        <w:t>education</w:t>
      </w:r>
    </w:p>
    <w:p w:rsidR="004E13A5" w:rsidRDefault="00681463">
      <w:pPr>
        <w:pStyle w:val="ListParagraph"/>
        <w:numPr>
          <w:ilvl w:val="1"/>
          <w:numId w:val="87"/>
        </w:numPr>
        <w:tabs>
          <w:tab w:val="left" w:pos="821"/>
        </w:tabs>
        <w:spacing w:before="120"/>
        <w:ind w:right="608"/>
        <w:rPr>
          <w:sz w:val="24"/>
        </w:rPr>
      </w:pPr>
      <w:r>
        <w:rPr>
          <w:sz w:val="24"/>
        </w:rPr>
        <w:t>Principal criteria. For the purpose of this section, the term ‘‘proprietary institution</w:t>
      </w:r>
      <w:r>
        <w:rPr>
          <w:spacing w:val="-13"/>
          <w:sz w:val="24"/>
        </w:rPr>
        <w:t xml:space="preserve"> </w:t>
      </w:r>
      <w:r>
        <w:rPr>
          <w:sz w:val="24"/>
        </w:rPr>
        <w:t>of higher education’’ means a school</w:t>
      </w:r>
      <w:r>
        <w:rPr>
          <w:spacing w:val="-7"/>
          <w:sz w:val="24"/>
        </w:rPr>
        <w:t xml:space="preserve"> </w:t>
      </w:r>
      <w:r>
        <w:rPr>
          <w:sz w:val="24"/>
        </w:rPr>
        <w:t>that—</w:t>
      </w:r>
    </w:p>
    <w:p w:rsidR="004E13A5" w:rsidRDefault="00681463">
      <w:pPr>
        <w:pStyle w:val="BodyText"/>
        <w:spacing w:before="120"/>
        <w:ind w:left="1180" w:right="319" w:hanging="360"/>
      </w:pPr>
      <w:r>
        <w:t>(A)</w:t>
      </w:r>
      <w:r>
        <w:rPr>
          <w:spacing w:val="-51"/>
        </w:rPr>
        <w:t xml:space="preserve"> </w:t>
      </w:r>
      <w:r>
        <w:t>Provides an eligible program of training to prepare students for gainful employment in a recognized occupation;</w:t>
      </w:r>
    </w:p>
    <w:p w:rsidR="004E13A5" w:rsidRDefault="00681463">
      <w:pPr>
        <w:pStyle w:val="ListParagraph"/>
        <w:numPr>
          <w:ilvl w:val="0"/>
          <w:numId w:val="83"/>
        </w:numPr>
        <w:tabs>
          <w:tab w:val="left" w:pos="1181"/>
        </w:tabs>
        <w:spacing w:before="120"/>
        <w:rPr>
          <w:sz w:val="24"/>
        </w:rPr>
      </w:pPr>
      <w:r>
        <w:rPr>
          <w:sz w:val="24"/>
        </w:rPr>
        <w:t>Meets the requirements of paragraphs (1) and (2) of section 1001 (a) of this</w:t>
      </w:r>
      <w:r>
        <w:rPr>
          <w:spacing w:val="-12"/>
          <w:sz w:val="24"/>
        </w:rPr>
        <w:t xml:space="preserve"> </w:t>
      </w:r>
      <w:r>
        <w:rPr>
          <w:sz w:val="24"/>
        </w:rPr>
        <w:t>title;</w:t>
      </w:r>
    </w:p>
    <w:p w:rsidR="004E13A5" w:rsidRDefault="00681463">
      <w:pPr>
        <w:pStyle w:val="ListParagraph"/>
        <w:numPr>
          <w:ilvl w:val="0"/>
          <w:numId w:val="83"/>
        </w:numPr>
        <w:tabs>
          <w:tab w:val="left" w:pos="1181"/>
        </w:tabs>
        <w:spacing w:before="120"/>
        <w:rPr>
          <w:sz w:val="24"/>
        </w:rPr>
      </w:pPr>
      <w:r>
        <w:rPr>
          <w:sz w:val="24"/>
        </w:rPr>
        <w:t>Does not meet the requirement of paragraph (4) of section 1001 (a) of this</w:t>
      </w:r>
      <w:r>
        <w:rPr>
          <w:spacing w:val="-13"/>
          <w:sz w:val="24"/>
        </w:rPr>
        <w:t xml:space="preserve"> </w:t>
      </w:r>
      <w:r>
        <w:rPr>
          <w:sz w:val="24"/>
        </w:rPr>
        <w:t>title;</w:t>
      </w:r>
    </w:p>
    <w:p w:rsidR="004E13A5" w:rsidRDefault="00681463">
      <w:pPr>
        <w:pStyle w:val="ListParagraph"/>
        <w:numPr>
          <w:ilvl w:val="0"/>
          <w:numId w:val="83"/>
        </w:numPr>
        <w:tabs>
          <w:tab w:val="left" w:pos="1181"/>
        </w:tabs>
        <w:ind w:right="200"/>
        <w:rPr>
          <w:sz w:val="24"/>
        </w:rPr>
      </w:pPr>
      <w:r>
        <w:rPr>
          <w:sz w:val="24"/>
        </w:rPr>
        <w:t>Is accredited by a nationally recognized accrediting agency or association</w:t>
      </w:r>
      <w:r>
        <w:rPr>
          <w:spacing w:val="-20"/>
          <w:sz w:val="24"/>
        </w:rPr>
        <w:t xml:space="preserve"> </w:t>
      </w:r>
      <w:r>
        <w:rPr>
          <w:sz w:val="24"/>
        </w:rPr>
        <w:t>recognized by the Secretary pursuant to part G of subchapter IV of this</w:t>
      </w:r>
      <w:r>
        <w:rPr>
          <w:spacing w:val="-16"/>
          <w:sz w:val="24"/>
        </w:rPr>
        <w:t xml:space="preserve"> </w:t>
      </w:r>
      <w:r>
        <w:rPr>
          <w:sz w:val="24"/>
        </w:rPr>
        <w:t>chapter;</w:t>
      </w:r>
    </w:p>
    <w:p w:rsidR="004E13A5" w:rsidRDefault="00681463">
      <w:pPr>
        <w:pStyle w:val="ListParagraph"/>
        <w:numPr>
          <w:ilvl w:val="0"/>
          <w:numId w:val="83"/>
        </w:numPr>
        <w:tabs>
          <w:tab w:val="left" w:pos="1181"/>
        </w:tabs>
        <w:rPr>
          <w:sz w:val="24"/>
        </w:rPr>
      </w:pPr>
      <w:r>
        <w:rPr>
          <w:sz w:val="24"/>
        </w:rPr>
        <w:t>Has been in existence for at least 2 years;</w:t>
      </w:r>
      <w:r>
        <w:rPr>
          <w:spacing w:val="-7"/>
          <w:sz w:val="24"/>
        </w:rPr>
        <w:t xml:space="preserve"> </w:t>
      </w:r>
      <w:r>
        <w:rPr>
          <w:sz w:val="24"/>
        </w:rPr>
        <w:t>and</w:t>
      </w:r>
    </w:p>
    <w:p w:rsidR="004E13A5" w:rsidRDefault="00681463">
      <w:pPr>
        <w:pStyle w:val="ListParagraph"/>
        <w:numPr>
          <w:ilvl w:val="0"/>
          <w:numId w:val="83"/>
        </w:numPr>
        <w:tabs>
          <w:tab w:val="left" w:pos="1181"/>
        </w:tabs>
        <w:ind w:right="137"/>
        <w:rPr>
          <w:sz w:val="24"/>
        </w:rPr>
      </w:pPr>
      <w:r>
        <w:rPr>
          <w:sz w:val="24"/>
        </w:rPr>
        <w:t>Has at least 10 percent of the school’s revenues from sources that are not derived from funds provided under subchapter IV of this chapter and part C of subchapter I</w:t>
      </w:r>
      <w:r>
        <w:rPr>
          <w:spacing w:val="-13"/>
          <w:sz w:val="24"/>
        </w:rPr>
        <w:t xml:space="preserve"> </w:t>
      </w:r>
      <w:r>
        <w:rPr>
          <w:sz w:val="24"/>
        </w:rPr>
        <w:t>of chapter 34 of title 42, as determined in accordance with regulations prescribed by the Secretary.</w:t>
      </w:r>
    </w:p>
    <w:p w:rsidR="004E13A5" w:rsidRDefault="004E13A5">
      <w:pPr>
        <w:rPr>
          <w:sz w:val="24"/>
        </w:rPr>
        <w:sectPr w:rsidR="004E13A5">
          <w:pgSz w:w="12240" w:h="15840"/>
          <w:pgMar w:top="1360" w:right="1340" w:bottom="640" w:left="1340" w:header="0" w:footer="381" w:gutter="0"/>
          <w:cols w:space="720"/>
        </w:sectPr>
      </w:pPr>
    </w:p>
    <w:p w:rsidR="004E13A5" w:rsidRDefault="00681463">
      <w:pPr>
        <w:pStyle w:val="ListParagraph"/>
        <w:numPr>
          <w:ilvl w:val="1"/>
          <w:numId w:val="87"/>
        </w:numPr>
        <w:tabs>
          <w:tab w:val="left" w:pos="821"/>
        </w:tabs>
        <w:spacing w:before="79"/>
        <w:ind w:right="220"/>
        <w:rPr>
          <w:sz w:val="24"/>
        </w:rPr>
      </w:pPr>
      <w:r>
        <w:rPr>
          <w:sz w:val="24"/>
        </w:rPr>
        <w:lastRenderedPageBreak/>
        <w:t>Additional institutions. The term ‘‘proprietary institution of higher education’’ also includes a proprietary educational institution in any State that, in lieu of the</w:t>
      </w:r>
      <w:r>
        <w:rPr>
          <w:spacing w:val="-22"/>
          <w:sz w:val="24"/>
        </w:rPr>
        <w:t xml:space="preserve"> </w:t>
      </w:r>
      <w:r>
        <w:rPr>
          <w:sz w:val="24"/>
        </w:rPr>
        <w:t>requirement in paragraph (1) of section 1001 (a) of this title, admits as regular students persons who are beyond the age of compulsory school attendance in the State in which the institution is</w:t>
      </w:r>
      <w:r>
        <w:rPr>
          <w:spacing w:val="-2"/>
          <w:sz w:val="24"/>
        </w:rPr>
        <w:t xml:space="preserve"> </w:t>
      </w:r>
      <w:r>
        <w:rPr>
          <w:sz w:val="24"/>
        </w:rPr>
        <w:t>located.</w:t>
      </w:r>
    </w:p>
    <w:p w:rsidR="004E13A5" w:rsidRDefault="00681463">
      <w:pPr>
        <w:pStyle w:val="ListParagraph"/>
        <w:numPr>
          <w:ilvl w:val="0"/>
          <w:numId w:val="87"/>
        </w:numPr>
        <w:tabs>
          <w:tab w:val="left" w:pos="461"/>
        </w:tabs>
        <w:ind w:left="460"/>
        <w:jc w:val="left"/>
        <w:rPr>
          <w:sz w:val="24"/>
        </w:rPr>
      </w:pPr>
      <w:r>
        <w:rPr>
          <w:sz w:val="24"/>
        </w:rPr>
        <w:t>Postsecondary vocational</w:t>
      </w:r>
      <w:r>
        <w:rPr>
          <w:spacing w:val="-6"/>
          <w:sz w:val="24"/>
        </w:rPr>
        <w:t xml:space="preserve"> </w:t>
      </w:r>
      <w:r>
        <w:rPr>
          <w:sz w:val="24"/>
        </w:rPr>
        <w:t>institution.</w:t>
      </w:r>
    </w:p>
    <w:p w:rsidR="004E13A5" w:rsidRDefault="00681463">
      <w:pPr>
        <w:pStyle w:val="ListParagraph"/>
        <w:numPr>
          <w:ilvl w:val="1"/>
          <w:numId w:val="87"/>
        </w:numPr>
        <w:tabs>
          <w:tab w:val="left" w:pos="821"/>
        </w:tabs>
        <w:ind w:right="477"/>
        <w:rPr>
          <w:sz w:val="24"/>
        </w:rPr>
      </w:pPr>
      <w:r>
        <w:rPr>
          <w:sz w:val="24"/>
        </w:rPr>
        <w:t>Principal criteria. For the purpose of this section, the term ‘‘postsecondary</w:t>
      </w:r>
      <w:r>
        <w:rPr>
          <w:spacing w:val="-14"/>
          <w:sz w:val="24"/>
        </w:rPr>
        <w:t xml:space="preserve"> </w:t>
      </w:r>
      <w:r>
        <w:rPr>
          <w:sz w:val="24"/>
        </w:rPr>
        <w:t>vocational institution’’ means a school</w:t>
      </w:r>
      <w:r>
        <w:rPr>
          <w:spacing w:val="-5"/>
          <w:sz w:val="24"/>
        </w:rPr>
        <w:t xml:space="preserve"> </w:t>
      </w:r>
      <w:r>
        <w:rPr>
          <w:sz w:val="24"/>
        </w:rPr>
        <w:t>that—</w:t>
      </w:r>
    </w:p>
    <w:p w:rsidR="004E13A5" w:rsidRDefault="00681463">
      <w:pPr>
        <w:pStyle w:val="BodyText"/>
        <w:ind w:left="1180" w:right="259" w:hanging="360"/>
      </w:pPr>
      <w:r>
        <w:t>(A)</w:t>
      </w:r>
      <w:r>
        <w:rPr>
          <w:spacing w:val="-51"/>
        </w:rPr>
        <w:t xml:space="preserve"> </w:t>
      </w:r>
      <w:r>
        <w:t>Provides an eligible program of training to prepare students for gainful employment in a recognized occupation;</w:t>
      </w:r>
    </w:p>
    <w:p w:rsidR="004E13A5" w:rsidRDefault="00681463">
      <w:pPr>
        <w:pStyle w:val="ListParagraph"/>
        <w:numPr>
          <w:ilvl w:val="0"/>
          <w:numId w:val="82"/>
        </w:numPr>
        <w:tabs>
          <w:tab w:val="left" w:pos="1181"/>
        </w:tabs>
        <w:ind w:right="214"/>
        <w:rPr>
          <w:sz w:val="24"/>
        </w:rPr>
      </w:pPr>
      <w:r>
        <w:rPr>
          <w:sz w:val="24"/>
        </w:rPr>
        <w:t>Meets the requirements of paragraphs (1), (2), (4), and (5) of section 1001 (a) of this title;</w:t>
      </w:r>
      <w:r>
        <w:rPr>
          <w:spacing w:val="-1"/>
          <w:sz w:val="24"/>
        </w:rPr>
        <w:t xml:space="preserve"> </w:t>
      </w:r>
      <w:r>
        <w:rPr>
          <w:sz w:val="24"/>
        </w:rPr>
        <w:t>and</w:t>
      </w:r>
    </w:p>
    <w:p w:rsidR="004E13A5" w:rsidRDefault="00681463">
      <w:pPr>
        <w:pStyle w:val="ListParagraph"/>
        <w:numPr>
          <w:ilvl w:val="0"/>
          <w:numId w:val="82"/>
        </w:numPr>
        <w:tabs>
          <w:tab w:val="left" w:pos="1181"/>
        </w:tabs>
        <w:rPr>
          <w:sz w:val="24"/>
        </w:rPr>
      </w:pPr>
      <w:r>
        <w:rPr>
          <w:sz w:val="24"/>
        </w:rPr>
        <w:t>Has been in existence for at least 2</w:t>
      </w:r>
      <w:r>
        <w:rPr>
          <w:spacing w:val="-8"/>
          <w:sz w:val="24"/>
        </w:rPr>
        <w:t xml:space="preserve"> </w:t>
      </w:r>
      <w:r>
        <w:rPr>
          <w:sz w:val="24"/>
        </w:rPr>
        <w:t>years.</w:t>
      </w:r>
    </w:p>
    <w:p w:rsidR="004E13A5" w:rsidRDefault="00681463">
      <w:pPr>
        <w:pStyle w:val="ListParagraph"/>
        <w:numPr>
          <w:ilvl w:val="1"/>
          <w:numId w:val="87"/>
        </w:numPr>
        <w:tabs>
          <w:tab w:val="left" w:pos="821"/>
        </w:tabs>
        <w:ind w:right="98"/>
        <w:rPr>
          <w:sz w:val="24"/>
        </w:rPr>
      </w:pPr>
      <w:r>
        <w:rPr>
          <w:sz w:val="24"/>
        </w:rPr>
        <w:t>Additional institutions. The term ‘‘postsecondary vocational institution’’ also includes</w:t>
      </w:r>
      <w:r>
        <w:rPr>
          <w:spacing w:val="-18"/>
          <w:sz w:val="24"/>
        </w:rPr>
        <w:t xml:space="preserve"> </w:t>
      </w:r>
      <w:r>
        <w:rPr>
          <w:sz w:val="24"/>
        </w:rPr>
        <w:t>an educational institution in any State that, in lieu of the requirement in paragraph (1) of section 1001 (a) of this title, admits as regular students persons who are beyond the age of compulsory school attendance in the State in which the institution is</w:t>
      </w:r>
      <w:r>
        <w:rPr>
          <w:spacing w:val="-9"/>
          <w:sz w:val="24"/>
        </w:rPr>
        <w:t xml:space="preserve"> </w:t>
      </w:r>
      <w:r>
        <w:rPr>
          <w:sz w:val="24"/>
        </w:rPr>
        <w:t>located.</w:t>
      </w:r>
    </w:p>
    <w:p w:rsidR="004E13A5" w:rsidRDefault="004E13A5">
      <w:pPr>
        <w:rPr>
          <w:sz w:val="24"/>
        </w:rPr>
        <w:sectPr w:rsidR="004E13A5">
          <w:pgSz w:w="12240" w:h="15840"/>
          <w:pgMar w:top="1360" w:right="1400" w:bottom="640" w:left="1340" w:header="0" w:footer="381" w:gutter="0"/>
          <w:cols w:space="720"/>
        </w:sectPr>
      </w:pPr>
    </w:p>
    <w:p w:rsidR="004E13A5" w:rsidRDefault="00681463">
      <w:pPr>
        <w:pStyle w:val="Heading4"/>
        <w:spacing w:before="179"/>
        <w:ind w:left="1541" w:right="1542"/>
        <w:jc w:val="center"/>
      </w:pPr>
      <w:r>
        <w:lastRenderedPageBreak/>
        <w:t>Chapter 4</w:t>
      </w:r>
    </w:p>
    <w:p w:rsidR="004E13A5" w:rsidRDefault="00681463">
      <w:pPr>
        <w:spacing w:before="5" w:line="510" w:lineRule="atLeast"/>
        <w:ind w:left="100" w:right="1380" w:firstLine="1298"/>
        <w:rPr>
          <w:b/>
          <w:sz w:val="24"/>
        </w:rPr>
      </w:pPr>
      <w:r>
        <w:rPr>
          <w:b/>
          <w:sz w:val="24"/>
        </w:rPr>
        <w:t>APPLICATIONS, WAITING LIST AND TENANT SELECTION INTRODUCTION</w:t>
      </w:r>
    </w:p>
    <w:p w:rsidR="004E13A5" w:rsidRDefault="00681463">
      <w:pPr>
        <w:pStyle w:val="BodyText"/>
      </w:pPr>
      <w:r>
        <w:t>When a family wishes to receive assistance under the HCV program, the family must submit an application that provides the PHA with the information needed to determine the family’s eligibility. HUD requires the PHA to place all families that apply for assistance on a waiting list. When HCV assistance becomes available, the PHA must select families from the waiting list in accordance with HUD requirements and PHA policies as stated in the administrative plan and the annual plan.</w:t>
      </w:r>
    </w:p>
    <w:p w:rsidR="004E13A5" w:rsidRDefault="00681463">
      <w:pPr>
        <w:pStyle w:val="BodyText"/>
        <w:spacing w:before="120"/>
      </w:pPr>
      <w:r>
        <w:t>The PHA is required to adopt clear policies and procedures for accepting applications, placing families on the waiting list, and selecting families from the waiting list, and must follow these policies and procedures consistently. The actual order in which families are selected from the waiting list can be affected if a family has certain characteristics designated by HUD or the PHA that justify their selection. Examples of this are the selection of families for income targeting and the selection of families that qualify for targeted funding.</w:t>
      </w:r>
    </w:p>
    <w:p w:rsidR="004E13A5" w:rsidRDefault="00681463">
      <w:pPr>
        <w:pStyle w:val="BodyText"/>
        <w:spacing w:before="120"/>
        <w:ind w:right="449"/>
      </w:pPr>
      <w:r>
        <w:t>HUD regulations require that all families have an equal opportunity to apply for and receive housing assistance, and that the PHA affirmatively further fair housing goals in the administration of the program [24 CFR 982.53, HCV GB p. 4-1]. Adherence to the selection policies described in this chapter ensures that the PHA will be in compliance with all relevant fair housing requirements, as described in Chapter 2.</w:t>
      </w:r>
    </w:p>
    <w:p w:rsidR="004E13A5" w:rsidRDefault="00681463">
      <w:pPr>
        <w:pStyle w:val="BodyText"/>
        <w:spacing w:before="120"/>
        <w:ind w:right="188"/>
      </w:pPr>
      <w:r>
        <w:t>This chapter describes HUD and PHA policies for taking applications, managing the waiting list and selecting families for HCV assistance. The policies outlined in this chapter are organized into three sections, as follows:</w:t>
      </w:r>
    </w:p>
    <w:p w:rsidR="004E13A5" w:rsidRDefault="00681463">
      <w:pPr>
        <w:pStyle w:val="BodyText"/>
        <w:spacing w:before="120"/>
        <w:ind w:left="820" w:right="880"/>
        <w:jc w:val="both"/>
      </w:pPr>
      <w:r>
        <w:rPr>
          <w:u w:val="single"/>
        </w:rPr>
        <w:t>Part I: The Application Process</w:t>
      </w:r>
      <w:r>
        <w:t>. This part provides an overview of the application process, and discusses how applicants can obtain and submit applications. It also specifies how the PHA will handle the applications it receives.</w:t>
      </w:r>
    </w:p>
    <w:p w:rsidR="004E13A5" w:rsidRDefault="00681463">
      <w:pPr>
        <w:pStyle w:val="BodyText"/>
        <w:spacing w:before="120"/>
        <w:ind w:left="820" w:right="262"/>
      </w:pPr>
      <w:r>
        <w:rPr>
          <w:u w:val="single"/>
        </w:rPr>
        <w:t>Part II: Managing the Waiting List</w:t>
      </w:r>
      <w:r>
        <w:t>. This part presents the policies that govern how the PHA’s waiting list is structured, when it is opened and closed, and how the public is notified of the opportunity to apply for assistance. It also discusses the process the PHA will use to keep the waiting list current.</w:t>
      </w:r>
    </w:p>
    <w:p w:rsidR="004E13A5" w:rsidRDefault="00681463">
      <w:pPr>
        <w:pStyle w:val="BodyText"/>
        <w:spacing w:before="120"/>
        <w:ind w:left="820" w:right="449"/>
      </w:pPr>
      <w:r>
        <w:rPr>
          <w:u w:val="single"/>
        </w:rPr>
        <w:t>Part III: Selection for HCV Assistance</w:t>
      </w:r>
      <w:r>
        <w:t>. This part describes the policies that guide the PHA in selecting families for HCV assistance as such assistance becomes available. It also specifies how in-person interviews will be used to ensure that the PHA has the information needed to make a final eligibility determination.</w:t>
      </w:r>
    </w:p>
    <w:p w:rsidR="004E13A5" w:rsidRDefault="004E13A5">
      <w:pPr>
        <w:pStyle w:val="BodyText"/>
        <w:spacing w:before="0"/>
        <w:ind w:left="0"/>
        <w:rPr>
          <w:sz w:val="20"/>
        </w:rPr>
      </w:pPr>
    </w:p>
    <w:p w:rsidR="004E13A5" w:rsidRDefault="004E13A5">
      <w:pPr>
        <w:pStyle w:val="BodyText"/>
        <w:spacing w:before="0"/>
        <w:ind w:left="0"/>
        <w:rPr>
          <w:sz w:val="17"/>
        </w:rPr>
      </w:pPr>
    </w:p>
    <w:p w:rsidR="004E13A5" w:rsidRDefault="00681463">
      <w:pPr>
        <w:pStyle w:val="Heading4"/>
        <w:spacing w:before="90"/>
        <w:ind w:left="2553"/>
      </w:pPr>
      <w:r>
        <w:t>PART I: THE APPLICATION PROCESS</w:t>
      </w:r>
    </w:p>
    <w:p w:rsidR="004E13A5" w:rsidRDefault="004E13A5">
      <w:pPr>
        <w:pStyle w:val="BodyText"/>
        <w:spacing w:before="9"/>
        <w:ind w:left="0"/>
        <w:rPr>
          <w:b/>
          <w:sz w:val="20"/>
        </w:rPr>
      </w:pPr>
    </w:p>
    <w:p w:rsidR="004E13A5" w:rsidRDefault="00681463">
      <w:pPr>
        <w:ind w:left="100"/>
        <w:rPr>
          <w:b/>
          <w:sz w:val="24"/>
        </w:rPr>
      </w:pPr>
      <w:r>
        <w:rPr>
          <w:b/>
          <w:sz w:val="24"/>
        </w:rPr>
        <w:t>4-I.A. OVERVIEW</w:t>
      </w:r>
    </w:p>
    <w:p w:rsidR="004E13A5" w:rsidRDefault="00681463">
      <w:pPr>
        <w:pStyle w:val="BodyText"/>
      </w:pPr>
      <w:r>
        <w:t>This part describes the PHA policies for making applications available, accepting applications making preliminary determinations of eligibility, and the placement of applicants on the waiting list. This part also describes the PHA’s obligation to ensure the accessibility of the application</w:t>
      </w:r>
    </w:p>
    <w:p w:rsidR="004E13A5" w:rsidRDefault="004E13A5">
      <w:pPr>
        <w:sectPr w:rsidR="004E13A5">
          <w:pgSz w:w="12240" w:h="15840"/>
          <w:pgMar w:top="1500" w:right="1340" w:bottom="640" w:left="1340" w:header="0" w:footer="381" w:gutter="0"/>
          <w:cols w:space="720"/>
        </w:sectPr>
      </w:pPr>
    </w:p>
    <w:p w:rsidR="004E13A5" w:rsidRDefault="00681463">
      <w:pPr>
        <w:pStyle w:val="BodyText"/>
        <w:spacing w:before="79"/>
        <w:ind w:right="268"/>
      </w:pPr>
      <w:r>
        <w:lastRenderedPageBreak/>
        <w:t>process to elderly persons, people with disabilities, and people with limited English proficiency (LEP).</w:t>
      </w:r>
    </w:p>
    <w:p w:rsidR="004E13A5" w:rsidRDefault="004E13A5">
      <w:pPr>
        <w:pStyle w:val="BodyText"/>
        <w:spacing w:before="9"/>
        <w:ind w:left="0"/>
        <w:rPr>
          <w:sz w:val="20"/>
        </w:rPr>
      </w:pPr>
    </w:p>
    <w:p w:rsidR="004E13A5" w:rsidRDefault="00681463">
      <w:pPr>
        <w:pStyle w:val="Heading4"/>
      </w:pPr>
      <w:r>
        <w:t>4-I.B. APPLYING FOR ASSISTANCE [HCV GB, pp. 4-11 – 4-16, Notice PIH 2009-36]</w:t>
      </w:r>
    </w:p>
    <w:p w:rsidR="004E13A5" w:rsidRDefault="00681463">
      <w:pPr>
        <w:pStyle w:val="BodyText"/>
        <w:ind w:right="182"/>
      </w:pPr>
      <w:r>
        <w:t>Any family that wishes to receive HCV assistance must apply for admission to the program. HUD permits the PHA to determine the format and content of HCV applications, as well as how such applications will be made available to interested families and how applications will be accepted by the PHA. The PHA must include Form HUD-92006, Supplement to Application for Federally Assisted Housing, as part of the PHA’s application.</w:t>
      </w:r>
    </w:p>
    <w:p w:rsidR="004E13A5" w:rsidRDefault="00681463">
      <w:pPr>
        <w:pStyle w:val="BodyText"/>
        <w:ind w:left="820"/>
      </w:pPr>
      <w:r>
        <w:rPr>
          <w:u w:val="single"/>
        </w:rPr>
        <w:t>PHA Policy</w:t>
      </w:r>
    </w:p>
    <w:p w:rsidR="004E13A5" w:rsidRDefault="00681463">
      <w:pPr>
        <w:pStyle w:val="BodyText"/>
        <w:spacing w:before="138"/>
        <w:ind w:left="820" w:right="582"/>
      </w:pPr>
      <w:r>
        <w:t>The PHA will require families to provide only the information needed to make an initial assessment of the applicant’s eligibility and to determine the family’s placement on the waiting list. The applicant will be required to provide all of the information necessary to establish applicant eligibility and level of assistance when the applicant is selected from the waiting list.</w:t>
      </w:r>
    </w:p>
    <w:p w:rsidR="004E13A5" w:rsidRDefault="00681463">
      <w:pPr>
        <w:pStyle w:val="BodyText"/>
        <w:ind w:left="820" w:right="82"/>
      </w:pPr>
      <w:r>
        <w:t>Families may obtain application forms from the PHA’s office during normal business hours. Families may also request – by telephone, by email or by mail – that an application be mailed to them via first class mail.</w:t>
      </w:r>
    </w:p>
    <w:p w:rsidR="004E13A5" w:rsidRDefault="00681463">
      <w:pPr>
        <w:pStyle w:val="BodyText"/>
        <w:spacing w:before="139"/>
        <w:ind w:left="820" w:right="337"/>
        <w:jc w:val="both"/>
      </w:pPr>
      <w:r>
        <w:t>All</w:t>
      </w:r>
      <w:r>
        <w:rPr>
          <w:spacing w:val="-8"/>
        </w:rPr>
        <w:t xml:space="preserve"> </w:t>
      </w:r>
      <w:r>
        <w:rPr>
          <w:spacing w:val="-3"/>
        </w:rPr>
        <w:t>interested</w:t>
      </w:r>
      <w:r>
        <w:rPr>
          <w:spacing w:val="-6"/>
        </w:rPr>
        <w:t xml:space="preserve"> </w:t>
      </w:r>
      <w:r>
        <w:rPr>
          <w:spacing w:val="-3"/>
        </w:rPr>
        <w:t>applicants</w:t>
      </w:r>
      <w:r>
        <w:rPr>
          <w:spacing w:val="-6"/>
        </w:rPr>
        <w:t xml:space="preserve"> </w:t>
      </w:r>
      <w:r>
        <w:t>can</w:t>
      </w:r>
      <w:r>
        <w:rPr>
          <w:spacing w:val="-8"/>
        </w:rPr>
        <w:t xml:space="preserve"> </w:t>
      </w:r>
      <w:r>
        <w:t>apply</w:t>
      </w:r>
      <w:r>
        <w:rPr>
          <w:spacing w:val="-12"/>
        </w:rPr>
        <w:t xml:space="preserve"> </w:t>
      </w:r>
      <w:r>
        <w:t>online</w:t>
      </w:r>
      <w:r>
        <w:rPr>
          <w:spacing w:val="-7"/>
        </w:rPr>
        <w:t xml:space="preserve"> </w:t>
      </w:r>
      <w:r>
        <w:t>at</w:t>
      </w:r>
      <w:r>
        <w:rPr>
          <w:spacing w:val="-7"/>
        </w:rPr>
        <w:t xml:space="preserve"> </w:t>
      </w:r>
      <w:hyperlink r:id="rId32">
        <w:r>
          <w:rPr>
            <w:b/>
            <w:color w:val="990000"/>
            <w:spacing w:val="-3"/>
            <w:u w:val="thick" w:color="990000"/>
          </w:rPr>
          <w:t>www.ccnbchas.org</w:t>
        </w:r>
        <w:r>
          <w:rPr>
            <w:b/>
            <w:color w:val="990000"/>
            <w:spacing w:val="-8"/>
            <w:u w:val="thick" w:color="990000"/>
          </w:rPr>
          <w:t xml:space="preserve"> </w:t>
        </w:r>
      </w:hyperlink>
      <w:r>
        <w:t>to</w:t>
      </w:r>
      <w:r>
        <w:rPr>
          <w:spacing w:val="-6"/>
        </w:rPr>
        <w:t xml:space="preserve"> </w:t>
      </w:r>
      <w:r>
        <w:rPr>
          <w:spacing w:val="-3"/>
        </w:rPr>
        <w:t>get</w:t>
      </w:r>
      <w:r>
        <w:rPr>
          <w:spacing w:val="-8"/>
        </w:rPr>
        <w:t xml:space="preserve"> </w:t>
      </w:r>
      <w:r>
        <w:t>on</w:t>
      </w:r>
      <w:r>
        <w:rPr>
          <w:spacing w:val="-6"/>
        </w:rPr>
        <w:t xml:space="preserve"> </w:t>
      </w:r>
      <w:r>
        <w:t>the</w:t>
      </w:r>
      <w:r>
        <w:rPr>
          <w:spacing w:val="-7"/>
        </w:rPr>
        <w:t xml:space="preserve"> </w:t>
      </w:r>
      <w:r>
        <w:t>waiting</w:t>
      </w:r>
      <w:r>
        <w:rPr>
          <w:spacing w:val="-11"/>
        </w:rPr>
        <w:t xml:space="preserve"> </w:t>
      </w:r>
      <w:r>
        <w:t xml:space="preserve">list </w:t>
      </w:r>
      <w:r>
        <w:rPr>
          <w:spacing w:val="-3"/>
        </w:rPr>
        <w:t xml:space="preserve">when </w:t>
      </w:r>
      <w:r>
        <w:t>it is open. Applications must be complete in order to be accepted by the PHA for processing. If an application is incomplete or a duplicate, the online application will be rejected by the</w:t>
      </w:r>
      <w:r>
        <w:rPr>
          <w:spacing w:val="-6"/>
        </w:rPr>
        <w:t xml:space="preserve"> </w:t>
      </w:r>
      <w:r>
        <w:t>PHA.</w:t>
      </w:r>
    </w:p>
    <w:p w:rsidR="00827283" w:rsidRPr="000A1152" w:rsidRDefault="00827283" w:rsidP="00827283">
      <w:pPr>
        <w:spacing w:before="120"/>
        <w:ind w:left="820"/>
        <w:rPr>
          <w:sz w:val="24"/>
        </w:rPr>
      </w:pPr>
      <w:r w:rsidRPr="000A1152">
        <w:rPr>
          <w:sz w:val="24"/>
        </w:rPr>
        <w:t xml:space="preserve">Completed applications must be returned to the PHA by mail, </w:t>
      </w:r>
      <w:r>
        <w:rPr>
          <w:sz w:val="24"/>
        </w:rPr>
        <w:t xml:space="preserve">email, </w:t>
      </w:r>
      <w:r w:rsidRPr="000A1152">
        <w:rPr>
          <w:sz w:val="24"/>
        </w:rPr>
        <w:t>by fax, or submitted in person during normal business hours. Applications must be complete in order to be accepted by the PHA for processing. If an application is incomplete, the PHA will notify the family of the additional information required.</w:t>
      </w:r>
    </w:p>
    <w:p w:rsidR="002505FF" w:rsidRDefault="002505FF">
      <w:pPr>
        <w:pStyle w:val="BodyText"/>
        <w:spacing w:before="139"/>
        <w:ind w:left="820" w:right="337"/>
        <w:jc w:val="both"/>
      </w:pPr>
    </w:p>
    <w:p w:rsidR="004E13A5" w:rsidRDefault="004E13A5">
      <w:pPr>
        <w:pStyle w:val="BodyText"/>
        <w:spacing w:before="10"/>
        <w:ind w:left="0"/>
        <w:rPr>
          <w:sz w:val="20"/>
        </w:rPr>
      </w:pPr>
    </w:p>
    <w:p w:rsidR="004E13A5" w:rsidRDefault="00681463">
      <w:pPr>
        <w:pStyle w:val="Heading4"/>
      </w:pPr>
      <w:r>
        <w:t>4-I.C. ACCESSIBILITY OF THE APPLICATION PROCESS</w:t>
      </w:r>
    </w:p>
    <w:p w:rsidR="004E13A5" w:rsidRDefault="00681463">
      <w:pPr>
        <w:spacing w:before="119"/>
        <w:ind w:left="100"/>
        <w:rPr>
          <w:b/>
          <w:sz w:val="24"/>
        </w:rPr>
      </w:pPr>
      <w:r>
        <w:rPr>
          <w:b/>
          <w:sz w:val="24"/>
        </w:rPr>
        <w:t>Elderly and Disabled Populations [24 CFR 8 and HCV GB, pp. 4-11 – 4-13]</w:t>
      </w:r>
    </w:p>
    <w:p w:rsidR="004E13A5" w:rsidRDefault="00681463">
      <w:pPr>
        <w:pStyle w:val="BodyText"/>
        <w:ind w:right="148"/>
      </w:pPr>
      <w:r>
        <w:t>The PHA must take steps to ensure that the application process is accessible to those people who might have difficulty complying with the normal, standard PHA application process. This could include people with disabilities, certain elderly individuals, as well as persons with limited English proficiency (LEP). The PHA must provide reasonable accommodation to the needs of individuals with disabilities. The application-taking facility and the application process must be fully accessible, or the PHA must provide an alternate approach that provides full access to the application process. Chapter 2 provides a full discussion of the PHA’s policies related to providing reasonable accommodations for people with disabilities.</w:t>
      </w:r>
    </w:p>
    <w:p w:rsidR="004E13A5" w:rsidRDefault="00681463">
      <w:pPr>
        <w:pStyle w:val="Heading4"/>
        <w:spacing w:before="119"/>
      </w:pPr>
      <w:r>
        <w:t>Limited English Proficiency</w:t>
      </w:r>
    </w:p>
    <w:p w:rsidR="004E13A5" w:rsidRDefault="00681463">
      <w:pPr>
        <w:pStyle w:val="BodyText"/>
        <w:spacing w:before="120"/>
        <w:ind w:right="89"/>
      </w:pPr>
      <w:r>
        <w:t>PHAs are required to take reasonable steps to ensure equal access to their programs and activities by persons with limited English proficiency [24 CFR 1]. Chapter 2 provides a full discussion on the PHA’s policies related to ensuring access to people with limited English proficiency (LEP).</w:t>
      </w:r>
    </w:p>
    <w:p w:rsidR="00827283" w:rsidRDefault="00827283">
      <w:pPr>
        <w:pStyle w:val="BodyText"/>
        <w:spacing w:before="120"/>
        <w:ind w:right="89"/>
      </w:pPr>
    </w:p>
    <w:p w:rsidR="004E13A5" w:rsidRDefault="004E13A5">
      <w:pPr>
        <w:pStyle w:val="BodyText"/>
        <w:spacing w:before="9"/>
        <w:ind w:left="0"/>
        <w:rPr>
          <w:sz w:val="20"/>
        </w:rPr>
      </w:pPr>
    </w:p>
    <w:p w:rsidR="004E13A5" w:rsidRDefault="00681463">
      <w:pPr>
        <w:pStyle w:val="Heading4"/>
        <w:spacing w:before="1"/>
      </w:pPr>
      <w:r>
        <w:lastRenderedPageBreak/>
        <w:t>4-I.D. PLACEMENT ON THE WAITING LIST</w:t>
      </w:r>
    </w:p>
    <w:p w:rsidR="004E13A5" w:rsidRDefault="00681463" w:rsidP="00827283">
      <w:pPr>
        <w:pStyle w:val="BodyText"/>
        <w:spacing w:before="120"/>
        <w:ind w:right="117"/>
        <w:sectPr w:rsidR="004E13A5">
          <w:pgSz w:w="12240" w:h="15840"/>
          <w:pgMar w:top="1360" w:right="1340" w:bottom="640" w:left="1340" w:header="0" w:footer="381" w:gutter="0"/>
          <w:cols w:space="720"/>
        </w:sectPr>
      </w:pPr>
      <w:r>
        <w:t>The PHA must review each complete application received and make a preliminary assessment of the family’s eligibility. The PHA must accept applications from families for whom the list is open unless there is good cause for not accepting the application (such as denial of assistance) for the grounds stated in the regulations [24 CFR 982.206(b)(2)]. Where the family is</w:t>
      </w:r>
      <w:r>
        <w:rPr>
          <w:spacing w:val="-20"/>
        </w:rPr>
        <w:t xml:space="preserve"> </w:t>
      </w:r>
      <w:r>
        <w:t>determined</w:t>
      </w:r>
    </w:p>
    <w:p w:rsidR="004E13A5" w:rsidRDefault="00681463">
      <w:pPr>
        <w:pStyle w:val="BodyText"/>
        <w:spacing w:before="79"/>
        <w:ind w:right="89"/>
      </w:pPr>
      <w:r>
        <w:lastRenderedPageBreak/>
        <w:t>to be ineligible, the PHA must notify the family in writing [24 CFR 982.201(f)]. Where the family is not determined to be ineligible, the family will be placed on a waiting list of applicants.</w:t>
      </w:r>
    </w:p>
    <w:p w:rsidR="004E13A5" w:rsidRDefault="00681463">
      <w:pPr>
        <w:pStyle w:val="BodyText"/>
        <w:ind w:right="875"/>
      </w:pPr>
      <w:r>
        <w:t>No applicant has a right or entitlement to be listed on the waiting list, or to any particular position on the waiting list [24 CFR 982.202(c)].</w:t>
      </w:r>
    </w:p>
    <w:p w:rsidR="00827283" w:rsidRDefault="00827283">
      <w:pPr>
        <w:pStyle w:val="BodyText"/>
        <w:ind w:right="875"/>
      </w:pPr>
    </w:p>
    <w:p w:rsidR="004E13A5" w:rsidRDefault="00681463">
      <w:pPr>
        <w:pStyle w:val="Heading4"/>
        <w:spacing w:before="119"/>
      </w:pPr>
      <w:r>
        <w:t>Ineligible for Placement on the Waiting List</w:t>
      </w:r>
    </w:p>
    <w:p w:rsidR="004E13A5" w:rsidRDefault="00681463">
      <w:pPr>
        <w:pStyle w:val="BodyText"/>
        <w:ind w:left="820"/>
      </w:pPr>
      <w:r>
        <w:rPr>
          <w:u w:val="single"/>
        </w:rPr>
        <w:t>PHA Policy</w:t>
      </w:r>
    </w:p>
    <w:p w:rsidR="004E13A5" w:rsidRDefault="00681463">
      <w:pPr>
        <w:pStyle w:val="BodyText"/>
        <w:ind w:left="820" w:right="141"/>
      </w:pPr>
      <w:r>
        <w:t>If the PHA can determine from the information provided that a family is ineligible, the family will not be placed on the waiting list. Where a family is determined to be ineligible, the PHA will send written notification of the ineligibility determination within 10 business days of receiving a complete application. The notice will specify the reasons for ineligibility, and will inform the family of its right to request an informal review and explain the process for doing so (see Chapter 16).</w:t>
      </w:r>
    </w:p>
    <w:p w:rsidR="004E13A5" w:rsidRDefault="00681463">
      <w:pPr>
        <w:pStyle w:val="Heading4"/>
        <w:spacing w:before="119"/>
      </w:pPr>
      <w:r>
        <w:t>Eligible for Placement on the Waiting List</w:t>
      </w:r>
    </w:p>
    <w:p w:rsidR="004E13A5" w:rsidRDefault="00681463">
      <w:pPr>
        <w:pStyle w:val="BodyText"/>
        <w:ind w:left="820"/>
      </w:pPr>
      <w:r>
        <w:rPr>
          <w:u w:val="single"/>
        </w:rPr>
        <w:t>PHA Policy</w:t>
      </w:r>
    </w:p>
    <w:p w:rsidR="004E13A5" w:rsidRDefault="00681463">
      <w:pPr>
        <w:pStyle w:val="BodyText"/>
        <w:ind w:left="820" w:right="95"/>
      </w:pPr>
      <w:r>
        <w:t>The PHA will send written notification of the preliminary eligibility determination within 10 business days of receiving a complete application.</w:t>
      </w:r>
    </w:p>
    <w:p w:rsidR="004E13A5" w:rsidRDefault="00681463">
      <w:pPr>
        <w:pStyle w:val="BodyText"/>
        <w:ind w:left="820" w:right="62"/>
      </w:pPr>
      <w:r>
        <w:t>Placement on the waiting list does not indicate that the family is, in fact, eligible for assistance. A final determination of eligibility will be made when the family is selected from the waiting list.</w:t>
      </w:r>
    </w:p>
    <w:p w:rsidR="00827283" w:rsidRPr="00993320" w:rsidRDefault="00827283" w:rsidP="00827283">
      <w:pPr>
        <w:widowControl/>
        <w:tabs>
          <w:tab w:val="left" w:pos="1800"/>
        </w:tabs>
        <w:spacing w:before="120"/>
        <w:ind w:left="820"/>
        <w:rPr>
          <w:sz w:val="24"/>
        </w:rPr>
      </w:pPr>
      <w:r w:rsidRPr="00993320">
        <w:rPr>
          <w:sz w:val="24"/>
        </w:rPr>
        <w:t xml:space="preserve">Applicants will be placed on the waiting list according to the </w:t>
      </w:r>
      <w:r>
        <w:rPr>
          <w:sz w:val="24"/>
        </w:rPr>
        <w:t>date and time the</w:t>
      </w:r>
      <w:r w:rsidRPr="00993320">
        <w:rPr>
          <w:sz w:val="24"/>
        </w:rPr>
        <w:t xml:space="preserve"> complete application is received by the PHA.</w:t>
      </w:r>
    </w:p>
    <w:p w:rsidR="004E13A5" w:rsidRDefault="00681463">
      <w:pPr>
        <w:pStyle w:val="BodyText"/>
        <w:ind w:left="820" w:right="462"/>
      </w:pPr>
      <w:r>
        <w:t>.</w:t>
      </w:r>
    </w:p>
    <w:p w:rsidR="004E13A5" w:rsidRDefault="004E13A5">
      <w:pPr>
        <w:pStyle w:val="BodyText"/>
        <w:spacing w:before="9"/>
        <w:ind w:left="0"/>
        <w:rPr>
          <w:sz w:val="20"/>
        </w:rPr>
      </w:pPr>
    </w:p>
    <w:p w:rsidR="004E13A5" w:rsidRDefault="00681463">
      <w:pPr>
        <w:pStyle w:val="Heading4"/>
        <w:spacing w:before="1"/>
        <w:ind w:left="2390"/>
      </w:pPr>
      <w:r>
        <w:t>PART II: MANAGING THE WAITING LIST</w:t>
      </w:r>
    </w:p>
    <w:p w:rsidR="004E13A5" w:rsidRDefault="004E13A5">
      <w:pPr>
        <w:pStyle w:val="BodyText"/>
        <w:spacing w:before="0"/>
        <w:ind w:left="0"/>
        <w:rPr>
          <w:b/>
          <w:sz w:val="13"/>
        </w:rPr>
      </w:pPr>
    </w:p>
    <w:p w:rsidR="004E13A5" w:rsidRDefault="00681463">
      <w:pPr>
        <w:spacing w:before="90"/>
        <w:ind w:left="100"/>
        <w:rPr>
          <w:b/>
          <w:sz w:val="24"/>
        </w:rPr>
      </w:pPr>
      <w:r>
        <w:rPr>
          <w:b/>
          <w:sz w:val="24"/>
        </w:rPr>
        <w:t>4-II.A. OVERVIEW</w:t>
      </w:r>
    </w:p>
    <w:p w:rsidR="004E13A5" w:rsidRDefault="00681463">
      <w:pPr>
        <w:pStyle w:val="BodyText"/>
        <w:ind w:right="62"/>
      </w:pPr>
      <w:r>
        <w:t>The PHA must have policies regarding various aspects of organizing and managing the waiting list of applicant families. This includes opening the list to new applicants, closing the list to new applicants, notifying the public of waiting list openings and closings, updating waiting list information, purging the list of families that are no longer interested in or eligible for assistance, as well as conducting outreach to ensure a sufficient number of applicants.</w:t>
      </w:r>
    </w:p>
    <w:p w:rsidR="004E13A5" w:rsidRDefault="00681463">
      <w:pPr>
        <w:pStyle w:val="BodyText"/>
        <w:ind w:right="62"/>
      </w:pPr>
      <w:r>
        <w:t>In addition, HUD imposes requirements on how a PHA may structure its waiting list and how families must be treated if they apply for assistance from a PHA that administers more than one assisted housing program.</w:t>
      </w:r>
    </w:p>
    <w:p w:rsidR="004E13A5" w:rsidRDefault="004E13A5">
      <w:pPr>
        <w:pStyle w:val="BodyText"/>
        <w:spacing w:before="10"/>
        <w:ind w:left="0"/>
        <w:rPr>
          <w:sz w:val="20"/>
        </w:rPr>
      </w:pPr>
    </w:p>
    <w:p w:rsidR="004E13A5" w:rsidRDefault="00681463">
      <w:pPr>
        <w:pStyle w:val="Heading4"/>
      </w:pPr>
      <w:r>
        <w:t>4-II.B. ORGANIZATION OF THE WAITING LIST [24 CFR 982.204 and 205]</w:t>
      </w:r>
    </w:p>
    <w:p w:rsidR="004E13A5" w:rsidRDefault="00681463">
      <w:pPr>
        <w:pStyle w:val="BodyText"/>
        <w:spacing w:before="120"/>
        <w:ind w:right="96"/>
      </w:pPr>
      <w:r>
        <w:t>The PHA’s HCV waiting list must be organized in such a manner to allow the PHA to accurately identify and select families for assistance in the proper order, according to the admissions policies described in this plan.</w:t>
      </w:r>
    </w:p>
    <w:p w:rsidR="004E13A5" w:rsidRDefault="00681463">
      <w:pPr>
        <w:pStyle w:val="BodyText"/>
        <w:spacing w:before="120" w:line="276" w:lineRule="exact"/>
      </w:pPr>
      <w:r>
        <w:t>The waiting list must contain the following information for each applicant listed:</w:t>
      </w:r>
    </w:p>
    <w:p w:rsidR="004E13A5" w:rsidRDefault="00681463">
      <w:pPr>
        <w:pStyle w:val="BodyText"/>
        <w:tabs>
          <w:tab w:val="left" w:pos="460"/>
        </w:tabs>
        <w:spacing w:before="0" w:line="293" w:lineRule="exact"/>
      </w:pPr>
      <w:r>
        <w:rPr>
          <w:rFonts w:ascii="Symbol" w:hAnsi="Symbol"/>
        </w:rPr>
        <w:t></w:t>
      </w:r>
      <w:r>
        <w:tab/>
        <w:t>Applicant</w:t>
      </w:r>
      <w:r>
        <w:rPr>
          <w:spacing w:val="-4"/>
        </w:rPr>
        <w:t xml:space="preserve"> </w:t>
      </w:r>
      <w:r>
        <w:t>name;</w:t>
      </w:r>
    </w:p>
    <w:p w:rsidR="004E13A5" w:rsidRDefault="00681463">
      <w:pPr>
        <w:pStyle w:val="BodyText"/>
        <w:tabs>
          <w:tab w:val="left" w:pos="460"/>
        </w:tabs>
        <w:spacing w:before="0" w:line="293" w:lineRule="exact"/>
      </w:pPr>
      <w:r>
        <w:rPr>
          <w:rFonts w:ascii="Symbol" w:hAnsi="Symbol"/>
        </w:rPr>
        <w:t></w:t>
      </w:r>
      <w:r>
        <w:tab/>
        <w:t>Family unit</w:t>
      </w:r>
      <w:r>
        <w:rPr>
          <w:spacing w:val="-6"/>
        </w:rPr>
        <w:t xml:space="preserve"> </w:t>
      </w:r>
      <w:r>
        <w:t>size;</w:t>
      </w:r>
    </w:p>
    <w:p w:rsidR="004E13A5" w:rsidRDefault="00681463" w:rsidP="00827283">
      <w:pPr>
        <w:pStyle w:val="BodyText"/>
        <w:tabs>
          <w:tab w:val="left" w:pos="460"/>
        </w:tabs>
        <w:spacing w:before="0" w:line="293" w:lineRule="exact"/>
        <w:ind w:left="0"/>
      </w:pPr>
      <w:r>
        <w:rPr>
          <w:rFonts w:ascii="Symbol" w:hAnsi="Symbol"/>
        </w:rPr>
        <w:lastRenderedPageBreak/>
        <w:t></w:t>
      </w:r>
      <w:r>
        <w:tab/>
        <w:t>Date and time of</w:t>
      </w:r>
      <w:r>
        <w:rPr>
          <w:spacing w:val="-6"/>
        </w:rPr>
        <w:t xml:space="preserve"> </w:t>
      </w:r>
      <w:r>
        <w:t>application;</w:t>
      </w:r>
    </w:p>
    <w:p w:rsidR="004E13A5" w:rsidRDefault="004E13A5">
      <w:pPr>
        <w:spacing w:line="293" w:lineRule="exact"/>
        <w:sectPr w:rsidR="004E13A5">
          <w:pgSz w:w="12240" w:h="15840"/>
          <w:pgMar w:top="1360" w:right="1360" w:bottom="640" w:left="1340" w:header="0" w:footer="381" w:gutter="0"/>
          <w:cols w:space="720"/>
        </w:sectPr>
      </w:pPr>
    </w:p>
    <w:p w:rsidR="004E13A5" w:rsidRDefault="00681463">
      <w:pPr>
        <w:pStyle w:val="BodyText"/>
        <w:tabs>
          <w:tab w:val="left" w:pos="460"/>
        </w:tabs>
        <w:spacing w:before="79" w:line="293" w:lineRule="exact"/>
      </w:pPr>
      <w:r>
        <w:rPr>
          <w:rFonts w:ascii="Symbol" w:hAnsi="Symbol"/>
        </w:rPr>
        <w:lastRenderedPageBreak/>
        <w:t></w:t>
      </w:r>
      <w:r>
        <w:tab/>
        <w:t>Qualification for any local</w:t>
      </w:r>
      <w:r>
        <w:rPr>
          <w:spacing w:val="-11"/>
        </w:rPr>
        <w:t xml:space="preserve"> </w:t>
      </w:r>
      <w:r>
        <w:t>preference;</w:t>
      </w:r>
    </w:p>
    <w:p w:rsidR="004E13A5" w:rsidRDefault="00681463">
      <w:pPr>
        <w:pStyle w:val="BodyText"/>
        <w:tabs>
          <w:tab w:val="left" w:pos="460"/>
        </w:tabs>
        <w:spacing w:before="0" w:line="293" w:lineRule="exact"/>
      </w:pPr>
      <w:r>
        <w:rPr>
          <w:rFonts w:ascii="Symbol" w:hAnsi="Symbol"/>
        </w:rPr>
        <w:t></w:t>
      </w:r>
      <w:r>
        <w:tab/>
        <w:t>Racial or ethnic designation of the head of</w:t>
      </w:r>
      <w:r>
        <w:rPr>
          <w:spacing w:val="-5"/>
        </w:rPr>
        <w:t xml:space="preserve"> </w:t>
      </w:r>
      <w:r>
        <w:t>household.</w:t>
      </w:r>
    </w:p>
    <w:p w:rsidR="004E13A5" w:rsidRDefault="00681463">
      <w:pPr>
        <w:pStyle w:val="BodyText"/>
        <w:ind w:right="228"/>
      </w:pPr>
      <w:r>
        <w:t>HUD requires the PHA to maintain a single waiting list for the HCV program unless it serves more than one county or municipality. Such PHAs are permitted, but not required, to maintain a separate waiting list for each county or municipality served.</w:t>
      </w:r>
    </w:p>
    <w:p w:rsidR="004E13A5" w:rsidRDefault="00681463">
      <w:pPr>
        <w:pStyle w:val="BodyText"/>
        <w:ind w:left="820"/>
      </w:pPr>
      <w:r>
        <w:rPr>
          <w:u w:val="single"/>
        </w:rPr>
        <w:t>PHA Policy</w:t>
      </w:r>
    </w:p>
    <w:p w:rsidR="004E13A5" w:rsidRDefault="00681463">
      <w:pPr>
        <w:pStyle w:val="BodyText"/>
        <w:ind w:left="820"/>
      </w:pPr>
      <w:r>
        <w:t>The PHA will maintain a single waiting list for the HCV program.</w:t>
      </w:r>
    </w:p>
    <w:p w:rsidR="004E13A5" w:rsidRDefault="00681463">
      <w:pPr>
        <w:pStyle w:val="BodyText"/>
        <w:ind w:right="189"/>
      </w:pPr>
      <w:r>
        <w:t>HUD directs that a family that applies for assistance from the HCV program must be offered the opportunity to be placed on the waiting list for any public housing, project-based voucher or moderate rehabilitation program the PHA operates if 1) the other programs’ waiting lists are open, and 2) the family is qualified for the other programs.</w:t>
      </w:r>
    </w:p>
    <w:p w:rsidR="004E13A5" w:rsidRDefault="00681463">
      <w:pPr>
        <w:pStyle w:val="BodyText"/>
        <w:spacing w:before="120"/>
        <w:ind w:right="541"/>
      </w:pPr>
      <w:r>
        <w:t>HUD permits, but does not require, that PHAs maintain a single merged waiting list for their public housing, Section 8, and other subsidized housing programs.</w:t>
      </w:r>
    </w:p>
    <w:p w:rsidR="004E13A5" w:rsidRDefault="00681463">
      <w:pPr>
        <w:pStyle w:val="BodyText"/>
        <w:spacing w:before="120"/>
        <w:ind w:right="262"/>
      </w:pPr>
      <w:r>
        <w:t>A family’s decision to apply for, receive, or refuse other housing assistance must not affect the family’s placement on the HCV waiting list, or any preferences for which the family may qualify.</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not merge the HCV waiting list with the waiting list for any other program the PHA operates.</w:t>
      </w:r>
    </w:p>
    <w:p w:rsidR="004E13A5" w:rsidRDefault="004E13A5">
      <w:pPr>
        <w:pStyle w:val="BodyText"/>
        <w:spacing w:before="9"/>
        <w:ind w:left="0"/>
        <w:rPr>
          <w:sz w:val="20"/>
        </w:rPr>
      </w:pPr>
    </w:p>
    <w:p w:rsidR="004E13A5" w:rsidRDefault="00681463">
      <w:pPr>
        <w:pStyle w:val="Heading4"/>
        <w:spacing w:before="1"/>
      </w:pPr>
      <w:r>
        <w:t>4-II.C. OPENING AND CLOSING THE WAITING LIST [24 CFR 982.206]</w:t>
      </w:r>
    </w:p>
    <w:p w:rsidR="004E13A5" w:rsidRDefault="00681463">
      <w:pPr>
        <w:spacing w:before="120"/>
        <w:ind w:left="100"/>
        <w:rPr>
          <w:b/>
          <w:sz w:val="24"/>
        </w:rPr>
      </w:pPr>
      <w:r>
        <w:rPr>
          <w:b/>
          <w:sz w:val="24"/>
        </w:rPr>
        <w:t>Closing the Waiting List</w:t>
      </w:r>
    </w:p>
    <w:p w:rsidR="004E13A5" w:rsidRDefault="00681463">
      <w:pPr>
        <w:pStyle w:val="BodyText"/>
        <w:spacing w:before="120"/>
        <w:ind w:right="262"/>
      </w:pPr>
      <w:r>
        <w:t>A PHA is permitted to close the waiting list if it has an adequate pool of families to use its available HCV assistance. Alternatively, the PHA may elect to continue to accept applications only from certain categories of families that meet particular preferences or funding criteria.</w:t>
      </w:r>
    </w:p>
    <w:p w:rsidR="004E13A5" w:rsidRDefault="00681463">
      <w:pPr>
        <w:pStyle w:val="BodyText"/>
        <w:ind w:left="820"/>
      </w:pPr>
      <w:r>
        <w:rPr>
          <w:u w:val="single"/>
        </w:rPr>
        <w:t>PHA Policy</w:t>
      </w:r>
    </w:p>
    <w:p w:rsidR="004E13A5" w:rsidRDefault="00681463">
      <w:pPr>
        <w:pStyle w:val="BodyText"/>
        <w:ind w:left="820" w:right="262"/>
      </w:pPr>
      <w:r>
        <w:t>The PHA will close the waiting list when the estimated waiting period for housing assistance for applicants on the list reaches 24 months for the most current applicants. Where the PHA has particular preferences or funding criteria that require a specific category of family, the PHA may elect to continue to accept applications from these applicants while closing the waiting list to others.</w:t>
      </w:r>
    </w:p>
    <w:p w:rsidR="004E13A5" w:rsidRDefault="00681463">
      <w:pPr>
        <w:pStyle w:val="Heading4"/>
        <w:spacing w:before="119"/>
      </w:pPr>
      <w:r>
        <w:t>Reopening the Waiting List</w:t>
      </w:r>
    </w:p>
    <w:p w:rsidR="004E13A5" w:rsidRDefault="00681463">
      <w:pPr>
        <w:pStyle w:val="BodyText"/>
        <w:spacing w:before="120"/>
        <w:ind w:right="102"/>
      </w:pPr>
      <w:r>
        <w:t>If the waiting list has been closed, it cannot be reopened until the PHA publishes a notice in local newspapers of general circulation, minority media, and other suitable media outlets. The notice must comply with HUD fair housing requirements and must specify who may apply, and where and when applications will be received.</w:t>
      </w:r>
    </w:p>
    <w:p w:rsidR="004E13A5" w:rsidRDefault="00681463">
      <w:pPr>
        <w:pStyle w:val="BodyText"/>
        <w:spacing w:before="120"/>
        <w:ind w:left="820"/>
      </w:pPr>
      <w:r>
        <w:rPr>
          <w:u w:val="single"/>
        </w:rPr>
        <w:t>PHA Policy</w:t>
      </w:r>
    </w:p>
    <w:p w:rsidR="004E13A5" w:rsidRDefault="00681463">
      <w:pPr>
        <w:pStyle w:val="BodyText"/>
        <w:spacing w:before="120"/>
        <w:ind w:left="820" w:right="95"/>
      </w:pPr>
      <w:r>
        <w:t>The PHA will announce the reopening of the waiting list at least 10 business days prior to the date applications will first be accepted. If the list is only being reopened for certain categories of families, this information will be contained in the notice.</w:t>
      </w:r>
    </w:p>
    <w:p w:rsidR="004E13A5" w:rsidRDefault="004E13A5">
      <w:pPr>
        <w:sectPr w:rsidR="004E13A5">
          <w:pgSz w:w="12240" w:h="15840"/>
          <w:pgMar w:top="1360" w:right="1340" w:bottom="640" w:left="1340" w:header="0" w:footer="381" w:gutter="0"/>
          <w:cols w:space="720"/>
        </w:sectPr>
      </w:pPr>
    </w:p>
    <w:p w:rsidR="004E13A5" w:rsidRDefault="00681463">
      <w:pPr>
        <w:pStyle w:val="BodyText"/>
        <w:spacing w:before="79"/>
        <w:ind w:left="820" w:right="121"/>
      </w:pPr>
      <w:r>
        <w:lastRenderedPageBreak/>
        <w:t>The PHA will give public notice by publishing the relevant information in suitable media outlets including, but not limited to:</w:t>
      </w:r>
    </w:p>
    <w:p w:rsidR="00391FED" w:rsidRDefault="00391FED">
      <w:pPr>
        <w:pStyle w:val="BodyText"/>
        <w:spacing w:before="79"/>
        <w:ind w:left="820" w:right="121"/>
      </w:pPr>
      <w:r>
        <w:t xml:space="preserve">             </w:t>
      </w:r>
      <w:r w:rsidRPr="00391FED">
        <w:t>www.ccnbchas.org</w:t>
      </w:r>
    </w:p>
    <w:p w:rsidR="004E13A5" w:rsidRDefault="00681463">
      <w:pPr>
        <w:pStyle w:val="BodyText"/>
        <w:ind w:left="1540"/>
      </w:pPr>
      <w:r>
        <w:t>The World Newspaper and South Coast Shopper</w:t>
      </w:r>
    </w:p>
    <w:p w:rsidR="004E13A5" w:rsidRDefault="004E13A5">
      <w:pPr>
        <w:pStyle w:val="BodyText"/>
        <w:spacing w:before="9"/>
        <w:ind w:left="0"/>
        <w:rPr>
          <w:sz w:val="20"/>
        </w:rPr>
      </w:pPr>
    </w:p>
    <w:p w:rsidR="004E13A5" w:rsidRDefault="00681463">
      <w:pPr>
        <w:pStyle w:val="Heading4"/>
      </w:pPr>
      <w:r>
        <w:t>4-II.D. FAMILY OUTREACH [HCV GB, pp. 4-2 to 4-4]</w:t>
      </w:r>
    </w:p>
    <w:p w:rsidR="004E13A5" w:rsidRDefault="00681463">
      <w:pPr>
        <w:pStyle w:val="BodyText"/>
        <w:ind w:right="209"/>
      </w:pPr>
      <w:r>
        <w:t>The PHA must conduct outreach as necessary to ensure that the PHA has a sufficient number of applicants on the waiting list to use the HCV resources it has been allotted.</w:t>
      </w:r>
    </w:p>
    <w:p w:rsidR="004E13A5" w:rsidRDefault="00681463">
      <w:pPr>
        <w:pStyle w:val="BodyText"/>
        <w:ind w:right="149"/>
      </w:pPr>
      <w:r>
        <w:t>Because HUD requires the PHA to admit a specified percentage of extremely low-income families to the program (see Chapter 4, Part III), the PHA may need to conduct special outreach to ensure that an adequate number of such families apply for assistance [HCV GB, p. 4-20</w:t>
      </w:r>
    </w:p>
    <w:p w:rsidR="004E13A5" w:rsidRDefault="00681463">
      <w:pPr>
        <w:pStyle w:val="BodyText"/>
        <w:spacing w:before="0"/>
      </w:pPr>
      <w:r>
        <w:t>to 4-21].</w:t>
      </w:r>
    </w:p>
    <w:p w:rsidR="004E13A5" w:rsidRDefault="00681463">
      <w:pPr>
        <w:pStyle w:val="BodyText"/>
        <w:spacing w:before="121"/>
      </w:pPr>
      <w:r>
        <w:t>PHA outreach efforts must comply with fair housing requirements. This includes:</w:t>
      </w:r>
    </w:p>
    <w:p w:rsidR="004E13A5" w:rsidRDefault="00681463">
      <w:pPr>
        <w:pStyle w:val="BodyText"/>
        <w:tabs>
          <w:tab w:val="left" w:pos="460"/>
        </w:tabs>
        <w:ind w:left="460" w:right="522" w:hanging="360"/>
      </w:pPr>
      <w:r>
        <w:rPr>
          <w:rFonts w:ascii="Symbol" w:hAnsi="Symbol"/>
        </w:rPr>
        <w:t></w:t>
      </w:r>
      <w:r>
        <w:tab/>
        <w:t>Analyzing the housing market area and the populations currently being served</w:t>
      </w:r>
      <w:r>
        <w:rPr>
          <w:spacing w:val="-16"/>
        </w:rPr>
        <w:t xml:space="preserve"> </w:t>
      </w:r>
      <w:r>
        <w:t>to</w:t>
      </w:r>
      <w:r>
        <w:rPr>
          <w:spacing w:val="-1"/>
        </w:rPr>
        <w:t xml:space="preserve"> </w:t>
      </w:r>
      <w:r>
        <w:t>identify</w:t>
      </w:r>
      <w:r>
        <w:rPr>
          <w:w w:val="99"/>
        </w:rPr>
        <w:t xml:space="preserve"> </w:t>
      </w:r>
      <w:r>
        <w:t>underserved</w:t>
      </w:r>
      <w:r>
        <w:rPr>
          <w:spacing w:val="-4"/>
        </w:rPr>
        <w:t xml:space="preserve"> </w:t>
      </w:r>
      <w:r>
        <w:t>populations</w:t>
      </w:r>
    </w:p>
    <w:p w:rsidR="004E13A5" w:rsidRDefault="00681463">
      <w:pPr>
        <w:pStyle w:val="BodyText"/>
        <w:tabs>
          <w:tab w:val="left" w:pos="460"/>
        </w:tabs>
        <w:ind w:left="460" w:right="483" w:hanging="360"/>
      </w:pPr>
      <w:r>
        <w:rPr>
          <w:rFonts w:ascii="Symbol" w:hAnsi="Symbol"/>
        </w:rPr>
        <w:t></w:t>
      </w:r>
      <w:r>
        <w:tab/>
        <w:t>Ensuring that outreach efforts are targeted to media outlets that reach</w:t>
      </w:r>
      <w:r>
        <w:rPr>
          <w:spacing w:val="-14"/>
        </w:rPr>
        <w:t xml:space="preserve"> </w:t>
      </w:r>
      <w:r>
        <w:t>eligible</w:t>
      </w:r>
      <w:r>
        <w:rPr>
          <w:spacing w:val="-2"/>
        </w:rPr>
        <w:t xml:space="preserve"> </w:t>
      </w:r>
      <w:r>
        <w:t>populations</w:t>
      </w:r>
      <w:r>
        <w:rPr>
          <w:w w:val="99"/>
        </w:rPr>
        <w:t xml:space="preserve"> </w:t>
      </w:r>
      <w:r>
        <w:t>that are underrepresented in the</w:t>
      </w:r>
      <w:r>
        <w:rPr>
          <w:spacing w:val="-7"/>
        </w:rPr>
        <w:t xml:space="preserve"> </w:t>
      </w:r>
      <w:r>
        <w:t>program</w:t>
      </w:r>
    </w:p>
    <w:p w:rsidR="004E13A5" w:rsidRDefault="00681463">
      <w:pPr>
        <w:pStyle w:val="BodyText"/>
        <w:tabs>
          <w:tab w:val="left" w:pos="460"/>
        </w:tabs>
      </w:pPr>
      <w:r>
        <w:rPr>
          <w:rFonts w:ascii="Symbol" w:hAnsi="Symbol"/>
        </w:rPr>
        <w:t></w:t>
      </w:r>
      <w:r>
        <w:tab/>
        <w:t>Avoiding outreach efforts that prefer or exclude people who are members of a protected</w:t>
      </w:r>
      <w:r>
        <w:rPr>
          <w:spacing w:val="-14"/>
        </w:rPr>
        <w:t xml:space="preserve"> </w:t>
      </w:r>
      <w:r>
        <w:t>class</w:t>
      </w:r>
    </w:p>
    <w:p w:rsidR="004E13A5" w:rsidRDefault="00681463">
      <w:pPr>
        <w:pStyle w:val="BodyText"/>
        <w:spacing w:before="118"/>
        <w:ind w:right="589"/>
      </w:pPr>
      <w:r>
        <w:t>PHA outreach efforts must be designed to inform qualified families about the availability of assistance under the program. These efforts may include, as needed, any of the following activities:</w:t>
      </w:r>
    </w:p>
    <w:p w:rsidR="004E13A5" w:rsidRDefault="00681463">
      <w:pPr>
        <w:pStyle w:val="BodyText"/>
        <w:tabs>
          <w:tab w:val="left" w:pos="460"/>
        </w:tabs>
      </w:pPr>
      <w:r>
        <w:rPr>
          <w:rFonts w:ascii="Symbol" w:hAnsi="Symbol"/>
        </w:rPr>
        <w:t></w:t>
      </w:r>
      <w:r>
        <w:tab/>
        <w:t>Submitting press releases to local newspapers, including minority</w:t>
      </w:r>
      <w:r>
        <w:rPr>
          <w:spacing w:val="-11"/>
        </w:rPr>
        <w:t xml:space="preserve"> </w:t>
      </w:r>
      <w:r>
        <w:t>newspapers</w:t>
      </w:r>
    </w:p>
    <w:p w:rsidR="004E13A5" w:rsidRDefault="00681463">
      <w:pPr>
        <w:pStyle w:val="BodyText"/>
        <w:tabs>
          <w:tab w:val="left" w:pos="460"/>
        </w:tabs>
        <w:spacing w:before="121"/>
      </w:pPr>
      <w:r>
        <w:rPr>
          <w:rFonts w:ascii="Symbol" w:hAnsi="Symbol"/>
        </w:rPr>
        <w:t></w:t>
      </w:r>
      <w:r>
        <w:tab/>
        <w:t>Developing informational materials and flyers to distribute to other</w:t>
      </w:r>
      <w:r>
        <w:rPr>
          <w:spacing w:val="-14"/>
        </w:rPr>
        <w:t xml:space="preserve"> </w:t>
      </w:r>
      <w:r>
        <w:t>agencies</w:t>
      </w:r>
    </w:p>
    <w:p w:rsidR="004E13A5" w:rsidRDefault="00681463">
      <w:pPr>
        <w:pStyle w:val="BodyText"/>
        <w:tabs>
          <w:tab w:val="left" w:pos="460"/>
        </w:tabs>
        <w:spacing w:before="118"/>
        <w:ind w:left="460" w:right="382" w:hanging="360"/>
      </w:pPr>
      <w:r>
        <w:rPr>
          <w:rFonts w:ascii="Symbol" w:hAnsi="Symbol"/>
        </w:rPr>
        <w:t></w:t>
      </w:r>
      <w:r>
        <w:tab/>
        <w:t>Providing application forms to other public and private agencies that serve the</w:t>
      </w:r>
      <w:r>
        <w:rPr>
          <w:spacing w:val="-11"/>
        </w:rPr>
        <w:t xml:space="preserve"> </w:t>
      </w:r>
      <w:r>
        <w:t>low</w:t>
      </w:r>
      <w:r>
        <w:rPr>
          <w:spacing w:val="-2"/>
        </w:rPr>
        <w:t xml:space="preserve"> </w:t>
      </w:r>
      <w:r>
        <w:t>income population</w:t>
      </w:r>
    </w:p>
    <w:p w:rsidR="004E13A5" w:rsidRDefault="00681463">
      <w:pPr>
        <w:pStyle w:val="BodyText"/>
        <w:tabs>
          <w:tab w:val="left" w:pos="460"/>
        </w:tabs>
        <w:ind w:left="460" w:right="414" w:hanging="360"/>
      </w:pPr>
      <w:r>
        <w:rPr>
          <w:rFonts w:ascii="Symbol" w:hAnsi="Symbol"/>
        </w:rPr>
        <w:t></w:t>
      </w:r>
      <w:r>
        <w:tab/>
        <w:t>Developing partnerships with other organizations that serve similar</w:t>
      </w:r>
      <w:r>
        <w:rPr>
          <w:spacing w:val="-11"/>
        </w:rPr>
        <w:t xml:space="preserve"> </w:t>
      </w:r>
      <w:r>
        <w:t>populations,</w:t>
      </w:r>
      <w:r>
        <w:rPr>
          <w:spacing w:val="-1"/>
        </w:rPr>
        <w:t xml:space="preserve"> </w:t>
      </w:r>
      <w:r>
        <w:t>including agencies that provide services for persons with</w:t>
      </w:r>
      <w:r>
        <w:rPr>
          <w:spacing w:val="-9"/>
        </w:rPr>
        <w:t xml:space="preserve"> </w:t>
      </w:r>
      <w:r>
        <w:t>disabilities</w:t>
      </w:r>
    </w:p>
    <w:p w:rsidR="004E13A5" w:rsidRDefault="00681463">
      <w:pPr>
        <w:pStyle w:val="BodyText"/>
        <w:ind w:left="820"/>
      </w:pPr>
      <w:r>
        <w:rPr>
          <w:u w:val="single"/>
        </w:rPr>
        <w:t>PHA Policy</w:t>
      </w:r>
    </w:p>
    <w:p w:rsidR="004E13A5" w:rsidRDefault="00681463">
      <w:pPr>
        <w:pStyle w:val="BodyText"/>
        <w:ind w:left="820" w:right="62"/>
      </w:pPr>
      <w:r>
        <w:t>The PHA will monitor the characteristics of the population being served and the characteristics of the population as a whole in the PHA’s jurisdiction. Targeted outreach efforts will be undertaken if a comparison suggests that certain populations are being underserved.</w:t>
      </w:r>
    </w:p>
    <w:p w:rsidR="004E13A5" w:rsidRDefault="004E13A5">
      <w:pPr>
        <w:pStyle w:val="BodyText"/>
        <w:spacing w:before="10"/>
        <w:ind w:left="0"/>
        <w:rPr>
          <w:sz w:val="20"/>
        </w:rPr>
      </w:pPr>
    </w:p>
    <w:p w:rsidR="004E13A5" w:rsidRDefault="00681463">
      <w:pPr>
        <w:pStyle w:val="Heading4"/>
      </w:pPr>
      <w:r>
        <w:t>4-II.E. REPORTING CHANGES IN FAMILY CIRCUMSTANCES</w:t>
      </w:r>
    </w:p>
    <w:p w:rsidR="004E13A5" w:rsidRDefault="00681463">
      <w:pPr>
        <w:pStyle w:val="BodyText"/>
        <w:spacing w:before="120"/>
        <w:ind w:left="820"/>
      </w:pPr>
      <w:r>
        <w:rPr>
          <w:u w:val="single"/>
        </w:rPr>
        <w:t>PHA Policy</w:t>
      </w:r>
    </w:p>
    <w:p w:rsidR="004E13A5" w:rsidRDefault="00681463">
      <w:pPr>
        <w:pStyle w:val="BodyText"/>
        <w:spacing w:before="120"/>
        <w:ind w:left="820" w:right="275"/>
        <w:jc w:val="both"/>
      </w:pPr>
      <w:r>
        <w:t>While the family is on the waiting list, the family must immediately inform the PHA of changes in contact information, including current residence, mailing address, and phone number. The changes must be submitted in writing.</w:t>
      </w:r>
    </w:p>
    <w:p w:rsidR="004E13A5" w:rsidRDefault="004E13A5">
      <w:pPr>
        <w:jc w:val="both"/>
        <w:sectPr w:rsidR="004E13A5">
          <w:pgSz w:w="12240" w:h="15840"/>
          <w:pgMar w:top="1360" w:right="1360" w:bottom="640" w:left="1340" w:header="0" w:footer="381" w:gutter="0"/>
          <w:cols w:space="720"/>
        </w:sectPr>
      </w:pPr>
    </w:p>
    <w:p w:rsidR="004E13A5" w:rsidRDefault="00681463">
      <w:pPr>
        <w:pStyle w:val="Heading4"/>
        <w:spacing w:before="79"/>
      </w:pPr>
      <w:r>
        <w:lastRenderedPageBreak/>
        <w:t>4-II.F. UPDATING THE WAITING LIST [24 CFR 982.204]</w:t>
      </w:r>
    </w:p>
    <w:p w:rsidR="004E13A5" w:rsidRDefault="00681463">
      <w:pPr>
        <w:pStyle w:val="BodyText"/>
        <w:ind w:right="562"/>
      </w:pPr>
      <w:r>
        <w:t>HUD requires the PHA to establish policies to use when removing applicant names from the waiting list.</w:t>
      </w:r>
    </w:p>
    <w:p w:rsidR="004E13A5" w:rsidRDefault="00681463">
      <w:pPr>
        <w:pStyle w:val="Heading4"/>
        <w:spacing w:before="119"/>
      </w:pPr>
      <w:r>
        <w:t>Purging the Waiting List</w:t>
      </w:r>
    </w:p>
    <w:p w:rsidR="004E13A5" w:rsidRDefault="00681463">
      <w:pPr>
        <w:pStyle w:val="BodyText"/>
        <w:ind w:right="329"/>
      </w:pPr>
      <w:r>
        <w:t>The decision to withdraw an applicant family that includes a person with disabilities from the waiting list is subject to reasonable accommodation. If the applicant did not respond to a PHA request for information or updates, and the PHA determines that the family did not respond because of the family member’s disability, the PHA must reinstate the applicant family to their former position on the waiting list [24 CFR 982.204(c)(2)].</w:t>
      </w:r>
    </w:p>
    <w:p w:rsidR="004E13A5" w:rsidRDefault="00681463">
      <w:pPr>
        <w:pStyle w:val="BodyText"/>
        <w:ind w:left="820"/>
      </w:pPr>
      <w:r>
        <w:rPr>
          <w:u w:val="single"/>
        </w:rPr>
        <w:t>PHA Policy</w:t>
      </w:r>
    </w:p>
    <w:p w:rsidR="004E13A5" w:rsidRDefault="00681463">
      <w:pPr>
        <w:pStyle w:val="BodyText"/>
        <w:ind w:left="820" w:right="642"/>
      </w:pPr>
      <w:r>
        <w:t>The waiting list will be updated as needed to ensure that all applicants and applicant information is current and timely.</w:t>
      </w:r>
    </w:p>
    <w:p w:rsidR="004E13A5" w:rsidRDefault="00681463">
      <w:pPr>
        <w:pStyle w:val="BodyText"/>
        <w:ind w:left="820" w:right="100"/>
      </w:pPr>
      <w:r>
        <w:t>To update the waiting list, the PHA will send an update request via first class mail to each family on the waiting list to determine whether the family continues to be interested in, and to qualify for, the program. This update request will be sent to the last address that the PHA has on record for the family. The update request will provide a deadline by which the family must respond and will state that failure to respond will result in the applicant’s name being removed from the waiting</w:t>
      </w:r>
      <w:r>
        <w:rPr>
          <w:spacing w:val="-8"/>
        </w:rPr>
        <w:t xml:space="preserve"> </w:t>
      </w:r>
      <w:r>
        <w:t>list.</w:t>
      </w:r>
    </w:p>
    <w:p w:rsidR="004E13A5" w:rsidRDefault="00681463">
      <w:pPr>
        <w:pStyle w:val="BodyText"/>
        <w:ind w:left="820" w:right="182"/>
      </w:pPr>
      <w:r>
        <w:t>The family’s response must be in writing and may be delivered in person, by mail, by email, or by fax. Responses should be postmarked or received by the PHA not later than 10 business days from the date of the PHA letter.</w:t>
      </w:r>
    </w:p>
    <w:p w:rsidR="004E13A5" w:rsidRDefault="00681463">
      <w:pPr>
        <w:pStyle w:val="BodyText"/>
        <w:ind w:left="820" w:right="388"/>
      </w:pPr>
      <w:r>
        <w:t>If the family fails to respond within 10 business days, the family will be removed from the waiting list without further notice.</w:t>
      </w:r>
    </w:p>
    <w:p w:rsidR="005B1AD1" w:rsidRPr="001C70B2" w:rsidRDefault="005B1AD1" w:rsidP="005B1AD1">
      <w:pPr>
        <w:spacing w:before="120"/>
        <w:ind w:left="820"/>
        <w:rPr>
          <w:sz w:val="24"/>
        </w:rPr>
      </w:pPr>
      <w:r w:rsidRPr="001C70B2">
        <w:rPr>
          <w:sz w:val="24"/>
        </w:rPr>
        <w:t>If the notice is returned by the post office with no forwarding address, the applicant will be removed from the waiting list without further notice.</w:t>
      </w:r>
    </w:p>
    <w:p w:rsidR="005B1AD1" w:rsidRDefault="005B1AD1" w:rsidP="005B1AD1">
      <w:pPr>
        <w:spacing w:before="120"/>
        <w:ind w:left="820"/>
        <w:rPr>
          <w:sz w:val="24"/>
        </w:rPr>
      </w:pPr>
      <w:r w:rsidRPr="001C70B2">
        <w:rPr>
          <w:sz w:val="24"/>
        </w:rPr>
        <w:t>If the notice is returned by the post office with a forwarding address, the notice will be re</w:t>
      </w:r>
      <w:r>
        <w:rPr>
          <w:sz w:val="24"/>
        </w:rPr>
        <w:t>-</w:t>
      </w:r>
      <w:r w:rsidRPr="001C70B2">
        <w:rPr>
          <w:sz w:val="24"/>
        </w:rPr>
        <w:t>sent to the address indicated. The family will have 1</w:t>
      </w:r>
      <w:r>
        <w:rPr>
          <w:sz w:val="24"/>
        </w:rPr>
        <w:t>0</w:t>
      </w:r>
      <w:r w:rsidRPr="001C70B2">
        <w:rPr>
          <w:sz w:val="24"/>
        </w:rPr>
        <w:t xml:space="preserve"> business days to respond from the date the letter was re</w:t>
      </w:r>
      <w:r>
        <w:rPr>
          <w:sz w:val="24"/>
        </w:rPr>
        <w:t>-</w:t>
      </w:r>
      <w:r w:rsidRPr="001C70B2">
        <w:rPr>
          <w:sz w:val="24"/>
        </w:rPr>
        <w:t>sent.</w:t>
      </w:r>
    </w:p>
    <w:p w:rsidR="004E13A5" w:rsidRDefault="00681463">
      <w:pPr>
        <w:pStyle w:val="BodyText"/>
        <w:ind w:left="820" w:right="162"/>
      </w:pPr>
      <w:r>
        <w:t>If a family is removed from the waiting list for failure to respond or due to returned mail, the PHA may reinstate the family if it is determined that the lack of response was due to PHA error, or to circumstances beyond the family’s control.</w:t>
      </w:r>
    </w:p>
    <w:p w:rsidR="004E13A5" w:rsidRDefault="00681463">
      <w:pPr>
        <w:pStyle w:val="Heading4"/>
        <w:spacing w:before="119"/>
      </w:pPr>
      <w:r>
        <w:t>Removal from the Waiting List</w:t>
      </w:r>
    </w:p>
    <w:p w:rsidR="004E13A5" w:rsidRDefault="00681463">
      <w:pPr>
        <w:pStyle w:val="BodyText"/>
        <w:ind w:left="820"/>
      </w:pPr>
      <w:r>
        <w:rPr>
          <w:u w:val="single"/>
        </w:rPr>
        <w:t>PHA Policy</w:t>
      </w:r>
    </w:p>
    <w:p w:rsidR="004E13A5" w:rsidRDefault="00681463">
      <w:pPr>
        <w:pStyle w:val="BodyText"/>
        <w:ind w:left="820" w:right="182"/>
      </w:pPr>
      <w:r>
        <w:t>If at any time an applicant family is on the waiting list, the PHA determines that the family is not eligible for assistance (see Chapter 3), the family will be removed from the waiting list.</w:t>
      </w:r>
    </w:p>
    <w:p w:rsidR="004E13A5" w:rsidRDefault="00681463">
      <w:pPr>
        <w:pStyle w:val="BodyText"/>
        <w:ind w:left="820" w:right="106"/>
      </w:pPr>
      <w:r>
        <w:t>If a family is removed from the waiting list because the PHA has determined the family</w:t>
      </w:r>
      <w:r>
        <w:rPr>
          <w:spacing w:val="-21"/>
        </w:rPr>
        <w:t xml:space="preserve"> </w:t>
      </w:r>
      <w:r>
        <w:t>is not eligible for assistance, a notice will be sent to the family’s address of record as well as to any alternate address provided on the initial application. The notice will state the reasons the family was removed from the waiting list and will inform the family how to request an informal review regarding the PHA’s decision (see Chapter 16) [24 CFR 982.201(f)].</w:t>
      </w:r>
    </w:p>
    <w:p w:rsidR="004E13A5" w:rsidRDefault="004E13A5">
      <w:pPr>
        <w:sectPr w:rsidR="004E13A5">
          <w:pgSz w:w="12240" w:h="15840"/>
          <w:pgMar w:top="1360" w:right="1340" w:bottom="640" w:left="1340" w:header="0" w:footer="381" w:gutter="0"/>
          <w:cols w:space="720"/>
        </w:sectPr>
      </w:pPr>
    </w:p>
    <w:p w:rsidR="004E13A5" w:rsidRDefault="00681463">
      <w:pPr>
        <w:pStyle w:val="Heading4"/>
        <w:spacing w:before="79"/>
        <w:ind w:left="2150"/>
      </w:pPr>
      <w:r>
        <w:lastRenderedPageBreak/>
        <w:t>PART III: SELECTION FOR HCV ASSISTANCE</w:t>
      </w:r>
    </w:p>
    <w:p w:rsidR="004E13A5" w:rsidRDefault="004E13A5">
      <w:pPr>
        <w:pStyle w:val="BodyText"/>
        <w:spacing w:before="9"/>
        <w:ind w:left="0"/>
        <w:rPr>
          <w:b/>
          <w:sz w:val="20"/>
        </w:rPr>
      </w:pPr>
    </w:p>
    <w:p w:rsidR="004E13A5" w:rsidRDefault="00681463">
      <w:pPr>
        <w:ind w:left="100"/>
        <w:rPr>
          <w:b/>
          <w:sz w:val="24"/>
        </w:rPr>
      </w:pPr>
      <w:r>
        <w:rPr>
          <w:b/>
          <w:sz w:val="24"/>
        </w:rPr>
        <w:t>4-III.A. OVERVIEW</w:t>
      </w:r>
    </w:p>
    <w:p w:rsidR="004E13A5" w:rsidRDefault="00681463">
      <w:pPr>
        <w:pStyle w:val="BodyText"/>
        <w:ind w:right="502"/>
      </w:pPr>
      <w:r>
        <w:t>As vouchers become available, families on the waiting list must be selected for assistance in accordance with the policies described in this part.</w:t>
      </w:r>
    </w:p>
    <w:p w:rsidR="004E13A5" w:rsidRDefault="00681463">
      <w:pPr>
        <w:pStyle w:val="BodyText"/>
        <w:ind w:right="302"/>
      </w:pPr>
      <w:r>
        <w:t>The order in which families are selected from the waiting list depends on the selection method chosen by the PHA and is impacted in part by any selection preferences for which the family qualifies. The availability of targeted funding also may affect the order in which families are selected from the waiting list.</w:t>
      </w:r>
    </w:p>
    <w:p w:rsidR="004E13A5" w:rsidRDefault="00681463">
      <w:pPr>
        <w:pStyle w:val="BodyText"/>
        <w:ind w:right="115"/>
      </w:pPr>
      <w:r>
        <w:t>The PHA must maintain a clear record of all information required to verify that the family is selected from the waiting list according to the PHA’s selection policies [24 CFR 982.204(b) and 982.207(e)].</w:t>
      </w:r>
    </w:p>
    <w:p w:rsidR="004E13A5" w:rsidRDefault="004E13A5">
      <w:pPr>
        <w:pStyle w:val="BodyText"/>
        <w:spacing w:before="10"/>
        <w:ind w:left="0"/>
        <w:rPr>
          <w:sz w:val="20"/>
        </w:rPr>
      </w:pPr>
    </w:p>
    <w:p w:rsidR="004E13A5" w:rsidRDefault="00681463">
      <w:pPr>
        <w:pStyle w:val="Heading4"/>
      </w:pPr>
      <w:r>
        <w:t>4-III.B. SELECTION AND HCV FUNDING SOURCES</w:t>
      </w:r>
    </w:p>
    <w:p w:rsidR="004E13A5" w:rsidRDefault="00681463">
      <w:pPr>
        <w:spacing w:before="120"/>
        <w:ind w:left="100"/>
        <w:rPr>
          <w:b/>
          <w:sz w:val="24"/>
        </w:rPr>
      </w:pPr>
      <w:r>
        <w:rPr>
          <w:b/>
          <w:sz w:val="24"/>
        </w:rPr>
        <w:t>Special Admissions [24 CFR 982.203]</w:t>
      </w:r>
    </w:p>
    <w:p w:rsidR="004E13A5" w:rsidRDefault="00681463">
      <w:pPr>
        <w:pStyle w:val="BodyText"/>
        <w:spacing w:before="120"/>
        <w:ind w:right="101"/>
      </w:pPr>
      <w:r>
        <w:t>HUD may award funding for specifically-named families living in specified types of units (e.g., a family that is displaced by demolition of public housing; a non-purchasing family residing in a HOPE 1 or 2 projects). In these cases, the PHA may admit such families whether or not they are on the waiting list, and, if they are on the waiting list, without considering the family’s position on the waiting list. These families are considered non-waiting list selections. The PHA must maintain records showing that such families were admitted with special program funding.</w:t>
      </w:r>
    </w:p>
    <w:p w:rsidR="004E13A5" w:rsidRDefault="00681463">
      <w:pPr>
        <w:pStyle w:val="BodyText"/>
        <w:spacing w:before="120"/>
        <w:ind w:left="820"/>
      </w:pPr>
      <w:r>
        <w:rPr>
          <w:u w:val="single"/>
        </w:rPr>
        <w:t>PHA Policy</w:t>
      </w:r>
    </w:p>
    <w:p w:rsidR="004E13A5" w:rsidRDefault="00681463">
      <w:pPr>
        <w:pStyle w:val="BodyText"/>
        <w:spacing w:before="120" w:line="345" w:lineRule="auto"/>
        <w:ind w:left="820" w:right="2360"/>
      </w:pPr>
      <w:r>
        <w:t>The PHA administers the following types of Special Admissions: Veterans Affairs Supportive Housing (VASH)</w:t>
      </w:r>
    </w:p>
    <w:p w:rsidR="004E13A5" w:rsidRDefault="00681463">
      <w:pPr>
        <w:pStyle w:val="BodyText"/>
        <w:spacing w:before="3"/>
        <w:ind w:left="820" w:right="541"/>
      </w:pPr>
      <w:r>
        <w:t>Funding awarded by HUD in partnership with the VA to provide rental assistance to chronically homeless veterans.</w:t>
      </w:r>
    </w:p>
    <w:p w:rsidR="004E13A5" w:rsidRDefault="00681463">
      <w:pPr>
        <w:pStyle w:val="BodyText"/>
        <w:spacing w:before="120"/>
        <w:ind w:left="820"/>
      </w:pPr>
      <w:r>
        <w:t>Emergency Housing Vouchers (EHV)</w:t>
      </w:r>
    </w:p>
    <w:p w:rsidR="004E13A5" w:rsidRDefault="00681463">
      <w:pPr>
        <w:pStyle w:val="BodyText"/>
        <w:spacing w:before="120"/>
        <w:ind w:left="796"/>
      </w:pPr>
      <w:r>
        <w:t>Funding awarded by HUD to provide rental assistance for -</w:t>
      </w:r>
    </w:p>
    <w:p w:rsidR="004E13A5" w:rsidRDefault="00681463">
      <w:pPr>
        <w:pStyle w:val="BodyText"/>
        <w:spacing w:before="120"/>
        <w:ind w:left="820" w:right="1214"/>
      </w:pPr>
      <w:r>
        <w:t>Homeless, At risk of being Homeless, Fleeing or attempting to flee, domestic violence, dating violence, sexual assault, stalking, or human trafficking.</w:t>
      </w:r>
    </w:p>
    <w:p w:rsidR="004E13A5" w:rsidRDefault="00681463">
      <w:pPr>
        <w:pStyle w:val="BodyText"/>
        <w:spacing w:before="120"/>
        <w:ind w:left="820" w:right="928"/>
      </w:pPr>
      <w:r>
        <w:t>Recently homeless and for whom providing rental assistance will prevent the family homelessness or having high risk of housing instability.</w:t>
      </w:r>
    </w:p>
    <w:p w:rsidR="004E13A5" w:rsidRDefault="004E13A5">
      <w:pPr>
        <w:pStyle w:val="BodyText"/>
        <w:spacing w:before="0"/>
        <w:ind w:left="0"/>
        <w:rPr>
          <w:sz w:val="26"/>
        </w:rPr>
      </w:pPr>
    </w:p>
    <w:p w:rsidR="004E13A5" w:rsidRDefault="00681463">
      <w:pPr>
        <w:pStyle w:val="Heading4"/>
        <w:spacing w:before="217"/>
      </w:pPr>
      <w:r>
        <w:t>Targeted Funding [24 CFR 982.204(e)]</w:t>
      </w:r>
    </w:p>
    <w:p w:rsidR="004E13A5" w:rsidRDefault="00681463">
      <w:pPr>
        <w:pStyle w:val="BodyText"/>
        <w:ind w:right="95"/>
      </w:pPr>
      <w:r>
        <w:t>HUD may award a PHA funding for a specified category of families on the waiting list. The PHA must use this funding only to assist the families within the specified category. In order to assist families within a targeted funding category, the PHA may skip families that do not qualify within the targeted funding category. Within this category of families, the order in which such families are assisted is determined according to the policies provided in Section 4-III.C.</w:t>
      </w:r>
    </w:p>
    <w:p w:rsidR="004E13A5" w:rsidRDefault="004E13A5">
      <w:pPr>
        <w:sectPr w:rsidR="004E13A5">
          <w:pgSz w:w="12240" w:h="15840"/>
          <w:pgMar w:top="1360" w:right="1420" w:bottom="640" w:left="1340" w:header="0" w:footer="381"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line="343" w:lineRule="auto"/>
        <w:ind w:left="820" w:right="2721"/>
      </w:pPr>
      <w:r>
        <w:t>The PHA administers the following types of targeted funding: Mainstream for</w:t>
      </w:r>
      <w:r w:rsidR="00573FE2">
        <w:t xml:space="preserve"> a Non</w:t>
      </w:r>
      <w:r w:rsidR="00201CBD">
        <w:t>-</w:t>
      </w:r>
      <w:r w:rsidR="00573FE2">
        <w:t xml:space="preserve">Elderly </w:t>
      </w:r>
      <w:r>
        <w:t>Persons with Disabilities</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99"/>
      </w:pPr>
      <w:r>
        <w:t>Regular HCV Funding</w:t>
      </w:r>
    </w:p>
    <w:p w:rsidR="004E13A5" w:rsidRDefault="00681463">
      <w:pPr>
        <w:pStyle w:val="BodyText"/>
      </w:pPr>
      <w:r>
        <w:t>Regular HCV funding may be used to assist any eligible family on the waiting list. Families are selected from the waiting list according to the policies provided in Section 4-III.C.</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58"/>
      </w:pPr>
      <w:r>
        <w:t>4-III.C. SELECTION METHOD</w:t>
      </w:r>
    </w:p>
    <w:p w:rsidR="004E13A5" w:rsidRDefault="00681463">
      <w:pPr>
        <w:pStyle w:val="BodyText"/>
        <w:spacing w:before="120"/>
      </w:pPr>
      <w:r>
        <w:t>PHAs must describe the method for selecting applicant families from the waiting list, including the system of admission preferences that the PHA will use [24 CFR 982.202(d)].</w:t>
      </w:r>
    </w:p>
    <w:p w:rsidR="004E13A5" w:rsidRDefault="00681463">
      <w:pPr>
        <w:pStyle w:val="Heading4"/>
        <w:spacing w:before="120"/>
      </w:pPr>
      <w:r>
        <w:t>Local Preferences [24 CFR 982.207; HCV p. 4-16]</w:t>
      </w:r>
    </w:p>
    <w:p w:rsidR="004E13A5" w:rsidRDefault="00681463">
      <w:pPr>
        <w:pStyle w:val="BodyText"/>
        <w:spacing w:before="120"/>
        <w:ind w:right="216"/>
      </w:pPr>
      <w:r>
        <w:t>PHAs are permitted to establish local preferences, and to give priority to serving families that meet those criteria. HUD specifically authorizes and places restrictions on certain types of local preferences. HUD also permits the PHA to establish other local preferences, at its discretion.</w:t>
      </w:r>
    </w:p>
    <w:p w:rsidR="004E13A5" w:rsidRDefault="00681463">
      <w:pPr>
        <w:pStyle w:val="BodyText"/>
        <w:spacing w:before="0"/>
        <w:ind w:right="109"/>
      </w:pPr>
      <w:r>
        <w:t>Any local preferences established must be consistent with the PHA plan and the consolidated plan, and must be based on local housing needs and priorities that can be documented by generally accepted data sources.</w:t>
      </w:r>
    </w:p>
    <w:p w:rsidR="004E13A5" w:rsidRDefault="00681463">
      <w:pPr>
        <w:pStyle w:val="BodyText"/>
        <w:spacing w:before="120"/>
        <w:ind w:left="1780"/>
      </w:pPr>
      <w:r>
        <w:rPr>
          <w:u w:val="single"/>
        </w:rPr>
        <w:t>PHA Policy</w:t>
      </w:r>
    </w:p>
    <w:p w:rsidR="004E13A5" w:rsidRDefault="00681463">
      <w:pPr>
        <w:pStyle w:val="BodyText"/>
        <w:ind w:left="1780"/>
      </w:pPr>
      <w:r>
        <w:t>No local preferences have been established.</w:t>
      </w:r>
    </w:p>
    <w:p w:rsidR="004E13A5" w:rsidRDefault="004E13A5">
      <w:pPr>
        <w:pStyle w:val="BodyText"/>
        <w:spacing w:before="0"/>
        <w:ind w:left="0"/>
        <w:rPr>
          <w:sz w:val="26"/>
        </w:rPr>
      </w:pPr>
    </w:p>
    <w:p w:rsidR="004E13A5" w:rsidRDefault="004E13A5">
      <w:pPr>
        <w:pStyle w:val="BodyText"/>
        <w:spacing w:before="5"/>
        <w:ind w:left="0"/>
        <w:rPr>
          <w:sz w:val="20"/>
        </w:rPr>
      </w:pPr>
    </w:p>
    <w:p w:rsidR="004E13A5" w:rsidRDefault="00681463">
      <w:pPr>
        <w:pStyle w:val="Heading4"/>
      </w:pPr>
      <w:r>
        <w:t>Income Targeting Requirement [24 CFR 982.201(b)(2)]</w:t>
      </w:r>
    </w:p>
    <w:p w:rsidR="004E13A5" w:rsidRDefault="00681463">
      <w:pPr>
        <w:pStyle w:val="BodyText"/>
        <w:ind w:right="109"/>
      </w:pPr>
      <w:r>
        <w:t>HUD requires that extremely low-income (ELI) families make up at least 75 percent of the families admitted to the HCV program during the PHA’s fiscal year. ELI families are those with annual incomes at or below the federal poverty level or 30 percent of the area median income, whichever number is higher. To ensure this requirement is met, a PHA may skip non-ELI families on the waiting list in order to select an ELI family.</w:t>
      </w:r>
    </w:p>
    <w:p w:rsidR="004E13A5" w:rsidRDefault="00681463">
      <w:pPr>
        <w:pStyle w:val="BodyText"/>
        <w:ind w:right="88"/>
      </w:pPr>
      <w:r>
        <w:t>Low-income families admitted to the program that are “continuously assisted” under the 1937 Housing Act [24 CFR 982.4(b)], as well as low-income or moderate-income families admitted to the program that are displaced as a result of the prepayment of the mortgage or voluntary termination of an insurance contract on eligible low-income housing, are not counted for income targeting purposes [24 CFR 982.201(b)(2)(v)].</w:t>
      </w:r>
    </w:p>
    <w:p w:rsidR="004E13A5" w:rsidRDefault="00681463">
      <w:pPr>
        <w:pStyle w:val="BodyText"/>
        <w:ind w:left="820"/>
      </w:pPr>
      <w:r>
        <w:rPr>
          <w:u w:val="single"/>
        </w:rPr>
        <w:t>PHA Policy</w:t>
      </w:r>
    </w:p>
    <w:p w:rsidR="004E13A5" w:rsidRDefault="00681463">
      <w:pPr>
        <w:pStyle w:val="BodyText"/>
        <w:ind w:left="820"/>
      </w:pPr>
      <w:r>
        <w:t>The PHA will monitor progress in meeting the income targeting requirement throughout the fiscal year. Extremely low-income families will be selected ahead of other eligible families on an as-needed basis to ensure the income targeting requirement is met.</w:t>
      </w:r>
    </w:p>
    <w:p w:rsidR="004E13A5" w:rsidRDefault="004E13A5">
      <w:pPr>
        <w:sectPr w:rsidR="004E13A5">
          <w:pgSz w:w="12240" w:h="15840"/>
          <w:pgMar w:top="1360" w:right="1380" w:bottom="640" w:left="1340" w:header="0" w:footer="381" w:gutter="0"/>
          <w:cols w:space="720"/>
        </w:sectPr>
      </w:pPr>
    </w:p>
    <w:p w:rsidR="004E13A5" w:rsidRDefault="004E13A5">
      <w:pPr>
        <w:pStyle w:val="BodyText"/>
        <w:spacing w:before="4"/>
        <w:ind w:left="0"/>
        <w:rPr>
          <w:sz w:val="21"/>
        </w:rPr>
      </w:pPr>
    </w:p>
    <w:p w:rsidR="004E13A5" w:rsidRDefault="00681463">
      <w:pPr>
        <w:pStyle w:val="Heading4"/>
        <w:spacing w:before="90"/>
      </w:pPr>
      <w:r>
        <w:t>Order of Selection</w:t>
      </w:r>
    </w:p>
    <w:p w:rsidR="004E13A5" w:rsidRDefault="00681463">
      <w:pPr>
        <w:pStyle w:val="BodyText"/>
        <w:spacing w:before="120"/>
        <w:ind w:right="95"/>
      </w:pPr>
      <w:r>
        <w:t>The PHA system of preferences may select families based on local preferences according to the date and time of application or by a random selection process (lottery) [24 CFR 982.207(c)]. If a PHA does not have enough funding to assist the family at the top of the waiting list, it is not permitted to skip down the waiting list to a family that it can afford to subsidize when there are not sufficient funds to subsidize the family at the top of the waiting list [24 CFR 982.204(d)</w:t>
      </w:r>
    </w:p>
    <w:p w:rsidR="004E13A5" w:rsidRDefault="00681463">
      <w:pPr>
        <w:pStyle w:val="BodyText"/>
        <w:spacing w:before="0"/>
      </w:pPr>
      <w:r>
        <w:t>and (e)].</w:t>
      </w:r>
    </w:p>
    <w:p w:rsidR="004E13A5" w:rsidRDefault="00681463">
      <w:pPr>
        <w:pStyle w:val="BodyText"/>
        <w:spacing w:before="120"/>
        <w:ind w:left="820"/>
      </w:pPr>
      <w:r>
        <w:rPr>
          <w:u w:val="single"/>
        </w:rPr>
        <w:t>PHA Policy</w:t>
      </w:r>
    </w:p>
    <w:p w:rsidR="004E13A5" w:rsidRDefault="00681463">
      <w:pPr>
        <w:pStyle w:val="BodyText"/>
        <w:spacing w:before="120"/>
        <w:ind w:left="820" w:right="182"/>
      </w:pPr>
      <w:r>
        <w:t>Families will be selected from the waiting list based on the targeted funding or selection preference(s) for which they qualify, and in accordance with the PHA’s hierarchy of preferences, if applicable. Within each targeted funding or preference category, families will be selected on a first-come, first-served basis according to the date and time their complete application is received by the PHA. Documentation will be maintained by the PHA as to whether families on the list qualify for and are interested in targeted funding. If a higher placed family on the waiting list is not qualified or not interested in targeted funding, there will be a notation maintained so that the PHA does not have to ask higher placed families each time targeted selections are made.</w:t>
      </w:r>
    </w:p>
    <w:p w:rsidR="004E13A5" w:rsidRDefault="004E13A5">
      <w:pPr>
        <w:pStyle w:val="BodyText"/>
        <w:spacing w:before="10"/>
        <w:ind w:left="0"/>
        <w:rPr>
          <w:sz w:val="20"/>
        </w:rPr>
      </w:pPr>
    </w:p>
    <w:p w:rsidR="004E13A5" w:rsidRDefault="00681463">
      <w:pPr>
        <w:pStyle w:val="Heading4"/>
      </w:pPr>
      <w:r>
        <w:t>4-III.D. NOTIFICATION OF SELECTION</w:t>
      </w:r>
    </w:p>
    <w:p w:rsidR="004E13A5" w:rsidRDefault="00681463">
      <w:pPr>
        <w:pStyle w:val="BodyText"/>
        <w:spacing w:before="120"/>
        <w:ind w:right="228"/>
      </w:pPr>
      <w:r>
        <w:t>When a family has been selected from the waiting list, the PHA must notify the family [24 CFR 982.554(a)].</w:t>
      </w:r>
    </w:p>
    <w:p w:rsidR="004E13A5" w:rsidRDefault="00681463">
      <w:pPr>
        <w:pStyle w:val="BodyText"/>
        <w:spacing w:before="120"/>
        <w:ind w:left="820"/>
      </w:pPr>
      <w:r>
        <w:rPr>
          <w:u w:val="single"/>
        </w:rPr>
        <w:t>PHA Policy</w:t>
      </w:r>
    </w:p>
    <w:p w:rsidR="004E13A5" w:rsidRDefault="00681463">
      <w:pPr>
        <w:pStyle w:val="BodyText"/>
        <w:spacing w:before="139"/>
        <w:ind w:left="820" w:right="182"/>
      </w:pPr>
      <w:r>
        <w:t>The PHA will notify the applicant by first class mail when it is selected from the waiting list. The notice will specify the documentation that must be completed and returned by the deadline stated in the notification letter. The documents may be submitted in person or through the mail with a post mark no later than the deadline date.</w:t>
      </w:r>
    </w:p>
    <w:p w:rsidR="004E13A5" w:rsidRDefault="00681463">
      <w:pPr>
        <w:pStyle w:val="BodyText"/>
        <w:ind w:left="820" w:right="182"/>
      </w:pPr>
      <w:r>
        <w:t>If a notification letter is returned to the PHA with no forwarding address or the applicant fails to respond the applicant will be removed from the waiting list. A notice of denial (see Chapter 3) will be sent to the family’s address of record, as well as to any known alternate address.</w:t>
      </w:r>
    </w:p>
    <w:p w:rsidR="004E13A5" w:rsidRDefault="004E13A5">
      <w:pPr>
        <w:pStyle w:val="BodyText"/>
        <w:spacing w:before="9"/>
        <w:ind w:left="0"/>
        <w:rPr>
          <w:sz w:val="20"/>
        </w:rPr>
      </w:pPr>
    </w:p>
    <w:p w:rsidR="004E13A5" w:rsidRDefault="00681463">
      <w:pPr>
        <w:pStyle w:val="Heading4"/>
      </w:pPr>
      <w:r>
        <w:t>4-III.E. THE APPLICATION INTERVIEW</w:t>
      </w:r>
    </w:p>
    <w:p w:rsidR="004E13A5" w:rsidRDefault="00681463">
      <w:pPr>
        <w:pStyle w:val="BodyText"/>
        <w:ind w:right="316"/>
        <w:jc w:val="both"/>
      </w:pPr>
      <w:r>
        <w:t>HUD recommends that the PHA obtain the information and documentation needed to make an eligibility determination though a face-to-face interview with a PHA representative [HCV GB, pg. 4-16].  Being invited to attend an interview does not constitute admission to the program.</w:t>
      </w:r>
    </w:p>
    <w:p w:rsidR="004E13A5" w:rsidRDefault="00681463">
      <w:pPr>
        <w:pStyle w:val="BodyText"/>
        <w:ind w:right="108"/>
      </w:pPr>
      <w:r>
        <w:t>Assistance cannot be provided to the family until all SSN documentation requirements are met. However, if the PHA determines that an applicant family is otherwise eligible to participate in the program, the family may retain its place on the waiting list for a period of time determined</w:t>
      </w:r>
      <w:r>
        <w:rPr>
          <w:spacing w:val="-17"/>
        </w:rPr>
        <w:t xml:space="preserve"> </w:t>
      </w:r>
      <w:r>
        <w:t>by the PHA [Notice PIH</w:t>
      </w:r>
      <w:r>
        <w:rPr>
          <w:spacing w:val="-3"/>
        </w:rPr>
        <w:t xml:space="preserve"> </w:t>
      </w:r>
      <w:r>
        <w:t>2018-24].</w:t>
      </w:r>
    </w:p>
    <w:p w:rsidR="004E13A5" w:rsidRDefault="00681463">
      <w:pPr>
        <w:pStyle w:val="BodyText"/>
        <w:ind w:right="209"/>
      </w:pPr>
      <w:r>
        <w:t>Reasonable accommodation must be made for persons with disabilities who are unable to attend an interview due to their disability.</w:t>
      </w:r>
    </w:p>
    <w:p w:rsidR="004E13A5" w:rsidRDefault="004E13A5">
      <w:pPr>
        <w:sectPr w:rsidR="004E13A5">
          <w:pgSz w:w="12240" w:h="15840"/>
          <w:pgMar w:top="1500" w:right="1340" w:bottom="640" w:left="1340" w:header="0" w:footer="381" w:gutter="0"/>
          <w:cols w:space="720"/>
        </w:sectPr>
      </w:pPr>
    </w:p>
    <w:p w:rsidR="004E13A5" w:rsidRDefault="004E13A5">
      <w:pPr>
        <w:pStyle w:val="BodyText"/>
        <w:spacing w:before="4"/>
        <w:ind w:left="0"/>
        <w:rPr>
          <w:sz w:val="21"/>
        </w:rPr>
      </w:pPr>
    </w:p>
    <w:p w:rsidR="004E13A5" w:rsidRDefault="00681463">
      <w:pPr>
        <w:pStyle w:val="BodyText"/>
        <w:spacing w:before="90"/>
        <w:ind w:left="440"/>
      </w:pPr>
      <w:r>
        <w:rPr>
          <w:u w:val="single"/>
        </w:rPr>
        <w:t>PHA Policy</w:t>
      </w:r>
    </w:p>
    <w:p w:rsidR="004E13A5" w:rsidRDefault="00681463">
      <w:pPr>
        <w:pStyle w:val="BodyText"/>
        <w:spacing w:before="120"/>
        <w:ind w:left="440" w:right="362"/>
      </w:pPr>
      <w:r>
        <w:t>Applicants selected from the waiting list are required to provide the PHA with updated documentation via mail or in person. Interviews will be conducted upon request.</w:t>
      </w:r>
    </w:p>
    <w:p w:rsidR="004E13A5" w:rsidRDefault="00681463">
      <w:pPr>
        <w:pStyle w:val="BodyText"/>
        <w:spacing w:before="139"/>
        <w:ind w:left="440" w:right="241"/>
      </w:pPr>
      <w:r>
        <w:t>Initial household size and income will be determined from documentation submitted with the update paperwork. Additional household members will not be added during the eligibility process. Income will not be adjusted for increases or decreases during the processing of the update paperwork.</w:t>
      </w:r>
    </w:p>
    <w:p w:rsidR="004E13A5" w:rsidRDefault="00681463">
      <w:pPr>
        <w:pStyle w:val="BodyText"/>
        <w:ind w:left="440" w:right="568"/>
      </w:pPr>
      <w:r>
        <w:t>Verification of information pertaining to all adult members of the household will not begin until signed release forms are returned to the PHA.</w:t>
      </w:r>
    </w:p>
    <w:p w:rsidR="004E13A5" w:rsidRDefault="00681463">
      <w:pPr>
        <w:pStyle w:val="BodyText"/>
        <w:ind w:left="440" w:right="216"/>
      </w:pPr>
      <w:r>
        <w:t>The head of household or spouse/co-head must provide acceptable documentation of legal identity. (Chapter 7 provides a discussion of proper documentation of legal identity.) If the family representative does not provide the required documentation at the time of the interview, they</w:t>
      </w:r>
      <w:r w:rsidR="00201CBD">
        <w:t xml:space="preserve"> </w:t>
      </w:r>
      <w:r>
        <w:t>will be required to provide it within 10 business days.</w:t>
      </w:r>
    </w:p>
    <w:p w:rsidR="004E13A5" w:rsidRDefault="00681463">
      <w:pPr>
        <w:pStyle w:val="BodyText"/>
        <w:ind w:left="440" w:right="428"/>
      </w:pPr>
      <w:r>
        <w:t>The family must provide the information necessary to establish the family’s eligibility and determine the appropriate level of assistance, and must complete required forms, provide required signatures, and submit required documentation. If any materials are missing, the PHA will provide the family with a written list of items that must be submitted.</w:t>
      </w:r>
    </w:p>
    <w:p w:rsidR="004E13A5" w:rsidRDefault="00681463">
      <w:pPr>
        <w:pStyle w:val="BodyText"/>
        <w:ind w:left="440" w:right="105"/>
      </w:pPr>
      <w:r>
        <w:t>Any required documents or information that the family is unable to provide at the interview must be provided within 10 business days of the interview (Chapter 7 provides details about longer submission deadlines for particular items, including documentation of eligible noncitizen status). If the family is unable to obtain the information or</w:t>
      </w:r>
      <w:r>
        <w:rPr>
          <w:spacing w:val="-20"/>
        </w:rPr>
        <w:t xml:space="preserve"> </w:t>
      </w:r>
      <w:r>
        <w:t xml:space="preserve">materials within the required time frame, the family may request an extension. </w:t>
      </w:r>
      <w:r>
        <w:rPr>
          <w:spacing w:val="-3"/>
        </w:rPr>
        <w:t xml:space="preserve">If </w:t>
      </w:r>
      <w:r>
        <w:t>the required documents and information are not provided within the required time frame (plus any extensions), the family will be sent a notice of denial (See Chapter</w:t>
      </w:r>
      <w:r>
        <w:rPr>
          <w:spacing w:val="-13"/>
        </w:rPr>
        <w:t xml:space="preserve"> </w:t>
      </w:r>
      <w:r>
        <w:t>3).</w:t>
      </w:r>
    </w:p>
    <w:p w:rsidR="004E13A5" w:rsidRDefault="00681463">
      <w:pPr>
        <w:pStyle w:val="BodyText"/>
        <w:ind w:left="440" w:right="162"/>
      </w:pPr>
      <w:r>
        <w:t>An advocate, interpreter, or other assistant may assist the family with the application and the interview process.</w:t>
      </w:r>
    </w:p>
    <w:p w:rsidR="004E13A5" w:rsidRDefault="00681463">
      <w:pPr>
        <w:pStyle w:val="BodyText"/>
        <w:ind w:left="440"/>
      </w:pPr>
      <w:r>
        <w:t>Interviews will be conducted in English. For limited English proficient (LEP) applicants, the PHA will provide translation services in accordance with the PHA’s LEP plan.</w:t>
      </w:r>
    </w:p>
    <w:p w:rsidR="004E13A5" w:rsidRDefault="00681463">
      <w:pPr>
        <w:pStyle w:val="BodyText"/>
        <w:ind w:left="440" w:right="105"/>
      </w:pPr>
      <w:r>
        <w:t xml:space="preserve">If the family is unable to attend a scheduled interview, the family should contact the PHA in advance of the interview to schedule a new appointment. </w:t>
      </w:r>
      <w:r>
        <w:rPr>
          <w:spacing w:val="-3"/>
        </w:rPr>
        <w:t xml:space="preserve">In </w:t>
      </w:r>
      <w:r>
        <w:t>all circumstances, if a family does not attend a scheduled interview, the PHA will send another notification letter with a new interview appointment time. Applicants who fail to attend two scheduled interviews without PHA approval will be denied assistance based on the family’s failure to supply information needed to determine eligibility. A notice of denial will be issued in accordance with policies contained in Chapter</w:t>
      </w:r>
      <w:r>
        <w:rPr>
          <w:spacing w:val="-8"/>
        </w:rPr>
        <w:t xml:space="preserve"> </w:t>
      </w:r>
      <w:r>
        <w:t>3.</w:t>
      </w:r>
    </w:p>
    <w:p w:rsidR="004E13A5" w:rsidRDefault="004E13A5">
      <w:pPr>
        <w:sectPr w:rsidR="004E13A5">
          <w:pgSz w:w="12240" w:h="15840"/>
          <w:pgMar w:top="1500" w:right="1360" w:bottom="640" w:left="1720" w:header="0" w:footer="381" w:gutter="0"/>
          <w:cols w:space="720"/>
        </w:sectPr>
      </w:pPr>
    </w:p>
    <w:p w:rsidR="004E13A5" w:rsidRDefault="004E13A5">
      <w:pPr>
        <w:pStyle w:val="BodyText"/>
        <w:spacing w:before="0"/>
        <w:ind w:left="0"/>
        <w:rPr>
          <w:sz w:val="20"/>
        </w:rPr>
      </w:pPr>
    </w:p>
    <w:p w:rsidR="004E13A5" w:rsidRDefault="00681463">
      <w:pPr>
        <w:pStyle w:val="Heading4"/>
        <w:spacing w:before="225"/>
      </w:pPr>
      <w:r>
        <w:t>4-III.F. COMPLETING THE APPLICATION PROCESS</w:t>
      </w:r>
    </w:p>
    <w:p w:rsidR="004E13A5" w:rsidRDefault="00681463">
      <w:pPr>
        <w:pStyle w:val="BodyText"/>
        <w:ind w:right="282"/>
      </w:pPr>
      <w:r>
        <w:t>The PHA must verify all information provided by the family (see Chapter 7). Based on verified information, the PHA must make a final determination of eligibility (see Chapter 3) and must confirm that the family qualified for any special admission, targeted funding admission, or selection preference that affected the order in which the family was selected from the waiting list.</w:t>
      </w:r>
    </w:p>
    <w:p w:rsidR="004E13A5" w:rsidRDefault="00681463">
      <w:pPr>
        <w:pStyle w:val="BodyText"/>
        <w:ind w:left="820"/>
      </w:pPr>
      <w:r>
        <w:rPr>
          <w:u w:val="single"/>
        </w:rPr>
        <w:t>PHA Policy</w:t>
      </w:r>
    </w:p>
    <w:p w:rsidR="004E13A5" w:rsidRDefault="00681463">
      <w:pPr>
        <w:pStyle w:val="BodyText"/>
        <w:ind w:left="820" w:right="101"/>
      </w:pPr>
      <w:r>
        <w:t>If the PHA determines that the family is ineligible, the PHA will send written notification of the ineligibility determination within 10 business days of the determination. The notice will specify the reasons for ineligibility, and will inform the family of its right to request an informal review (Chapter 16).</w:t>
      </w:r>
    </w:p>
    <w:p w:rsidR="004E13A5" w:rsidRDefault="00681463">
      <w:pPr>
        <w:pStyle w:val="BodyText"/>
        <w:ind w:left="820"/>
      </w:pPr>
      <w:r>
        <w:t>If a family fails to qualify for any criteria that affected the order in which it was selected from the waiting list (e.g. targeted funding, extremely low-income), the family will be returned to its original position on the waiting list. The PHA will notify the family in writing that it has been returned to the waiting list, and will specify the reasons for it.</w:t>
      </w:r>
    </w:p>
    <w:p w:rsidR="004E13A5" w:rsidRDefault="00681463">
      <w:pPr>
        <w:pStyle w:val="BodyText"/>
        <w:ind w:left="820" w:right="82"/>
      </w:pPr>
      <w:r>
        <w:t>If the PHA determines that the family is eligible to receive assistance, the PHA will invite the family to attend a briefing in accordance with the policies in Chapter 5.</w:t>
      </w:r>
    </w:p>
    <w:p w:rsidR="004E13A5" w:rsidRDefault="004E13A5">
      <w:pPr>
        <w:sectPr w:rsidR="004E13A5">
          <w:pgSz w:w="12240" w:h="15840"/>
          <w:pgMar w:top="1500" w:right="1340" w:bottom="640" w:left="1340" w:header="0" w:footer="381"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10"/>
        <w:ind w:left="0"/>
        <w:rPr>
          <w:sz w:val="35"/>
        </w:rPr>
      </w:pPr>
    </w:p>
    <w:p w:rsidR="004E13A5" w:rsidRDefault="00681463">
      <w:pPr>
        <w:pStyle w:val="Heading4"/>
      </w:pPr>
      <w:r>
        <w:rPr>
          <w:spacing w:val="-1"/>
        </w:rPr>
        <w:t>INTRODUCTION</w:t>
      </w:r>
    </w:p>
    <w:p w:rsidR="004E13A5" w:rsidRDefault="00681463">
      <w:pPr>
        <w:spacing w:before="79"/>
        <w:ind w:left="81" w:right="2529"/>
        <w:jc w:val="center"/>
        <w:rPr>
          <w:b/>
          <w:sz w:val="24"/>
        </w:rPr>
      </w:pPr>
      <w:r>
        <w:br w:type="column"/>
      </w:r>
      <w:r>
        <w:rPr>
          <w:b/>
          <w:sz w:val="24"/>
        </w:rPr>
        <w:t>Chapter 5</w:t>
      </w:r>
    </w:p>
    <w:p w:rsidR="004E13A5" w:rsidRDefault="00681463">
      <w:pPr>
        <w:spacing w:before="138"/>
        <w:ind w:left="81" w:right="2530"/>
        <w:jc w:val="center"/>
        <w:rPr>
          <w:b/>
          <w:sz w:val="24"/>
        </w:rPr>
      </w:pPr>
      <w:r>
        <w:rPr>
          <w:b/>
          <w:sz w:val="24"/>
        </w:rPr>
        <w:t>BRIEFINGS AND VOUCHER ISSUANCE</w:t>
      </w:r>
    </w:p>
    <w:p w:rsidR="004E13A5" w:rsidRDefault="004E13A5">
      <w:pPr>
        <w:jc w:val="center"/>
        <w:rPr>
          <w:sz w:val="24"/>
        </w:rPr>
        <w:sectPr w:rsidR="004E13A5">
          <w:pgSz w:w="12240" w:h="15840"/>
          <w:pgMar w:top="1360" w:right="1340" w:bottom="640" w:left="1340" w:header="0" w:footer="381" w:gutter="0"/>
          <w:cols w:num="2" w:space="720" w:equalWidth="0">
            <w:col w:w="2020" w:space="427"/>
            <w:col w:w="7113"/>
          </w:cols>
        </w:sectPr>
      </w:pPr>
    </w:p>
    <w:p w:rsidR="004E13A5" w:rsidRDefault="00681463">
      <w:pPr>
        <w:pStyle w:val="BodyText"/>
        <w:ind w:right="169"/>
      </w:pPr>
      <w:r>
        <w:t>This chapter explains the briefing and voucher issuance process. When a family is determined to be eligible for the Housing Choice Voucher (HCV) program, the PHA must ensure that the family fully understands the way the program operates and the family’s obligations under the program. This is accomplished through both an oral briefing and provision of a briefing packet containing the HUD-required documents and other information the family needs to know in order to lease a unit under the program. Once the family is fully informed of the program’s requirements, the PHA issues the family a voucher. The voucher includes the unit size for which the family qualifies based on the PHA’s subsidy standards, as well as the issue and expiration date of the voucher. The voucher is the document that authorizes the family to begin its search for a unit, and limits the amount of time the family has to successfully locate an acceptable unit.</w:t>
      </w:r>
    </w:p>
    <w:p w:rsidR="004E13A5" w:rsidRDefault="00681463">
      <w:pPr>
        <w:pStyle w:val="BodyText"/>
        <w:ind w:left="911" w:hanging="812"/>
      </w:pPr>
      <w:r>
        <w:t>This chapter describes HUD regulations and PHA policies related to these topics in two parts:</w:t>
      </w:r>
    </w:p>
    <w:p w:rsidR="004E13A5" w:rsidRDefault="00681463">
      <w:pPr>
        <w:pStyle w:val="BodyText"/>
        <w:ind w:left="911" w:right="231"/>
      </w:pPr>
      <w:r>
        <w:rPr>
          <w:u w:val="single"/>
        </w:rPr>
        <w:t>Part I: Briefings and Family Obligations</w:t>
      </w:r>
      <w:r>
        <w:t>. This part details the program’s requirements for briefing families orally, and for providing written materials describing the program and its requirements. It includes a particular focus on the family’s obligations under the program.</w:t>
      </w:r>
    </w:p>
    <w:p w:rsidR="004E13A5" w:rsidRDefault="00681463">
      <w:pPr>
        <w:pStyle w:val="BodyText"/>
        <w:ind w:left="911" w:right="84"/>
      </w:pPr>
      <w:r>
        <w:rPr>
          <w:u w:val="single"/>
        </w:rPr>
        <w:t>Part II: Subsidy Standards and Voucher Issuance</w:t>
      </w:r>
      <w:r>
        <w:t>. This part discusses the PHA’s standards for determining how many bedrooms a family of a given composition qualifies for, which in turn affects the amount of subsidy the family can receive. It also discusses the policies that dictate how vouchers are issued, and how long families have to locate a unit.</w:t>
      </w:r>
    </w:p>
    <w:p w:rsidR="004E13A5" w:rsidRDefault="004E13A5">
      <w:pPr>
        <w:pStyle w:val="BodyText"/>
        <w:spacing w:before="0"/>
        <w:ind w:left="0"/>
        <w:rPr>
          <w:sz w:val="13"/>
        </w:rPr>
      </w:pPr>
    </w:p>
    <w:p w:rsidR="004E13A5" w:rsidRDefault="00681463">
      <w:pPr>
        <w:pStyle w:val="Heading4"/>
        <w:spacing w:before="90"/>
        <w:ind w:left="1955"/>
      </w:pPr>
      <w:r>
        <w:t>PART I: BRIEFINGS AND FAMILY OBLIGATIONS</w:t>
      </w:r>
    </w:p>
    <w:p w:rsidR="004E13A5" w:rsidRDefault="004E13A5">
      <w:pPr>
        <w:pStyle w:val="BodyText"/>
        <w:spacing w:before="9"/>
        <w:ind w:left="0"/>
        <w:rPr>
          <w:b/>
          <w:sz w:val="20"/>
        </w:rPr>
      </w:pPr>
    </w:p>
    <w:p w:rsidR="004E13A5" w:rsidRDefault="00681463">
      <w:pPr>
        <w:spacing w:before="1"/>
        <w:ind w:left="100"/>
        <w:rPr>
          <w:b/>
          <w:sz w:val="24"/>
        </w:rPr>
      </w:pPr>
      <w:r>
        <w:rPr>
          <w:b/>
          <w:sz w:val="24"/>
        </w:rPr>
        <w:t>5-I.A. OVERVIEW</w:t>
      </w:r>
    </w:p>
    <w:p w:rsidR="004E13A5" w:rsidRDefault="00681463">
      <w:pPr>
        <w:pStyle w:val="BodyText"/>
        <w:spacing w:before="120"/>
        <w:ind w:right="161"/>
      </w:pPr>
      <w:r>
        <w:t>HUD regulations require the PHA to conduct mandatory briefings for applicant families who qualify for a voucher. The briefing provides a broad description of owner and family responsibilities, explains the PHA’s procedures, and includes instructions on how to lease a unit. This part describes how oral briefings will be conducted, specifies what written information will be provided to families, and lists the family’s obligations under the program.</w:t>
      </w:r>
    </w:p>
    <w:p w:rsidR="004E13A5" w:rsidRDefault="004E13A5">
      <w:pPr>
        <w:pStyle w:val="BodyText"/>
        <w:spacing w:before="9"/>
        <w:ind w:left="0"/>
        <w:rPr>
          <w:sz w:val="20"/>
        </w:rPr>
      </w:pPr>
    </w:p>
    <w:p w:rsidR="004E13A5" w:rsidRDefault="00681463">
      <w:pPr>
        <w:pStyle w:val="Heading4"/>
        <w:spacing w:before="1"/>
      </w:pPr>
      <w:r>
        <w:t>5-I.B. BRIEFING [24 CFR 982.301]</w:t>
      </w:r>
    </w:p>
    <w:p w:rsidR="004E13A5" w:rsidRDefault="00681463">
      <w:pPr>
        <w:spacing w:before="120"/>
        <w:ind w:left="100"/>
        <w:rPr>
          <w:b/>
          <w:sz w:val="24"/>
        </w:rPr>
      </w:pPr>
      <w:r>
        <w:rPr>
          <w:b/>
          <w:sz w:val="24"/>
          <w:u w:val="thick"/>
        </w:rPr>
        <w:t>Notification of Briefing</w:t>
      </w:r>
    </w:p>
    <w:p w:rsidR="004E13A5" w:rsidRDefault="00681463">
      <w:pPr>
        <w:pStyle w:val="BodyText"/>
        <w:ind w:right="95"/>
      </w:pPr>
      <w:r>
        <w:t>Prior to issuance of a voucher, the PHA must give the family an oral briefing and provide the family with a briefing packet containing written information about the program. Families may be briefed in individual face-to-face meetings, through group briefing sessions, or via remote briefing sessions.</w:t>
      </w:r>
    </w:p>
    <w:p w:rsidR="004E13A5" w:rsidRDefault="00681463">
      <w:pPr>
        <w:pStyle w:val="BodyText"/>
        <w:spacing w:before="141"/>
        <w:ind w:left="820"/>
      </w:pPr>
      <w:r>
        <w:rPr>
          <w:u w:val="single"/>
        </w:rPr>
        <w:t>PHA Policy</w:t>
      </w:r>
    </w:p>
    <w:p w:rsidR="004E13A5" w:rsidRDefault="00681463">
      <w:pPr>
        <w:pStyle w:val="BodyText"/>
        <w:spacing w:before="138"/>
        <w:ind w:left="820"/>
      </w:pPr>
      <w:r>
        <w:t>Families will be notified of their eligibility for assistance at the time they are invited to a briefing. The notice will be sent by first class mail.</w:t>
      </w:r>
    </w:p>
    <w:p w:rsidR="004E13A5" w:rsidRDefault="004E13A5">
      <w:pPr>
        <w:sectPr w:rsidR="004E13A5">
          <w:type w:val="continuous"/>
          <w:pgSz w:w="12240" w:h="15840"/>
          <w:pgMar w:top="1500" w:right="1340" w:bottom="280" w:left="1340" w:header="720" w:footer="720" w:gutter="0"/>
          <w:cols w:space="720"/>
        </w:sectPr>
      </w:pPr>
    </w:p>
    <w:p w:rsidR="004E13A5" w:rsidRDefault="00681463">
      <w:pPr>
        <w:pStyle w:val="BodyText"/>
        <w:spacing w:before="79"/>
        <w:ind w:left="820" w:right="247"/>
        <w:jc w:val="both"/>
      </w:pPr>
      <w:r>
        <w:lastRenderedPageBreak/>
        <w:t>The notice will advise the family of the type of briefing, who is required to be present at the briefing, and the date and time of the briefing. The notice will also inform the family of any additional requirements for briefings as addressed in relevant policy elsewhere in this section.</w:t>
      </w:r>
    </w:p>
    <w:p w:rsidR="004E13A5" w:rsidRDefault="00681463">
      <w:pPr>
        <w:pStyle w:val="BodyText"/>
        <w:ind w:left="820" w:right="269"/>
      </w:pPr>
      <w:r>
        <w:t>If the notice is returned by the post office with no forwarding address, the applicant will be denied and their name will not be placed back on the waiting list. If the notice is returned by the post office with a forwarding address, the notice will be resent to the address indicated.</w:t>
      </w:r>
    </w:p>
    <w:p w:rsidR="004E13A5" w:rsidRDefault="00681463">
      <w:pPr>
        <w:pStyle w:val="Heading4"/>
        <w:spacing w:before="119"/>
      </w:pPr>
      <w:r>
        <w:rPr>
          <w:u w:val="thick"/>
        </w:rPr>
        <w:t>In-Person Briefings</w:t>
      </w:r>
    </w:p>
    <w:p w:rsidR="004E13A5" w:rsidRDefault="00681463">
      <w:pPr>
        <w:pStyle w:val="BodyText"/>
      </w:pPr>
      <w:r>
        <w:t>At the briefing, the PHA must ensure effective communication in accordance with Section 504 requirements (Section 504 of the Rehabilitation Act of 1973), and ensure that the briefing site is accessible to individuals with disabilities. For a more thorough discussion of accessibility requirements, refer to Chapter 2.</w:t>
      </w:r>
    </w:p>
    <w:p w:rsidR="004E13A5" w:rsidRDefault="00681463">
      <w:pPr>
        <w:pStyle w:val="BodyText"/>
        <w:ind w:left="820"/>
      </w:pPr>
      <w:r>
        <w:rPr>
          <w:u w:val="single"/>
        </w:rPr>
        <w:t>PHA Policy</w:t>
      </w:r>
    </w:p>
    <w:p w:rsidR="004E13A5" w:rsidRDefault="00681463">
      <w:pPr>
        <w:pStyle w:val="BodyText"/>
        <w:ind w:left="820" w:right="802"/>
      </w:pPr>
      <w:r>
        <w:t>In-person briefings will generally be conducted in group meetings. At the family’s written request, the PHA may provide an individual briefing.</w:t>
      </w:r>
    </w:p>
    <w:p w:rsidR="004E13A5" w:rsidRDefault="00681463">
      <w:pPr>
        <w:pStyle w:val="BodyText"/>
        <w:ind w:left="820"/>
      </w:pPr>
      <w:r>
        <w:t>All adult household members are required to attend the orientation.</w:t>
      </w:r>
    </w:p>
    <w:p w:rsidR="004E13A5" w:rsidRDefault="00681463">
      <w:pPr>
        <w:pStyle w:val="BodyText"/>
        <w:ind w:left="820"/>
      </w:pPr>
      <w:r>
        <w:t>Families that attend group briefings and still need individual assistance will be referred to an appropriate PHA staff person.</w:t>
      </w:r>
    </w:p>
    <w:p w:rsidR="004E13A5" w:rsidRDefault="00681463">
      <w:pPr>
        <w:pStyle w:val="BodyText"/>
        <w:ind w:left="820" w:right="89"/>
      </w:pPr>
      <w:r>
        <w:t>Briefings will be conducted in English. For limited English proficient (LEP) applicants, the PHA will provide interpretation services in accordance with the PHA’s LEP plan (See Chapter 2).</w:t>
      </w:r>
    </w:p>
    <w:p w:rsidR="004E13A5" w:rsidRDefault="00681463">
      <w:pPr>
        <w:pStyle w:val="Heading5"/>
        <w:spacing w:before="120"/>
      </w:pPr>
      <w:r>
        <w:t>Attendance</w:t>
      </w:r>
    </w:p>
    <w:p w:rsidR="004E13A5" w:rsidRDefault="00681463">
      <w:pPr>
        <w:pStyle w:val="BodyText"/>
        <w:spacing w:before="120"/>
        <w:ind w:left="820"/>
      </w:pPr>
      <w:r>
        <w:rPr>
          <w:u w:val="single"/>
        </w:rPr>
        <w:t>PHA Policy</w:t>
      </w:r>
    </w:p>
    <w:p w:rsidR="004E13A5" w:rsidRDefault="00681463">
      <w:pPr>
        <w:pStyle w:val="BodyText"/>
        <w:spacing w:before="120"/>
        <w:ind w:left="820" w:right="102"/>
      </w:pPr>
      <w:r>
        <w:t>Applicants who fail to attend a scheduled in-person briefing will be scheduled for another briefing automatically. The PHA will notify the family of the date and time of the second scheduled briefing. Applicants who fail to attend two scheduled briefings, without prior PHA approval, will be denied assistance (see Chapter 3).</w:t>
      </w:r>
    </w:p>
    <w:p w:rsidR="004E13A5" w:rsidRDefault="00681463">
      <w:pPr>
        <w:pStyle w:val="Heading4"/>
        <w:spacing w:before="120"/>
      </w:pPr>
      <w:r>
        <w:t>Remote Briefings [Notice PIH 2020-32]</w:t>
      </w:r>
    </w:p>
    <w:p w:rsidR="004E13A5" w:rsidRDefault="00681463">
      <w:pPr>
        <w:pStyle w:val="BodyText"/>
        <w:spacing w:before="120"/>
        <w:ind w:right="489"/>
      </w:pPr>
      <w:r>
        <w:t>Remote briefings may be conducted over the phone, via video conferencing, or through other virtual platforms.</w:t>
      </w:r>
    </w:p>
    <w:p w:rsidR="004E13A5" w:rsidRDefault="00681463">
      <w:pPr>
        <w:pStyle w:val="BodyText"/>
        <w:spacing w:before="120"/>
        <w:ind w:left="820"/>
      </w:pPr>
      <w:r>
        <w:rPr>
          <w:u w:val="single"/>
        </w:rPr>
        <w:t>PHA Policy</w:t>
      </w:r>
    </w:p>
    <w:p w:rsidR="004E13A5" w:rsidRDefault="00681463">
      <w:pPr>
        <w:pStyle w:val="BodyText"/>
        <w:spacing w:before="120"/>
        <w:ind w:left="820" w:right="262"/>
      </w:pPr>
      <w:r>
        <w:t>The PHA has the sole discretion to require that briefings be conducted remotely. If the PHA schedules a remote briefing, the PHA will conduct a face-to-face briefing upon request of the applicant as a reasonable accommodation for a person with a disability.</w:t>
      </w:r>
    </w:p>
    <w:p w:rsidR="004E13A5" w:rsidRDefault="00681463">
      <w:pPr>
        <w:pStyle w:val="BodyText"/>
        <w:ind w:left="820" w:right="295"/>
      </w:pPr>
      <w:r>
        <w:t>In addition, the PHA will conduct a briefing remotely upon request of the applicant as a reasonable accommodation for a person with a disability. The PHA will consider other reasonable requests for a remote briefing on a case-by-case basis.</w:t>
      </w:r>
    </w:p>
    <w:p w:rsidR="004E13A5" w:rsidRDefault="004E13A5">
      <w:pPr>
        <w:sectPr w:rsidR="004E13A5">
          <w:footerReference w:type="default" r:id="rId33"/>
          <w:pgSz w:w="12240" w:h="15840"/>
          <w:pgMar w:top="1360" w:right="1340" w:bottom="640" w:left="1340" w:header="0" w:footer="441" w:gutter="0"/>
          <w:cols w:space="720"/>
        </w:sectPr>
      </w:pPr>
    </w:p>
    <w:p w:rsidR="004E13A5" w:rsidRDefault="00681463">
      <w:pPr>
        <w:pStyle w:val="Heading4"/>
        <w:spacing w:before="79"/>
      </w:pPr>
      <w:r>
        <w:lastRenderedPageBreak/>
        <w:t>Accessibility Requirements for Persons with Disabilities and LEP Individuals</w:t>
      </w:r>
    </w:p>
    <w:p w:rsidR="004E13A5" w:rsidRDefault="00681463">
      <w:pPr>
        <w:pStyle w:val="BodyText"/>
        <w:ind w:right="136"/>
      </w:pPr>
      <w:r>
        <w:t>As with in-person briefings, the platform for conducting remote briefings must be accessible and the briefing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w:t>
      </w:r>
    </w:p>
    <w:p w:rsidR="004E13A5" w:rsidRDefault="00681463">
      <w:pPr>
        <w:pStyle w:val="BodyText"/>
        <w:ind w:right="148"/>
      </w:pPr>
      <w:r>
        <w:t>If no method of conducting a remote briefing is available that appropriately accommodates an individual’s disability, the PHA may not hold against the individual their inability to participate in the remote briefing, and the PHA should consider whether postponing the remote briefing to a later date is appropriate or whether there is a suitable alternative.</w:t>
      </w:r>
    </w:p>
    <w:p w:rsidR="004E13A5" w:rsidRDefault="00681463">
      <w:pPr>
        <w:pStyle w:val="BodyText"/>
        <w:ind w:right="182"/>
      </w:pPr>
      <w:r>
        <w:t>Due to the individualized nature of disability, the appropriate auxiliary aid or service necessary, or reasonable accommodation, will depend on the specific circumstances.</w:t>
      </w:r>
    </w:p>
    <w:p w:rsidR="004E13A5" w:rsidRDefault="00681463">
      <w:pPr>
        <w:pStyle w:val="BodyText"/>
        <w:ind w:right="262"/>
      </w:pPr>
      <w:r>
        <w:t>Limited English Proficiency (LEP) requirements also apply to remote briefings, including the use of interpretation services and document translation. See Chapter 2 for a more thorough discussion of accessibility and LEP requirements, all of which apply in the context of</w:t>
      </w:r>
    </w:p>
    <w:p w:rsidR="004E13A5" w:rsidRDefault="00681463">
      <w:pPr>
        <w:pStyle w:val="BodyText"/>
        <w:spacing w:before="0"/>
      </w:pPr>
      <w:r>
        <w:t>remote briefings.</w:t>
      </w:r>
    </w:p>
    <w:p w:rsidR="004E13A5" w:rsidRDefault="00681463">
      <w:pPr>
        <w:pStyle w:val="Heading4"/>
        <w:spacing w:before="120"/>
      </w:pPr>
      <w:r>
        <w:t>Conducting Remote Briefings</w:t>
      </w:r>
    </w:p>
    <w:p w:rsidR="004E13A5" w:rsidRDefault="00681463">
      <w:pPr>
        <w:pStyle w:val="BodyText"/>
        <w:ind w:right="106"/>
      </w:pPr>
      <w:r>
        <w:t>The PHA must ensure that the lack of technology or inability to use technology for remote briefings does not pose a disadvantage to families that may not be apparent to the PHA. The PHA must ensure that the family has appropriate technological access in order to fully</w:t>
      </w:r>
      <w:r>
        <w:rPr>
          <w:spacing w:val="-19"/>
        </w:rPr>
        <w:t xml:space="preserve"> </w:t>
      </w:r>
      <w:r>
        <w:t>participate in the remote</w:t>
      </w:r>
      <w:r>
        <w:rPr>
          <w:spacing w:val="-8"/>
        </w:rPr>
        <w:t xml:space="preserve"> </w:t>
      </w:r>
      <w:r>
        <w:t>briefing.</w:t>
      </w:r>
    </w:p>
    <w:p w:rsidR="004E13A5" w:rsidRDefault="00681463">
      <w:pPr>
        <w:pStyle w:val="BodyText"/>
        <w:ind w:left="820"/>
      </w:pPr>
      <w:r>
        <w:rPr>
          <w:u w:val="single"/>
        </w:rPr>
        <w:t>PHA Policy</w:t>
      </w:r>
    </w:p>
    <w:p w:rsidR="004E13A5" w:rsidRDefault="00681463">
      <w:pPr>
        <w:pStyle w:val="BodyText"/>
        <w:ind w:left="820" w:right="126"/>
      </w:pPr>
      <w:r>
        <w:t>At least 10 business days prior to scheduling the remote briefing, the PHA will provide written notification via first class mail to families participating in the briefing to advise of technological requirements and to request the family notify the PHA of any known barriers. If any family does not respond within five business days, or if the written notification is returned by the post office or the email is rejected, the PHA will contact the family by telephone to identify potential technological barriers and to determine which technology resources are accessible to the family. The PHA will resolve any barriers using the guidance in Section 6 of Notice PIH 2020-32, including offering the family the opportunity to attend an in-person briefing or have a one-on-one briefing over the phone, as</w:t>
      </w:r>
      <w:r>
        <w:rPr>
          <w:spacing w:val="-4"/>
        </w:rPr>
        <w:t xml:space="preserve"> </w:t>
      </w:r>
      <w:r>
        <w:t>appropriate.</w:t>
      </w:r>
    </w:p>
    <w:p w:rsidR="004E13A5" w:rsidRDefault="00681463">
      <w:pPr>
        <w:pStyle w:val="BodyText"/>
        <w:ind w:left="820" w:right="276"/>
      </w:pPr>
      <w:r>
        <w:t>The PHA will be conducted by telephone conferencing call-in. If the family is unable to adequately access the telephone conferencing call-in, the remote briefing will be postponed, and an in-person alternative or one-on-one briefing over the phone will be provided.</w:t>
      </w:r>
    </w:p>
    <w:p w:rsidR="004E13A5" w:rsidRDefault="00681463">
      <w:pPr>
        <w:pStyle w:val="BodyText"/>
        <w:ind w:left="820"/>
      </w:pPr>
      <w:r>
        <w:t>The PHA will provide login information and/or conferencing call-in information and an electronic copy of the briefing packet via email at least five business days before the briefing. The PHA will provide a paper copy of the briefing packet upon family request,</w:t>
      </w:r>
    </w:p>
    <w:p w:rsidR="004E13A5" w:rsidRDefault="004E13A5">
      <w:pPr>
        <w:sectPr w:rsidR="004E13A5">
          <w:footerReference w:type="default" r:id="rId34"/>
          <w:pgSz w:w="12240" w:h="15840"/>
          <w:pgMar w:top="1360" w:right="1340" w:bottom="640" w:left="1340" w:header="0" w:footer="441" w:gutter="0"/>
          <w:pgNumType w:start="101"/>
          <w:cols w:space="720"/>
        </w:sectPr>
      </w:pPr>
    </w:p>
    <w:p w:rsidR="004E13A5" w:rsidRDefault="00681463">
      <w:pPr>
        <w:pStyle w:val="BodyText"/>
        <w:spacing w:before="79"/>
        <w:ind w:left="820" w:right="609"/>
      </w:pPr>
      <w:r>
        <w:lastRenderedPageBreak/>
        <w:t>and may reschedule the briefing to allow adequate time for the family to receive the physical briefing packet.</w:t>
      </w:r>
    </w:p>
    <w:p w:rsidR="004E13A5" w:rsidRDefault="00681463">
      <w:pPr>
        <w:pStyle w:val="BodyText"/>
        <w:ind w:left="820"/>
      </w:pPr>
      <w:r>
        <w:t>The PHA will ensure that all electronic information stored or transmitted as part of the briefing meets the requirements for accessibility for persons with disabilities and persons with LEP, and is secure, including ensuring personally identifiable information (PII) is protected.</w:t>
      </w:r>
    </w:p>
    <w:p w:rsidR="004E13A5" w:rsidRDefault="00681463">
      <w:pPr>
        <w:pStyle w:val="BodyText"/>
        <w:ind w:left="820" w:right="1075"/>
      </w:pPr>
      <w:r>
        <w:t>The PHA will ensure that families who participate in remote briefings have the opportunity to ask questions as part of the briefing.</w:t>
      </w:r>
    </w:p>
    <w:p w:rsidR="004E13A5" w:rsidRDefault="00681463">
      <w:pPr>
        <w:pStyle w:val="BodyText"/>
        <w:ind w:left="820" w:right="107"/>
      </w:pPr>
      <w:r>
        <w:t>If families lose connectivity during any remote briefing or otherwise feel they were unable to access information presented during the briefing, the family may request a one- on-one briefing over the phone or in person with the PHA.</w:t>
      </w:r>
    </w:p>
    <w:p w:rsidR="004E13A5" w:rsidRDefault="00681463">
      <w:pPr>
        <w:pStyle w:val="Heading4"/>
        <w:spacing w:before="120"/>
      </w:pPr>
      <w:r>
        <w:t>Oral Briefing [24 CFR 982.301(a)]</w:t>
      </w:r>
    </w:p>
    <w:p w:rsidR="004E13A5" w:rsidRDefault="00681463">
      <w:pPr>
        <w:pStyle w:val="BodyText"/>
        <w:spacing w:before="120"/>
      </w:pPr>
      <w:r>
        <w:t>Each briefing must provide information on the following subjects:</w:t>
      </w:r>
    </w:p>
    <w:p w:rsidR="004E13A5" w:rsidRDefault="00681463">
      <w:pPr>
        <w:pStyle w:val="BodyText"/>
        <w:tabs>
          <w:tab w:val="left" w:pos="460"/>
        </w:tabs>
      </w:pPr>
      <w:r>
        <w:rPr>
          <w:rFonts w:ascii="Symbol" w:hAnsi="Symbol"/>
        </w:rPr>
        <w:t></w:t>
      </w:r>
      <w:r>
        <w:tab/>
        <w:t>How the Housing Choice Voucher program</w:t>
      </w:r>
      <w:r>
        <w:rPr>
          <w:spacing w:val="-7"/>
        </w:rPr>
        <w:t xml:space="preserve"> </w:t>
      </w:r>
      <w:r>
        <w:t>works;</w:t>
      </w:r>
    </w:p>
    <w:p w:rsidR="004E13A5" w:rsidRDefault="00681463">
      <w:pPr>
        <w:pStyle w:val="BodyText"/>
        <w:tabs>
          <w:tab w:val="left" w:pos="460"/>
        </w:tabs>
        <w:spacing w:before="118"/>
      </w:pPr>
      <w:r>
        <w:rPr>
          <w:rFonts w:ascii="Symbol" w:hAnsi="Symbol"/>
        </w:rPr>
        <w:t></w:t>
      </w:r>
      <w:r>
        <w:tab/>
        <w:t>Family and owner</w:t>
      </w:r>
      <w:r>
        <w:rPr>
          <w:spacing w:val="-7"/>
        </w:rPr>
        <w:t xml:space="preserve"> </w:t>
      </w:r>
      <w:r>
        <w:t>responsibilities;</w:t>
      </w:r>
    </w:p>
    <w:p w:rsidR="004E13A5" w:rsidRDefault="00681463">
      <w:pPr>
        <w:pStyle w:val="BodyText"/>
        <w:tabs>
          <w:tab w:val="left" w:pos="460"/>
        </w:tabs>
        <w:spacing w:before="118"/>
        <w:ind w:left="460" w:right="751" w:hanging="360"/>
      </w:pPr>
      <w:r>
        <w:rPr>
          <w:rFonts w:ascii="Symbol" w:hAnsi="Symbol"/>
        </w:rPr>
        <w:t></w:t>
      </w:r>
      <w:r>
        <w:tab/>
        <w:t>Where the family can lease a unit, including renting a unit inside or outside</w:t>
      </w:r>
      <w:r>
        <w:rPr>
          <w:spacing w:val="-15"/>
        </w:rPr>
        <w:t xml:space="preserve"> </w:t>
      </w:r>
      <w:r>
        <w:t>the PHA’s</w:t>
      </w:r>
      <w:r>
        <w:rPr>
          <w:w w:val="99"/>
        </w:rPr>
        <w:t xml:space="preserve"> </w:t>
      </w:r>
      <w:r>
        <w:t>jurisdiction;</w:t>
      </w:r>
    </w:p>
    <w:p w:rsidR="004E13A5" w:rsidRDefault="00681463">
      <w:pPr>
        <w:pStyle w:val="BodyText"/>
        <w:tabs>
          <w:tab w:val="left" w:pos="460"/>
        </w:tabs>
        <w:ind w:left="460" w:right="118" w:hanging="360"/>
      </w:pPr>
      <w:r>
        <w:rPr>
          <w:rFonts w:ascii="Symbol" w:hAnsi="Symbol"/>
        </w:rPr>
        <w:t></w:t>
      </w:r>
      <w:r>
        <w:tab/>
        <w:t>An explanation of how portability works. The PHA may not discourage the</w:t>
      </w:r>
      <w:r>
        <w:rPr>
          <w:spacing w:val="-18"/>
        </w:rPr>
        <w:t xml:space="preserve"> </w:t>
      </w:r>
      <w:r>
        <w:t>family</w:t>
      </w:r>
      <w:r>
        <w:rPr>
          <w:spacing w:val="-4"/>
        </w:rPr>
        <w:t xml:space="preserve"> </w:t>
      </w:r>
      <w:r>
        <w:t>from choosing to live anywhere in the PHA jurisdiction or outside the PHA jurisdiction under portability, unless otherwise expressly authorized by stature, regulation, PIH Notice, or</w:t>
      </w:r>
      <w:r>
        <w:rPr>
          <w:spacing w:val="-16"/>
        </w:rPr>
        <w:t xml:space="preserve"> </w:t>
      </w:r>
      <w:r>
        <w:t>court order;</w:t>
      </w:r>
    </w:p>
    <w:p w:rsidR="004E13A5" w:rsidRDefault="00681463">
      <w:pPr>
        <w:pStyle w:val="BodyText"/>
        <w:tabs>
          <w:tab w:val="left" w:pos="460"/>
        </w:tabs>
        <w:spacing w:before="120"/>
        <w:ind w:left="460" w:right="629" w:hanging="360"/>
      </w:pPr>
      <w:r>
        <w:rPr>
          <w:rFonts w:ascii="Symbol" w:hAnsi="Symbol"/>
        </w:rPr>
        <w:t></w:t>
      </w:r>
      <w:r>
        <w:tab/>
        <w:t>The PHA must inform the family of how portability may affect the</w:t>
      </w:r>
      <w:r>
        <w:rPr>
          <w:spacing w:val="-18"/>
        </w:rPr>
        <w:t xml:space="preserve"> </w:t>
      </w:r>
      <w:r>
        <w:t>family’s assistance through screening, subsidy standards, payment standards, and any other elements of</w:t>
      </w:r>
      <w:r>
        <w:rPr>
          <w:spacing w:val="-10"/>
        </w:rPr>
        <w:t xml:space="preserve"> </w:t>
      </w:r>
      <w:r>
        <w:t>the portability process which may affect the family’s</w:t>
      </w:r>
      <w:r>
        <w:rPr>
          <w:spacing w:val="-16"/>
        </w:rPr>
        <w:t xml:space="preserve"> </w:t>
      </w:r>
      <w:r>
        <w:t>assistance;</w:t>
      </w:r>
    </w:p>
    <w:p w:rsidR="004E13A5" w:rsidRDefault="00681463">
      <w:pPr>
        <w:pStyle w:val="BodyText"/>
        <w:tabs>
          <w:tab w:val="left" w:pos="460"/>
        </w:tabs>
      </w:pPr>
      <w:r>
        <w:rPr>
          <w:rFonts w:ascii="Symbol" w:hAnsi="Symbol"/>
        </w:rPr>
        <w:t></w:t>
      </w:r>
      <w:r>
        <w:tab/>
        <w:t>The advantages of areas that do not have a high concentration of low-income families;</w:t>
      </w:r>
      <w:r>
        <w:rPr>
          <w:spacing w:val="-15"/>
        </w:rPr>
        <w:t xml:space="preserve"> </w:t>
      </w:r>
      <w:r>
        <w:t>and</w:t>
      </w:r>
    </w:p>
    <w:p w:rsidR="004E13A5" w:rsidRDefault="00681463">
      <w:pPr>
        <w:pStyle w:val="BodyText"/>
        <w:tabs>
          <w:tab w:val="left" w:pos="460"/>
        </w:tabs>
        <w:spacing w:before="118"/>
        <w:ind w:left="460" w:right="173" w:hanging="360"/>
      </w:pPr>
      <w:r>
        <w:rPr>
          <w:rFonts w:ascii="Symbol" w:hAnsi="Symbol"/>
        </w:rPr>
        <w:t></w:t>
      </w:r>
      <w:r>
        <w:tab/>
        <w:t>For families receiving welfare-to-work vouchers, a description of any local obligations</w:t>
      </w:r>
      <w:r>
        <w:rPr>
          <w:spacing w:val="-18"/>
        </w:rPr>
        <w:t xml:space="preserve"> </w:t>
      </w:r>
      <w:r>
        <w:t>of</w:t>
      </w:r>
      <w:r>
        <w:rPr>
          <w:spacing w:val="-2"/>
        </w:rPr>
        <w:t xml:space="preserve"> </w:t>
      </w:r>
      <w:r>
        <w:t>a welfare-to-work family and an explanation that failure to meet the obligations is grounds</w:t>
      </w:r>
      <w:r>
        <w:rPr>
          <w:spacing w:val="-21"/>
        </w:rPr>
        <w:t xml:space="preserve"> </w:t>
      </w:r>
      <w:r>
        <w:t>for denial of admission or termination of</w:t>
      </w:r>
      <w:r>
        <w:rPr>
          <w:spacing w:val="-9"/>
        </w:rPr>
        <w:t xml:space="preserve"> </w:t>
      </w:r>
      <w:r>
        <w:t>assistance.</w:t>
      </w:r>
    </w:p>
    <w:p w:rsidR="004E13A5" w:rsidRDefault="00681463">
      <w:pPr>
        <w:pStyle w:val="BodyText"/>
        <w:spacing w:before="139"/>
        <w:ind w:left="388" w:right="256"/>
      </w:pPr>
      <w:r>
        <w:t>In briefing a family that includes a person with disabilities, PHA must also take steps to ensure effective communication.</w:t>
      </w:r>
    </w:p>
    <w:p w:rsidR="004E13A5" w:rsidRDefault="00681463">
      <w:pPr>
        <w:spacing w:before="141"/>
        <w:ind w:left="100"/>
        <w:rPr>
          <w:b/>
          <w:sz w:val="24"/>
        </w:rPr>
      </w:pPr>
      <w:r>
        <w:rPr>
          <w:b/>
          <w:sz w:val="24"/>
        </w:rPr>
        <w:t xml:space="preserve">Briefing Packet [24 CFR 982.301(b) ; New HCV GB, </w:t>
      </w:r>
      <w:r>
        <w:rPr>
          <w:b/>
          <w:i/>
          <w:sz w:val="24"/>
        </w:rPr>
        <w:t xml:space="preserve">Housing Search and Leasing, </w:t>
      </w:r>
      <w:r>
        <w:rPr>
          <w:b/>
          <w:sz w:val="24"/>
        </w:rPr>
        <w:t>p. 7]</w:t>
      </w:r>
    </w:p>
    <w:p w:rsidR="004E13A5" w:rsidRDefault="00681463">
      <w:pPr>
        <w:pStyle w:val="BodyText"/>
        <w:spacing w:before="120"/>
      </w:pPr>
      <w:r>
        <w:t>Documents and information provided in the briefing packet must include the following:</w:t>
      </w:r>
    </w:p>
    <w:p w:rsidR="004E13A5" w:rsidRDefault="00681463">
      <w:pPr>
        <w:pStyle w:val="BodyText"/>
        <w:ind w:left="460" w:right="241" w:hanging="360"/>
        <w:jc w:val="both"/>
      </w:pPr>
      <w:r>
        <w:rPr>
          <w:rFonts w:ascii="Symbol" w:hAnsi="Symbol"/>
        </w:rPr>
        <w:t></w:t>
      </w:r>
      <w:r>
        <w:t xml:space="preserve"> The term of the voucher, voucher suspensions, and the PHA’s policies on any extensions of the term. If the PHA allows extensions, the packet must explain how the family can request an extension.</w:t>
      </w:r>
    </w:p>
    <w:p w:rsidR="004E13A5" w:rsidRDefault="00681463">
      <w:pPr>
        <w:pStyle w:val="BodyText"/>
        <w:tabs>
          <w:tab w:val="left" w:pos="460"/>
        </w:tabs>
        <w:ind w:left="460" w:right="292" w:hanging="360"/>
      </w:pPr>
      <w:r>
        <w:rPr>
          <w:rFonts w:ascii="Symbol" w:hAnsi="Symbol"/>
        </w:rPr>
        <w:t></w:t>
      </w:r>
      <w:r>
        <w:tab/>
        <w:t>A description of the method used to calculate the housing assistance payment for</w:t>
      </w:r>
      <w:r>
        <w:rPr>
          <w:spacing w:val="-13"/>
        </w:rPr>
        <w:t xml:space="preserve"> </w:t>
      </w:r>
      <w:r>
        <w:t>a</w:t>
      </w:r>
      <w:r>
        <w:rPr>
          <w:spacing w:val="-2"/>
        </w:rPr>
        <w:t xml:space="preserve"> </w:t>
      </w:r>
      <w:r>
        <w:t>family,</w:t>
      </w:r>
      <w:r>
        <w:rPr>
          <w:w w:val="99"/>
        </w:rPr>
        <w:t xml:space="preserve"> </w:t>
      </w:r>
      <w:r>
        <w:t>including how the PHA determines the payment standard for a family, how the PHA determines total tenant payment for a family, and information on the payment standard and utility allowance</w:t>
      </w:r>
      <w:r>
        <w:rPr>
          <w:spacing w:val="-9"/>
        </w:rPr>
        <w:t xml:space="preserve"> </w:t>
      </w:r>
      <w:r>
        <w:t>schedule.</w:t>
      </w:r>
    </w:p>
    <w:p w:rsidR="004E13A5" w:rsidRDefault="004E13A5">
      <w:pPr>
        <w:sectPr w:rsidR="004E13A5">
          <w:pgSz w:w="12240" w:h="15840"/>
          <w:pgMar w:top="1360" w:right="1400" w:bottom="640" w:left="1340" w:header="0" w:footer="441" w:gutter="0"/>
          <w:cols w:space="720"/>
        </w:sectPr>
      </w:pPr>
    </w:p>
    <w:p w:rsidR="004E13A5" w:rsidRDefault="00681463">
      <w:pPr>
        <w:pStyle w:val="ListParagraph"/>
        <w:numPr>
          <w:ilvl w:val="0"/>
          <w:numId w:val="81"/>
        </w:numPr>
        <w:tabs>
          <w:tab w:val="left" w:pos="540"/>
          <w:tab w:val="left" w:pos="541"/>
        </w:tabs>
        <w:spacing w:before="79"/>
        <w:rPr>
          <w:sz w:val="24"/>
        </w:rPr>
      </w:pPr>
      <w:r>
        <w:rPr>
          <w:sz w:val="24"/>
        </w:rPr>
        <w:lastRenderedPageBreak/>
        <w:t>An explanation of how the PHA determines the maximum allowable rent for an assisted</w:t>
      </w:r>
      <w:r>
        <w:rPr>
          <w:spacing w:val="-14"/>
          <w:sz w:val="24"/>
        </w:rPr>
        <w:t xml:space="preserve"> </w:t>
      </w:r>
      <w:r>
        <w:rPr>
          <w:sz w:val="24"/>
        </w:rPr>
        <w:t>unit.</w:t>
      </w:r>
    </w:p>
    <w:p w:rsidR="004E13A5" w:rsidRDefault="00681463">
      <w:pPr>
        <w:pStyle w:val="ListParagraph"/>
        <w:numPr>
          <w:ilvl w:val="0"/>
          <w:numId w:val="81"/>
        </w:numPr>
        <w:tabs>
          <w:tab w:val="left" w:pos="540"/>
          <w:tab w:val="left" w:pos="541"/>
        </w:tabs>
        <w:spacing w:before="118"/>
        <w:ind w:right="138"/>
        <w:rPr>
          <w:sz w:val="24"/>
        </w:rPr>
      </w:pPr>
      <w:r>
        <w:rPr>
          <w:sz w:val="24"/>
        </w:rPr>
        <w:t>Where the family may lease a unit and an explanation of how portability works, including information on how portability may affect the family’s assistance through screening, subsidy standards, payment standards and any other elements of the portability process that may affect the family’s</w:t>
      </w:r>
      <w:r>
        <w:rPr>
          <w:spacing w:val="-6"/>
          <w:sz w:val="24"/>
        </w:rPr>
        <w:t xml:space="preserve"> </w:t>
      </w:r>
      <w:r>
        <w:rPr>
          <w:sz w:val="24"/>
        </w:rPr>
        <w:t>assistance.</w:t>
      </w:r>
    </w:p>
    <w:p w:rsidR="004E13A5" w:rsidRDefault="00681463">
      <w:pPr>
        <w:pStyle w:val="ListParagraph"/>
        <w:numPr>
          <w:ilvl w:val="0"/>
          <w:numId w:val="81"/>
        </w:numPr>
        <w:tabs>
          <w:tab w:val="left" w:pos="540"/>
          <w:tab w:val="left" w:pos="541"/>
        </w:tabs>
        <w:rPr>
          <w:sz w:val="24"/>
        </w:rPr>
      </w:pPr>
      <w:r>
        <w:rPr>
          <w:sz w:val="24"/>
        </w:rPr>
        <w:t>The HUD-required tenancy addendum, which must be included in the</w:t>
      </w:r>
      <w:r>
        <w:rPr>
          <w:spacing w:val="-14"/>
          <w:sz w:val="24"/>
        </w:rPr>
        <w:t xml:space="preserve"> </w:t>
      </w:r>
      <w:r>
        <w:rPr>
          <w:sz w:val="24"/>
        </w:rPr>
        <w:t>lease.</w:t>
      </w:r>
    </w:p>
    <w:p w:rsidR="004E13A5" w:rsidRDefault="00681463">
      <w:pPr>
        <w:pStyle w:val="ListParagraph"/>
        <w:numPr>
          <w:ilvl w:val="0"/>
          <w:numId w:val="81"/>
        </w:numPr>
        <w:tabs>
          <w:tab w:val="left" w:pos="540"/>
          <w:tab w:val="left" w:pos="541"/>
        </w:tabs>
        <w:ind w:right="870"/>
        <w:rPr>
          <w:sz w:val="24"/>
        </w:rPr>
      </w:pPr>
      <w:r>
        <w:rPr>
          <w:sz w:val="24"/>
        </w:rPr>
        <w:t>The form the family must use to request approval of tenancy</w:t>
      </w:r>
      <w:r>
        <w:rPr>
          <w:b/>
          <w:sz w:val="24"/>
        </w:rPr>
        <w:t xml:space="preserve">, </w:t>
      </w:r>
      <w:r>
        <w:rPr>
          <w:sz w:val="24"/>
        </w:rPr>
        <w:t>and a description of the procedure for requesting approval for a</w:t>
      </w:r>
      <w:r>
        <w:rPr>
          <w:spacing w:val="-10"/>
          <w:sz w:val="24"/>
        </w:rPr>
        <w:t xml:space="preserve"> </w:t>
      </w:r>
      <w:r>
        <w:rPr>
          <w:sz w:val="24"/>
        </w:rPr>
        <w:t>tenancy.</w:t>
      </w:r>
    </w:p>
    <w:p w:rsidR="004E13A5" w:rsidRDefault="00681463">
      <w:pPr>
        <w:pStyle w:val="ListParagraph"/>
        <w:numPr>
          <w:ilvl w:val="0"/>
          <w:numId w:val="81"/>
        </w:numPr>
        <w:tabs>
          <w:tab w:val="left" w:pos="540"/>
          <w:tab w:val="left" w:pos="541"/>
        </w:tabs>
        <w:ind w:right="769"/>
        <w:rPr>
          <w:sz w:val="24"/>
        </w:rPr>
      </w:pPr>
      <w:r>
        <w:rPr>
          <w:sz w:val="24"/>
        </w:rPr>
        <w:t>A statement of the PHA policy on providing information about families to</w:t>
      </w:r>
      <w:r>
        <w:rPr>
          <w:spacing w:val="-15"/>
          <w:sz w:val="24"/>
        </w:rPr>
        <w:t xml:space="preserve"> </w:t>
      </w:r>
      <w:r>
        <w:rPr>
          <w:sz w:val="24"/>
        </w:rPr>
        <w:t>prospective owners.</w:t>
      </w:r>
    </w:p>
    <w:p w:rsidR="004E13A5" w:rsidRDefault="00681463">
      <w:pPr>
        <w:pStyle w:val="ListParagraph"/>
        <w:numPr>
          <w:ilvl w:val="0"/>
          <w:numId w:val="81"/>
        </w:numPr>
        <w:tabs>
          <w:tab w:val="left" w:pos="540"/>
          <w:tab w:val="left" w:pos="541"/>
        </w:tabs>
        <w:rPr>
          <w:sz w:val="24"/>
        </w:rPr>
      </w:pPr>
      <w:r>
        <w:rPr>
          <w:sz w:val="24"/>
        </w:rPr>
        <w:t>The PHA subsidy standards including when and how exceptions are</w:t>
      </w:r>
      <w:r>
        <w:rPr>
          <w:spacing w:val="-10"/>
          <w:sz w:val="24"/>
        </w:rPr>
        <w:t xml:space="preserve"> </w:t>
      </w:r>
      <w:r>
        <w:rPr>
          <w:sz w:val="24"/>
        </w:rPr>
        <w:t>made.</w:t>
      </w:r>
    </w:p>
    <w:p w:rsidR="004E13A5" w:rsidRDefault="00681463">
      <w:pPr>
        <w:pStyle w:val="ListParagraph"/>
        <w:numPr>
          <w:ilvl w:val="0"/>
          <w:numId w:val="81"/>
        </w:numPr>
        <w:tabs>
          <w:tab w:val="left" w:pos="540"/>
          <w:tab w:val="left" w:pos="541"/>
        </w:tabs>
        <w:spacing w:before="118"/>
        <w:ind w:right="277"/>
        <w:rPr>
          <w:sz w:val="24"/>
        </w:rPr>
      </w:pPr>
      <w:r>
        <w:rPr>
          <w:sz w:val="24"/>
        </w:rPr>
        <w:t>Materials (e.g., brochures) on how to select a unit and any additional information on selecting a unit that HUD provides. (e.g., HUD brochure entitled, “A Good Place to</w:t>
      </w:r>
      <w:r>
        <w:rPr>
          <w:spacing w:val="-17"/>
          <w:sz w:val="24"/>
        </w:rPr>
        <w:t xml:space="preserve"> </w:t>
      </w:r>
      <w:r>
        <w:rPr>
          <w:sz w:val="24"/>
        </w:rPr>
        <w:t>Live”).</w:t>
      </w:r>
    </w:p>
    <w:p w:rsidR="004E13A5" w:rsidRDefault="00681463">
      <w:pPr>
        <w:pStyle w:val="ListParagraph"/>
        <w:numPr>
          <w:ilvl w:val="0"/>
          <w:numId w:val="80"/>
        </w:numPr>
        <w:tabs>
          <w:tab w:val="left" w:pos="541"/>
        </w:tabs>
        <w:ind w:right="113"/>
        <w:rPr>
          <w:sz w:val="24"/>
        </w:rPr>
      </w:pPr>
      <w:r>
        <w:rPr>
          <w:sz w:val="24"/>
        </w:rPr>
        <w:t>Information on federal, state and local equal opportunity laws and a copy of the housing discrimination complaint form. including information on how to complete the form and file a fair housing</w:t>
      </w:r>
      <w:r>
        <w:rPr>
          <w:spacing w:val="-5"/>
          <w:sz w:val="24"/>
        </w:rPr>
        <w:t xml:space="preserve"> </w:t>
      </w:r>
      <w:r>
        <w:rPr>
          <w:sz w:val="24"/>
        </w:rPr>
        <w:t>complaint.</w:t>
      </w:r>
    </w:p>
    <w:p w:rsidR="004E13A5" w:rsidRDefault="00681463">
      <w:pPr>
        <w:pStyle w:val="ListParagraph"/>
        <w:numPr>
          <w:ilvl w:val="0"/>
          <w:numId w:val="81"/>
        </w:numPr>
        <w:tabs>
          <w:tab w:val="left" w:pos="540"/>
          <w:tab w:val="left" w:pos="541"/>
        </w:tabs>
        <w:ind w:right="169"/>
        <w:rPr>
          <w:sz w:val="24"/>
        </w:rPr>
      </w:pPr>
      <w:r>
        <w:rPr>
          <w:sz w:val="24"/>
        </w:rPr>
        <w:t>A list of landlords known to the PHA who may be willing to lease a unit to the family or other resources (e.g., newspapers, organizations, online search tools) known to the PHA that may assist the family in locating a unity. PHAs must ensure that the list of landlords or</w:t>
      </w:r>
      <w:r>
        <w:rPr>
          <w:spacing w:val="-15"/>
          <w:sz w:val="24"/>
        </w:rPr>
        <w:t xml:space="preserve"> </w:t>
      </w:r>
      <w:r>
        <w:rPr>
          <w:sz w:val="24"/>
        </w:rPr>
        <w:t>other resources covers areas outside of poverty or minority</w:t>
      </w:r>
      <w:r>
        <w:rPr>
          <w:spacing w:val="-10"/>
          <w:sz w:val="24"/>
        </w:rPr>
        <w:t xml:space="preserve"> </w:t>
      </w:r>
      <w:r>
        <w:rPr>
          <w:sz w:val="24"/>
        </w:rPr>
        <w:t>concentration.</w:t>
      </w:r>
    </w:p>
    <w:p w:rsidR="004E13A5" w:rsidRDefault="00681463">
      <w:pPr>
        <w:pStyle w:val="ListParagraph"/>
        <w:numPr>
          <w:ilvl w:val="0"/>
          <w:numId w:val="81"/>
        </w:numPr>
        <w:tabs>
          <w:tab w:val="left" w:pos="540"/>
          <w:tab w:val="left" w:pos="541"/>
        </w:tabs>
        <w:ind w:right="336"/>
        <w:rPr>
          <w:sz w:val="24"/>
        </w:rPr>
      </w:pPr>
      <w:r>
        <w:rPr>
          <w:sz w:val="24"/>
        </w:rPr>
        <w:t>Notice that if the family includes a person with disabilities, the family may request a list</w:t>
      </w:r>
      <w:r>
        <w:rPr>
          <w:spacing w:val="-19"/>
          <w:sz w:val="24"/>
        </w:rPr>
        <w:t xml:space="preserve"> </w:t>
      </w:r>
      <w:r>
        <w:rPr>
          <w:sz w:val="24"/>
        </w:rPr>
        <w:t>of available accessible units known to the</w:t>
      </w:r>
      <w:r>
        <w:rPr>
          <w:spacing w:val="-5"/>
          <w:sz w:val="24"/>
        </w:rPr>
        <w:t xml:space="preserve"> </w:t>
      </w:r>
      <w:r>
        <w:rPr>
          <w:sz w:val="24"/>
        </w:rPr>
        <w:t>PHA.</w:t>
      </w:r>
    </w:p>
    <w:p w:rsidR="004E13A5" w:rsidRDefault="00681463">
      <w:pPr>
        <w:pStyle w:val="ListParagraph"/>
        <w:numPr>
          <w:ilvl w:val="0"/>
          <w:numId w:val="81"/>
        </w:numPr>
        <w:tabs>
          <w:tab w:val="left" w:pos="540"/>
          <w:tab w:val="left" w:pos="541"/>
        </w:tabs>
        <w:ind w:right="278"/>
        <w:rPr>
          <w:sz w:val="24"/>
        </w:rPr>
      </w:pPr>
      <w:r>
        <w:rPr>
          <w:sz w:val="24"/>
        </w:rPr>
        <w:t>The family obligations under the program, including any obligations of a welfare-to-work family, and any obligations of other special programs if the family is participating in one</w:t>
      </w:r>
      <w:r>
        <w:rPr>
          <w:spacing w:val="-21"/>
          <w:sz w:val="24"/>
        </w:rPr>
        <w:t xml:space="preserve"> </w:t>
      </w:r>
      <w:r>
        <w:rPr>
          <w:sz w:val="24"/>
        </w:rPr>
        <w:t>of those</w:t>
      </w:r>
      <w:r>
        <w:rPr>
          <w:spacing w:val="-5"/>
          <w:sz w:val="24"/>
        </w:rPr>
        <w:t xml:space="preserve"> </w:t>
      </w:r>
      <w:r>
        <w:rPr>
          <w:sz w:val="24"/>
        </w:rPr>
        <w:t>programs.</w:t>
      </w:r>
    </w:p>
    <w:p w:rsidR="004E13A5" w:rsidRDefault="00681463">
      <w:pPr>
        <w:pStyle w:val="ListParagraph"/>
        <w:numPr>
          <w:ilvl w:val="0"/>
          <w:numId w:val="81"/>
        </w:numPr>
        <w:tabs>
          <w:tab w:val="left" w:pos="540"/>
          <w:tab w:val="left" w:pos="541"/>
        </w:tabs>
        <w:ind w:right="196"/>
        <w:rPr>
          <w:sz w:val="24"/>
        </w:rPr>
      </w:pPr>
      <w:r>
        <w:rPr>
          <w:sz w:val="24"/>
        </w:rPr>
        <w:t>The grounds on which the PHA may terminate assistance for a participant family because</w:t>
      </w:r>
      <w:r>
        <w:rPr>
          <w:spacing w:val="-16"/>
          <w:sz w:val="24"/>
        </w:rPr>
        <w:t xml:space="preserve"> </w:t>
      </w:r>
      <w:r>
        <w:rPr>
          <w:sz w:val="24"/>
        </w:rPr>
        <w:t>of family action or failure to</w:t>
      </w:r>
      <w:r>
        <w:rPr>
          <w:spacing w:val="-11"/>
          <w:sz w:val="24"/>
        </w:rPr>
        <w:t xml:space="preserve"> </w:t>
      </w:r>
      <w:r>
        <w:rPr>
          <w:sz w:val="24"/>
        </w:rPr>
        <w:t>act.</w:t>
      </w:r>
    </w:p>
    <w:p w:rsidR="004E13A5" w:rsidRDefault="00681463">
      <w:pPr>
        <w:pStyle w:val="ListParagraph"/>
        <w:numPr>
          <w:ilvl w:val="0"/>
          <w:numId w:val="81"/>
        </w:numPr>
        <w:tabs>
          <w:tab w:val="left" w:pos="540"/>
          <w:tab w:val="left" w:pos="541"/>
        </w:tabs>
        <w:ind w:right="252"/>
        <w:rPr>
          <w:sz w:val="24"/>
        </w:rPr>
      </w:pPr>
      <w:r>
        <w:rPr>
          <w:sz w:val="24"/>
        </w:rPr>
        <w:t>PHA informal hearing procedures including when the PHA is required to offer a participant family the opportunity for an informal hearing, and how to request the</w:t>
      </w:r>
      <w:r>
        <w:rPr>
          <w:spacing w:val="-14"/>
          <w:sz w:val="24"/>
        </w:rPr>
        <w:t xml:space="preserve"> </w:t>
      </w:r>
      <w:r>
        <w:rPr>
          <w:sz w:val="24"/>
        </w:rPr>
        <w:t>hearing.</w:t>
      </w:r>
    </w:p>
    <w:p w:rsidR="004E13A5" w:rsidRDefault="00681463">
      <w:pPr>
        <w:pStyle w:val="ListParagraph"/>
        <w:numPr>
          <w:ilvl w:val="0"/>
          <w:numId w:val="81"/>
        </w:numPr>
        <w:tabs>
          <w:tab w:val="left" w:pos="540"/>
          <w:tab w:val="left" w:pos="541"/>
        </w:tabs>
        <w:ind w:right="1348"/>
        <w:rPr>
          <w:sz w:val="24"/>
        </w:rPr>
      </w:pPr>
      <w:r>
        <w:rPr>
          <w:sz w:val="24"/>
        </w:rPr>
        <w:t>An explanation of the advantages of moving to an area that does not have a</w:t>
      </w:r>
      <w:r>
        <w:rPr>
          <w:spacing w:val="-11"/>
          <w:sz w:val="24"/>
        </w:rPr>
        <w:t xml:space="preserve"> </w:t>
      </w:r>
      <w:r>
        <w:rPr>
          <w:sz w:val="24"/>
        </w:rPr>
        <w:t>high concentration of low-income</w:t>
      </w:r>
      <w:r>
        <w:rPr>
          <w:spacing w:val="-9"/>
          <w:sz w:val="24"/>
        </w:rPr>
        <w:t xml:space="preserve"> </w:t>
      </w:r>
      <w:r>
        <w:rPr>
          <w:sz w:val="24"/>
        </w:rPr>
        <w:t>families.</w:t>
      </w:r>
    </w:p>
    <w:p w:rsidR="004E13A5" w:rsidRDefault="00681463">
      <w:pPr>
        <w:pStyle w:val="ListParagraph"/>
        <w:numPr>
          <w:ilvl w:val="0"/>
          <w:numId w:val="81"/>
        </w:numPr>
        <w:tabs>
          <w:tab w:val="left" w:pos="540"/>
          <w:tab w:val="left" w:pos="541"/>
        </w:tabs>
        <w:ind w:right="383"/>
        <w:rPr>
          <w:sz w:val="24"/>
        </w:rPr>
      </w:pPr>
      <w:r>
        <w:rPr>
          <w:sz w:val="24"/>
        </w:rPr>
        <w:t>The HUD pamphlet on lead-based paint entitled, “Protect Your Family from Lead in</w:t>
      </w:r>
      <w:r>
        <w:rPr>
          <w:spacing w:val="-17"/>
          <w:sz w:val="24"/>
        </w:rPr>
        <w:t xml:space="preserve"> </w:t>
      </w:r>
      <w:r>
        <w:rPr>
          <w:sz w:val="24"/>
        </w:rPr>
        <w:t>Your Home.”</w:t>
      </w:r>
    </w:p>
    <w:p w:rsidR="004E13A5" w:rsidRDefault="00681463">
      <w:pPr>
        <w:pStyle w:val="BodyText"/>
        <w:ind w:left="180" w:right="782"/>
      </w:pPr>
      <w:r>
        <w:t>If the PHA is located in a metropolitan area, the following additional information must be included in the briefing packet in order to receive full points under SEMAP Indicator 7, Expanding Housing Opportunities [24 CFR 985.3(g)]:</w:t>
      </w:r>
    </w:p>
    <w:p w:rsidR="004E13A5" w:rsidRDefault="00681463">
      <w:pPr>
        <w:pStyle w:val="BodyText"/>
        <w:tabs>
          <w:tab w:val="left" w:pos="540"/>
        </w:tabs>
        <w:ind w:left="540" w:right="959" w:hanging="432"/>
      </w:pPr>
      <w:r>
        <w:rPr>
          <w:rFonts w:ascii="Symbol" w:hAnsi="Symbol"/>
        </w:rPr>
        <w:t></w:t>
      </w:r>
      <w:r>
        <w:tab/>
        <w:t>Maps showing areas with housing opportunities outside areas of poverty</w:t>
      </w:r>
      <w:r>
        <w:rPr>
          <w:spacing w:val="-9"/>
        </w:rPr>
        <w:t xml:space="preserve"> </w:t>
      </w:r>
      <w:r>
        <w:t>or minority concentration, both within its jurisdiction and its neighboring</w:t>
      </w:r>
      <w:r>
        <w:rPr>
          <w:spacing w:val="-13"/>
        </w:rPr>
        <w:t xml:space="preserve"> </w:t>
      </w:r>
      <w:r>
        <w:t>jurisdiction</w:t>
      </w:r>
    </w:p>
    <w:p w:rsidR="004E13A5" w:rsidRDefault="004E13A5">
      <w:pPr>
        <w:sectPr w:rsidR="004E13A5">
          <w:pgSz w:w="12240" w:h="15840"/>
          <w:pgMar w:top="1360" w:right="1380" w:bottom="640" w:left="1260" w:header="0" w:footer="441" w:gutter="0"/>
          <w:cols w:space="720"/>
        </w:sectPr>
      </w:pPr>
    </w:p>
    <w:p w:rsidR="004E13A5" w:rsidRDefault="00681463">
      <w:pPr>
        <w:pStyle w:val="BodyText"/>
        <w:tabs>
          <w:tab w:val="left" w:pos="540"/>
        </w:tabs>
        <w:spacing w:before="79"/>
        <w:ind w:left="540" w:right="607" w:hanging="432"/>
      </w:pPr>
      <w:r>
        <w:rPr>
          <w:rFonts w:ascii="Symbol" w:hAnsi="Symbol"/>
        </w:rPr>
        <w:lastRenderedPageBreak/>
        <w:t></w:t>
      </w:r>
      <w:r>
        <w:tab/>
        <w:t>Information about the characteristics of these areas including job</w:t>
      </w:r>
      <w:r>
        <w:rPr>
          <w:spacing w:val="-13"/>
        </w:rPr>
        <w:t xml:space="preserve"> </w:t>
      </w:r>
      <w:r>
        <w:t>opportunities,</w:t>
      </w:r>
      <w:r>
        <w:rPr>
          <w:spacing w:val="-1"/>
        </w:rPr>
        <w:t xml:space="preserve"> </w:t>
      </w:r>
      <w:r>
        <w:t>schools, transportation, and other</w:t>
      </w:r>
      <w:r>
        <w:rPr>
          <w:spacing w:val="-8"/>
        </w:rPr>
        <w:t xml:space="preserve"> </w:t>
      </w:r>
      <w:r>
        <w:t>services</w:t>
      </w:r>
    </w:p>
    <w:p w:rsidR="004E13A5" w:rsidRDefault="00681463">
      <w:pPr>
        <w:pStyle w:val="BodyText"/>
        <w:tabs>
          <w:tab w:val="left" w:pos="540"/>
        </w:tabs>
        <w:ind w:left="540" w:right="395" w:hanging="432"/>
      </w:pPr>
      <w:r>
        <w:rPr>
          <w:rFonts w:ascii="Symbol" w:hAnsi="Symbol"/>
        </w:rPr>
        <w:t></w:t>
      </w:r>
      <w:r>
        <w:tab/>
        <w:t>An explanation of how portability works, including a list of portability contact</w:t>
      </w:r>
      <w:r>
        <w:rPr>
          <w:spacing w:val="-17"/>
        </w:rPr>
        <w:t xml:space="preserve"> </w:t>
      </w:r>
      <w:r>
        <w:t>persons</w:t>
      </w:r>
      <w:r>
        <w:rPr>
          <w:spacing w:val="-1"/>
        </w:rPr>
        <w:t xml:space="preserve"> </w:t>
      </w:r>
      <w:r>
        <w:t>for neighboring PHAs with names, addresses, and telephone</w:t>
      </w:r>
      <w:r>
        <w:rPr>
          <w:spacing w:val="-13"/>
        </w:rPr>
        <w:t xml:space="preserve"> </w:t>
      </w:r>
      <w:r>
        <w:t>numbers</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4"/>
        <w:ind w:left="180"/>
      </w:pPr>
      <w:r>
        <w:t>Additional Items to Be Included in the Briefing Packet</w:t>
      </w:r>
    </w:p>
    <w:p w:rsidR="004E13A5" w:rsidRDefault="00681463">
      <w:pPr>
        <w:pStyle w:val="BodyText"/>
        <w:spacing w:before="120"/>
        <w:ind w:left="180" w:right="315"/>
      </w:pPr>
      <w:r>
        <w:t>In addition to items required by the regulations, PHAs may wish to include supplemental materials to help explain the program to both participants and owners [HCV GB p. 8-7, Notice PIH 2017-12].</w:t>
      </w:r>
    </w:p>
    <w:p w:rsidR="004E13A5" w:rsidRDefault="00681463">
      <w:pPr>
        <w:pStyle w:val="BodyText"/>
        <w:spacing w:before="120"/>
        <w:ind w:left="900"/>
        <w:jc w:val="both"/>
      </w:pPr>
      <w:r>
        <w:rPr>
          <w:u w:val="single"/>
        </w:rPr>
        <w:t>PHA Policy</w:t>
      </w:r>
    </w:p>
    <w:p w:rsidR="004E13A5" w:rsidRDefault="00681463">
      <w:pPr>
        <w:pStyle w:val="BodyText"/>
        <w:spacing w:line="343" w:lineRule="auto"/>
        <w:ind w:left="1620" w:right="321" w:hanging="720"/>
      </w:pPr>
      <w:r>
        <w:t>The PHA will provide the following additional materials in the briefing packet: Information on how to fill out and file a housing discrimination complaint form</w:t>
      </w:r>
    </w:p>
    <w:p w:rsidR="004E13A5" w:rsidRDefault="004E13A5">
      <w:pPr>
        <w:pStyle w:val="BodyText"/>
        <w:spacing w:before="10"/>
        <w:ind w:left="0"/>
        <w:rPr>
          <w:sz w:val="34"/>
        </w:rPr>
      </w:pPr>
    </w:p>
    <w:p w:rsidR="004E13A5" w:rsidRDefault="00681463">
      <w:pPr>
        <w:pStyle w:val="BodyText"/>
        <w:spacing w:before="0"/>
        <w:ind w:left="1620"/>
      </w:pPr>
      <w:r>
        <w:t>Information on how to fill out and file a housing discrimination complaint form</w:t>
      </w:r>
    </w:p>
    <w:p w:rsidR="004E13A5" w:rsidRDefault="00681463">
      <w:pPr>
        <w:pStyle w:val="BodyText"/>
        <w:spacing w:before="141"/>
        <w:ind w:left="1620" w:right="222"/>
      </w:pPr>
      <w:r>
        <w:t>The form HUD-5380 domestic violence certification form and the form HUD- 5382 notice of occupancy rights, which contains information on VAWA protections for victims of domestic violence, dating violence, sexual assault, and stalking</w:t>
      </w:r>
    </w:p>
    <w:p w:rsidR="004E13A5" w:rsidRDefault="00681463">
      <w:pPr>
        <w:pStyle w:val="BodyText"/>
        <w:spacing w:before="139"/>
        <w:ind w:left="1620" w:right="148"/>
      </w:pPr>
      <w:r>
        <w:t>“Is Fraud Worth It?” (form HUD-1141-OIG), which explains the types of actions a family must avoid and the penalties for program abuse</w:t>
      </w:r>
    </w:p>
    <w:p w:rsidR="004E13A5" w:rsidRDefault="00681463">
      <w:pPr>
        <w:pStyle w:val="BodyText"/>
        <w:spacing w:before="139"/>
        <w:ind w:left="1620" w:right="510"/>
      </w:pPr>
      <w:r>
        <w:t>“What You Should Know about EIV,” a guide to the Enterprise Income Verification (EIV) system published by HUD as an attachment to Notice PIH 2017-12</w:t>
      </w:r>
    </w:p>
    <w:p w:rsidR="004E13A5" w:rsidRDefault="00681463">
      <w:pPr>
        <w:pStyle w:val="Heading4"/>
        <w:spacing w:before="139"/>
        <w:ind w:left="180"/>
      </w:pPr>
      <w:r>
        <w:t>5-I.C. FAMILY OBLIGATIONS</w:t>
      </w:r>
    </w:p>
    <w:p w:rsidR="004E13A5" w:rsidRDefault="00681463">
      <w:pPr>
        <w:pStyle w:val="BodyText"/>
        <w:spacing w:before="120"/>
        <w:ind w:left="180" w:right="96"/>
      </w:pPr>
      <w:r>
        <w:t>Obligations of the family are described in the housing choice voucher (HCV) regulations and on the voucher itself. These obligations include responsibilities the family is required to fulfill, as well as prohibited actions. The PHA must inform families of these obligations during the oral briefing, and the same information must be included in the briefing packet. When the family’s unit is approved and the HAP contract is executed, the family must meet those obligations in order to continue participating in the program. Violation of any family obligation may result in termination of assistance, as described in Chapter 12.</w:t>
      </w:r>
    </w:p>
    <w:p w:rsidR="004E13A5" w:rsidRDefault="00681463">
      <w:pPr>
        <w:pStyle w:val="Heading4"/>
        <w:spacing w:before="120"/>
        <w:ind w:left="180"/>
      </w:pPr>
      <w:r>
        <w:t>Time Frames for Reporting Changes Required by Family Obligations</w:t>
      </w:r>
    </w:p>
    <w:p w:rsidR="004E13A5" w:rsidRDefault="00681463">
      <w:pPr>
        <w:pStyle w:val="BodyText"/>
        <w:spacing w:before="120"/>
        <w:ind w:left="900"/>
        <w:jc w:val="both"/>
      </w:pPr>
      <w:r>
        <w:rPr>
          <w:u w:val="single"/>
        </w:rPr>
        <w:t>PHA Policy</w:t>
      </w:r>
    </w:p>
    <w:p w:rsidR="004E13A5" w:rsidRDefault="00681463">
      <w:pPr>
        <w:pStyle w:val="BodyText"/>
        <w:spacing w:before="120"/>
        <w:ind w:left="900" w:right="99"/>
        <w:jc w:val="both"/>
      </w:pPr>
      <w:r>
        <w:t>Unless otherwise noted below, when family obligations require the family to respond to a request or notify the PHA of a change, notifying the PHA of the request or change within 10 business days is considered prompt notice.</w:t>
      </w:r>
    </w:p>
    <w:p w:rsidR="004E13A5" w:rsidRDefault="00681463">
      <w:pPr>
        <w:pStyle w:val="BodyText"/>
        <w:spacing w:before="120"/>
        <w:ind w:left="900"/>
        <w:jc w:val="both"/>
      </w:pPr>
      <w:r>
        <w:t>When a family is required to provide notice to the PHA, the notice must be in writing.</w:t>
      </w:r>
    </w:p>
    <w:p w:rsidR="004E13A5" w:rsidRDefault="004E13A5">
      <w:pPr>
        <w:jc w:val="both"/>
        <w:sectPr w:rsidR="004E13A5">
          <w:pgSz w:w="12240" w:h="15840"/>
          <w:pgMar w:top="1360" w:right="1380" w:bottom="640" w:left="1260" w:header="0" w:footer="441" w:gutter="0"/>
          <w:cols w:space="720"/>
        </w:sectPr>
      </w:pPr>
    </w:p>
    <w:p w:rsidR="004E13A5" w:rsidRDefault="00681463">
      <w:pPr>
        <w:pStyle w:val="Heading4"/>
        <w:spacing w:before="79"/>
      </w:pPr>
      <w:r>
        <w:lastRenderedPageBreak/>
        <w:t>Family Obligations [24 CFR 982.551]</w:t>
      </w:r>
    </w:p>
    <w:p w:rsidR="004E13A5" w:rsidRDefault="00681463">
      <w:pPr>
        <w:pStyle w:val="BodyText"/>
      </w:pPr>
      <w:r>
        <w:t>The family obligations of the voucher are listed as follows:</w:t>
      </w:r>
    </w:p>
    <w:p w:rsidR="004E13A5" w:rsidRDefault="00681463">
      <w:pPr>
        <w:pStyle w:val="BodyText"/>
        <w:tabs>
          <w:tab w:val="left" w:pos="460"/>
        </w:tabs>
        <w:ind w:left="460" w:right="364" w:hanging="360"/>
      </w:pPr>
      <w:r>
        <w:rPr>
          <w:rFonts w:ascii="Symbol" w:hAnsi="Symbol"/>
        </w:rPr>
        <w:t></w:t>
      </w:r>
      <w:r>
        <w:tab/>
        <w:t>The family must supply any information that the PHA or HUD determines to</w:t>
      </w:r>
      <w:r>
        <w:rPr>
          <w:spacing w:val="-16"/>
        </w:rPr>
        <w:t xml:space="preserve"> </w:t>
      </w:r>
      <w:r>
        <w:t>be</w:t>
      </w:r>
      <w:r>
        <w:rPr>
          <w:spacing w:val="-1"/>
        </w:rPr>
        <w:t xml:space="preserve"> </w:t>
      </w:r>
      <w:r>
        <w:t>necessary, including submission of required evidence of citizenship or eligible immigration</w:t>
      </w:r>
      <w:r>
        <w:rPr>
          <w:spacing w:val="-10"/>
        </w:rPr>
        <w:t xml:space="preserve"> </w:t>
      </w:r>
      <w:r>
        <w:t>status.</w:t>
      </w:r>
    </w:p>
    <w:p w:rsidR="004E13A5" w:rsidRDefault="00681463">
      <w:pPr>
        <w:pStyle w:val="BodyText"/>
        <w:tabs>
          <w:tab w:val="left" w:pos="460"/>
        </w:tabs>
        <w:ind w:left="460" w:right="142" w:hanging="360"/>
      </w:pPr>
      <w:r>
        <w:rPr>
          <w:rFonts w:ascii="Symbol" w:hAnsi="Symbol"/>
        </w:rPr>
        <w:t></w:t>
      </w:r>
      <w:r>
        <w:tab/>
        <w:t>The family must supply any information requested by the PHA or HUD for use in</w:t>
      </w:r>
      <w:r>
        <w:rPr>
          <w:spacing w:val="-16"/>
        </w:rPr>
        <w:t xml:space="preserve"> </w:t>
      </w:r>
      <w:r>
        <w:t>a regularly scheduled reexamination or interim reexamination of family income and</w:t>
      </w:r>
      <w:r>
        <w:rPr>
          <w:spacing w:val="-13"/>
        </w:rPr>
        <w:t xml:space="preserve"> </w:t>
      </w:r>
      <w:r>
        <w:t>composition.</w:t>
      </w:r>
    </w:p>
    <w:p w:rsidR="004E13A5" w:rsidRDefault="00681463">
      <w:pPr>
        <w:pStyle w:val="BodyText"/>
        <w:tabs>
          <w:tab w:val="left" w:pos="460"/>
        </w:tabs>
        <w:ind w:left="460" w:right="530" w:hanging="360"/>
      </w:pPr>
      <w:r>
        <w:rPr>
          <w:rFonts w:ascii="Symbol" w:hAnsi="Symbol"/>
        </w:rPr>
        <w:t></w:t>
      </w:r>
      <w:r>
        <w:tab/>
        <w:t>The family must disclose and verify social security numbers and sign and</w:t>
      </w:r>
      <w:r>
        <w:rPr>
          <w:spacing w:val="-10"/>
        </w:rPr>
        <w:t xml:space="preserve"> </w:t>
      </w:r>
      <w:r>
        <w:t>submit consent forms for obtaining</w:t>
      </w:r>
      <w:r>
        <w:rPr>
          <w:spacing w:val="-4"/>
        </w:rPr>
        <w:t xml:space="preserve"> </w:t>
      </w:r>
      <w:r>
        <w:t>information.</w:t>
      </w:r>
    </w:p>
    <w:p w:rsidR="004E13A5" w:rsidRDefault="00681463">
      <w:pPr>
        <w:pStyle w:val="BodyText"/>
        <w:tabs>
          <w:tab w:val="left" w:pos="460"/>
        </w:tabs>
      </w:pPr>
      <w:r>
        <w:rPr>
          <w:rFonts w:ascii="Symbol" w:hAnsi="Symbol"/>
        </w:rPr>
        <w:t></w:t>
      </w:r>
      <w:r>
        <w:tab/>
        <w:t>Any information supplied by the family must be true and</w:t>
      </w:r>
      <w:r>
        <w:rPr>
          <w:spacing w:val="-16"/>
        </w:rPr>
        <w:t xml:space="preserve"> </w:t>
      </w:r>
      <w:r>
        <w:t>complete.</w:t>
      </w:r>
    </w:p>
    <w:p w:rsidR="004E13A5" w:rsidRDefault="00681463">
      <w:pPr>
        <w:pStyle w:val="BodyText"/>
        <w:tabs>
          <w:tab w:val="left" w:pos="460"/>
        </w:tabs>
        <w:spacing w:before="120"/>
        <w:ind w:left="460" w:right="393" w:hanging="360"/>
      </w:pPr>
      <w:r>
        <w:rPr>
          <w:rFonts w:ascii="Symbol" w:hAnsi="Symbol"/>
        </w:rPr>
        <w:t></w:t>
      </w:r>
      <w:r>
        <w:tab/>
        <w:t>The family is responsible for any Housing Quality Standards (</w:t>
      </w:r>
      <w:r w:rsidR="002C4221">
        <w:t>NSPIRE</w:t>
      </w:r>
      <w:r>
        <w:t>) breach by</w:t>
      </w:r>
      <w:r>
        <w:rPr>
          <w:spacing w:val="-17"/>
        </w:rPr>
        <w:t xml:space="preserve"> </w:t>
      </w:r>
      <w:r>
        <w:t>the family</w:t>
      </w:r>
      <w:r>
        <w:rPr>
          <w:w w:val="99"/>
        </w:rPr>
        <w:t xml:space="preserve"> </w:t>
      </w:r>
      <w:r>
        <w:t>caused by failure to pay tenant-provided utilities or appliances, or damages to the dwelling unit or premises beyond normal wear and tear caused by any member of the household or guest.</w:t>
      </w:r>
    </w:p>
    <w:p w:rsidR="004E13A5" w:rsidRDefault="00681463">
      <w:pPr>
        <w:pStyle w:val="BodyText"/>
        <w:ind w:left="820"/>
      </w:pPr>
      <w:r>
        <w:rPr>
          <w:u w:val="single"/>
        </w:rPr>
        <w:t>PHA Policy</w:t>
      </w:r>
    </w:p>
    <w:p w:rsidR="0072702F" w:rsidRPr="000F5771" w:rsidRDefault="0072702F" w:rsidP="00C65832">
      <w:pPr>
        <w:adjustRightInd w:val="0"/>
        <w:spacing w:before="120"/>
        <w:ind w:left="820"/>
      </w:pPr>
      <w:r w:rsidRPr="000F5771">
        <w:t xml:space="preserve">Damages beyond </w:t>
      </w:r>
      <w:r>
        <w:t>ordinary</w:t>
      </w:r>
      <w:r w:rsidRPr="000F5771">
        <w:t xml:space="preserve"> wear and tear will be considered to be damages which could be assessed against the security deposit</w:t>
      </w:r>
      <w:r w:rsidRPr="00924715">
        <w:t xml:space="preserve"> under state law or in court practice</w:t>
      </w:r>
      <w:r w:rsidRPr="000F5771">
        <w:t>.</w:t>
      </w:r>
    </w:p>
    <w:p w:rsidR="004E13A5" w:rsidRDefault="00681463">
      <w:pPr>
        <w:pStyle w:val="BodyText"/>
        <w:tabs>
          <w:tab w:val="left" w:pos="460"/>
        </w:tabs>
        <w:ind w:left="460" w:right="364" w:hanging="360"/>
      </w:pPr>
      <w:r>
        <w:rPr>
          <w:rFonts w:ascii="Symbol" w:hAnsi="Symbol"/>
        </w:rPr>
        <w:t></w:t>
      </w:r>
      <w:r>
        <w:tab/>
        <w:t>The family must allow the PHA to inspect the unit at reasonable times and</w:t>
      </w:r>
      <w:r>
        <w:rPr>
          <w:spacing w:val="-16"/>
        </w:rPr>
        <w:t xml:space="preserve"> </w:t>
      </w:r>
      <w:r>
        <w:t>after</w:t>
      </w:r>
      <w:r>
        <w:rPr>
          <w:spacing w:val="-1"/>
        </w:rPr>
        <w:t xml:space="preserve"> </w:t>
      </w:r>
      <w:r>
        <w:t>reasonable notice, as described in Chapter 8 of this</w:t>
      </w:r>
      <w:r>
        <w:rPr>
          <w:spacing w:val="-11"/>
        </w:rPr>
        <w:t xml:space="preserve"> </w:t>
      </w:r>
      <w:r>
        <w:t>plan.</w:t>
      </w:r>
    </w:p>
    <w:p w:rsidR="004E13A5" w:rsidRDefault="00681463">
      <w:pPr>
        <w:pStyle w:val="BodyText"/>
        <w:tabs>
          <w:tab w:val="left" w:pos="460"/>
        </w:tabs>
        <w:spacing w:line="338" w:lineRule="auto"/>
        <w:ind w:left="820" w:right="1950" w:hanging="720"/>
      </w:pPr>
      <w:r>
        <w:rPr>
          <w:rFonts w:ascii="Symbol" w:hAnsi="Symbol"/>
        </w:rPr>
        <w:t></w:t>
      </w:r>
      <w:r>
        <w:tab/>
        <w:t>The family must not commit any serious or repeated violation of</w:t>
      </w:r>
      <w:r>
        <w:rPr>
          <w:spacing w:val="-14"/>
        </w:rPr>
        <w:t xml:space="preserve"> </w:t>
      </w:r>
      <w:r>
        <w:t>the</w:t>
      </w:r>
      <w:r>
        <w:rPr>
          <w:spacing w:val="-1"/>
        </w:rPr>
        <w:t xml:space="preserve"> </w:t>
      </w:r>
      <w:r>
        <w:t xml:space="preserve">lease. </w:t>
      </w:r>
      <w:r>
        <w:rPr>
          <w:u w:val="single"/>
        </w:rPr>
        <w:t>PHA</w:t>
      </w:r>
      <w:r>
        <w:rPr>
          <w:spacing w:val="-1"/>
          <w:u w:val="single"/>
        </w:rPr>
        <w:t xml:space="preserve"> </w:t>
      </w:r>
      <w:r>
        <w:rPr>
          <w:u w:val="single"/>
        </w:rPr>
        <w:t>Policy</w:t>
      </w:r>
    </w:p>
    <w:p w:rsidR="004E13A5" w:rsidRDefault="00681463">
      <w:pPr>
        <w:pStyle w:val="BodyText"/>
        <w:spacing w:before="10"/>
        <w:ind w:left="820" w:right="189"/>
      </w:pPr>
      <w:r>
        <w:t>The PHA will determine if a family has committed serious or repeated violations of the lease based on available evidence, including but not limited to, a court-ordered eviction or an owner’s notice to evict, police reports, and affidavits from the owner, neighbors, or other credible parties with direct knowledge.</w:t>
      </w:r>
    </w:p>
    <w:p w:rsidR="00C65832" w:rsidRPr="00915107" w:rsidRDefault="00C65832" w:rsidP="00C65832">
      <w:pPr>
        <w:adjustRightInd w:val="0"/>
        <w:spacing w:before="120"/>
        <w:ind w:left="820"/>
      </w:pPr>
      <w:r w:rsidRPr="00B77B02">
        <w:rPr>
          <w:i/>
        </w:rPr>
        <w:t>Serious and repeated lease violations</w:t>
      </w:r>
      <w:r w:rsidRPr="00915107">
        <w:t xml:space="preserve"> will include, but not be limited to, nonpayment of rent, disturbance of neighbors, destruction of property, or living or housekeeping habits that cause damage to the unit or premises and criminal activity. Generally, the criteri</w:t>
      </w:r>
      <w:r>
        <w:t>on</w:t>
      </w:r>
      <w:r w:rsidRPr="00915107">
        <w:t xml:space="preserve"> to be used </w:t>
      </w:r>
      <w:r>
        <w:t>will be</w:t>
      </w:r>
      <w:r w:rsidRPr="00915107">
        <w:t xml:space="preserve"> whether </w:t>
      </w:r>
      <w:r>
        <w:t xml:space="preserve">or not </w:t>
      </w:r>
      <w:r w:rsidRPr="00915107">
        <w:t xml:space="preserve">the reason for the eviction was </w:t>
      </w:r>
      <w:r>
        <w:t>the</w:t>
      </w:r>
      <w:r w:rsidRPr="00915107">
        <w:t xml:space="preserve"> fault of the tenant or guests.</w:t>
      </w:r>
      <w:r w:rsidRPr="002A4B4E">
        <w:t xml:space="preserve"> Any incidents of, or criminal activity related to, domestic violence, dating violence, </w:t>
      </w:r>
      <w:r>
        <w:t xml:space="preserve">sexual assault, </w:t>
      </w:r>
      <w:r w:rsidRPr="002A4B4E">
        <w:t>stalking</w:t>
      </w:r>
      <w:r>
        <w:t>, or human trafficking</w:t>
      </w:r>
      <w:r w:rsidRPr="002A4B4E">
        <w:t xml:space="preserve"> will not be construed as serious or repeated lease violations by the victim</w:t>
      </w:r>
      <w:r w:rsidRPr="00D26108">
        <w:t xml:space="preserve"> [</w:t>
      </w:r>
      <w:r>
        <w:t xml:space="preserve">see </w:t>
      </w:r>
      <w:r w:rsidRPr="00D26108">
        <w:t>24 CFR 5.2005(c)(1)]</w:t>
      </w:r>
      <w:r w:rsidRPr="002A4B4E">
        <w:t>.</w:t>
      </w:r>
    </w:p>
    <w:p w:rsidR="004E13A5" w:rsidRDefault="00681463">
      <w:pPr>
        <w:pStyle w:val="BodyText"/>
        <w:tabs>
          <w:tab w:val="left" w:pos="460"/>
        </w:tabs>
        <w:ind w:left="460" w:right="261" w:hanging="360"/>
      </w:pPr>
      <w:r>
        <w:rPr>
          <w:rFonts w:ascii="Symbol" w:hAnsi="Symbol"/>
        </w:rPr>
        <w:t></w:t>
      </w:r>
      <w:r>
        <w:tab/>
        <w:t>The family must notify the PHA and the owner before moving out of the unit</w:t>
      </w:r>
      <w:r>
        <w:rPr>
          <w:spacing w:val="-15"/>
        </w:rPr>
        <w:t xml:space="preserve"> </w:t>
      </w:r>
      <w:r>
        <w:t>or terminating the</w:t>
      </w:r>
      <w:r>
        <w:rPr>
          <w:spacing w:val="-4"/>
        </w:rPr>
        <w:t xml:space="preserve"> </w:t>
      </w:r>
      <w:r>
        <w:t>lease.</w:t>
      </w:r>
    </w:p>
    <w:p w:rsidR="004E13A5" w:rsidRDefault="00681463">
      <w:pPr>
        <w:pStyle w:val="BodyText"/>
        <w:spacing w:before="120"/>
        <w:ind w:left="820"/>
      </w:pPr>
      <w:r>
        <w:rPr>
          <w:u w:val="single"/>
        </w:rPr>
        <w:t>PHA Policy</w:t>
      </w:r>
    </w:p>
    <w:p w:rsidR="004E13A5" w:rsidRDefault="00681463">
      <w:pPr>
        <w:pStyle w:val="BodyText"/>
        <w:spacing w:before="120"/>
        <w:ind w:left="820"/>
      </w:pPr>
      <w:r>
        <w:t>The family must comply with lease requirements regarding written notice to the owner. The family must provide written notice to the PHA at the same time the owner is notified.</w:t>
      </w:r>
    </w:p>
    <w:p w:rsidR="004E13A5" w:rsidRDefault="00681463">
      <w:pPr>
        <w:pStyle w:val="BodyText"/>
        <w:tabs>
          <w:tab w:val="left" w:pos="460"/>
        </w:tabs>
      </w:pPr>
      <w:r>
        <w:rPr>
          <w:rFonts w:ascii="Symbol" w:hAnsi="Symbol"/>
        </w:rPr>
        <w:t></w:t>
      </w:r>
      <w:r>
        <w:tab/>
        <w:t>The family must promptly give the PHA a copy of any owner eviction</w:t>
      </w:r>
      <w:r>
        <w:rPr>
          <w:spacing w:val="-13"/>
        </w:rPr>
        <w:t xml:space="preserve"> </w:t>
      </w:r>
      <w:r>
        <w:t>notice.</w:t>
      </w:r>
    </w:p>
    <w:p w:rsidR="004E13A5" w:rsidRDefault="004E13A5">
      <w:pPr>
        <w:sectPr w:rsidR="004E13A5">
          <w:pgSz w:w="12240" w:h="15840"/>
          <w:pgMar w:top="1360" w:right="1340" w:bottom="640" w:left="1340" w:header="0" w:footer="441" w:gutter="0"/>
          <w:cols w:space="720"/>
        </w:sectPr>
      </w:pPr>
    </w:p>
    <w:p w:rsidR="004E13A5" w:rsidRDefault="00681463">
      <w:pPr>
        <w:pStyle w:val="BodyText"/>
        <w:tabs>
          <w:tab w:val="left" w:pos="460"/>
        </w:tabs>
        <w:spacing w:before="79"/>
        <w:ind w:left="460" w:right="799" w:hanging="360"/>
      </w:pPr>
      <w:r>
        <w:rPr>
          <w:rFonts w:ascii="Symbol" w:hAnsi="Symbol"/>
        </w:rPr>
        <w:lastRenderedPageBreak/>
        <w:t></w:t>
      </w:r>
      <w:r>
        <w:tab/>
        <w:t>The family must use the assisted unit for residence by the family. The unit must</w:t>
      </w:r>
      <w:r>
        <w:rPr>
          <w:spacing w:val="-10"/>
        </w:rPr>
        <w:t xml:space="preserve"> </w:t>
      </w:r>
      <w:r>
        <w:t>be</w:t>
      </w:r>
      <w:r>
        <w:rPr>
          <w:spacing w:val="-1"/>
        </w:rPr>
        <w:t xml:space="preserve"> </w:t>
      </w:r>
      <w:r>
        <w:t>the family’s only</w:t>
      </w:r>
      <w:r>
        <w:rPr>
          <w:spacing w:val="-7"/>
        </w:rPr>
        <w:t xml:space="preserve"> </w:t>
      </w:r>
      <w:r>
        <w:t>residence.</w:t>
      </w:r>
    </w:p>
    <w:p w:rsidR="004E13A5" w:rsidRDefault="00681463">
      <w:pPr>
        <w:pStyle w:val="BodyText"/>
        <w:tabs>
          <w:tab w:val="left" w:pos="460"/>
        </w:tabs>
        <w:ind w:left="460" w:right="192" w:hanging="360"/>
      </w:pPr>
      <w:r>
        <w:rPr>
          <w:rFonts w:ascii="Symbol" w:hAnsi="Symbol"/>
        </w:rPr>
        <w:t></w:t>
      </w:r>
      <w:r>
        <w:tab/>
        <w:t>The composition of the assisted family residing in the unit must be approved by</w:t>
      </w:r>
      <w:r>
        <w:rPr>
          <w:spacing w:val="-15"/>
        </w:rPr>
        <w:t xml:space="preserve"> </w:t>
      </w:r>
      <w:r>
        <w:t>the PHA.</w:t>
      </w:r>
      <w:r>
        <w:rPr>
          <w:w w:val="99"/>
        </w:rPr>
        <w:t xml:space="preserve"> </w:t>
      </w:r>
      <w:r>
        <w:t>The family must promptly notify the PHA in writing of the birth, adoption, or court-awarded custody of a child. The family must request PHA approval to add any other family member as an occupant of the</w:t>
      </w:r>
      <w:r>
        <w:rPr>
          <w:spacing w:val="-3"/>
        </w:rPr>
        <w:t xml:space="preserve"> </w:t>
      </w:r>
      <w:r>
        <w:t>unit.</w:t>
      </w:r>
    </w:p>
    <w:p w:rsidR="004E13A5" w:rsidRDefault="004E13A5">
      <w:pPr>
        <w:pStyle w:val="BodyText"/>
        <w:spacing w:before="0"/>
        <w:ind w:left="0"/>
        <w:rPr>
          <w:sz w:val="26"/>
        </w:rPr>
      </w:pPr>
    </w:p>
    <w:p w:rsidR="004E13A5" w:rsidRDefault="00681463">
      <w:pPr>
        <w:pStyle w:val="BodyText"/>
        <w:spacing w:before="216"/>
        <w:ind w:left="820"/>
      </w:pPr>
      <w:r>
        <w:rPr>
          <w:u w:val="single"/>
        </w:rPr>
        <w:t>PHA Policy</w:t>
      </w:r>
    </w:p>
    <w:p w:rsidR="004E13A5" w:rsidRDefault="00681463">
      <w:pPr>
        <w:pStyle w:val="BodyText"/>
        <w:ind w:left="820" w:right="309"/>
        <w:jc w:val="both"/>
      </w:pPr>
      <w:r>
        <w:t>The request to add a family member must be submitted in writing and approved prior</w:t>
      </w:r>
      <w:r>
        <w:rPr>
          <w:spacing w:val="-13"/>
        </w:rPr>
        <w:t xml:space="preserve"> </w:t>
      </w:r>
      <w:r>
        <w:t>to the person moving into the unit. The PHA will determine eligibility of the new member in accordance with the policies in Chapter</w:t>
      </w:r>
      <w:r>
        <w:rPr>
          <w:spacing w:val="-8"/>
        </w:rPr>
        <w:t xml:space="preserve"> </w:t>
      </w:r>
      <w:r>
        <w:t>3.</w:t>
      </w:r>
    </w:p>
    <w:p w:rsidR="004E13A5" w:rsidRDefault="00681463">
      <w:pPr>
        <w:pStyle w:val="BodyText"/>
        <w:tabs>
          <w:tab w:val="left" w:pos="460"/>
        </w:tabs>
        <w:ind w:left="460" w:right="169" w:hanging="360"/>
      </w:pPr>
      <w:r>
        <w:rPr>
          <w:rFonts w:ascii="Symbol" w:hAnsi="Symbol"/>
        </w:rPr>
        <w:t></w:t>
      </w:r>
      <w:r>
        <w:tab/>
        <w:t>The family must promptly notify the PHA in writing if any family member no longer</w:t>
      </w:r>
      <w:r>
        <w:rPr>
          <w:spacing w:val="-18"/>
        </w:rPr>
        <w:t xml:space="preserve"> </w:t>
      </w:r>
      <w:r>
        <w:t>lives in the unit.</w:t>
      </w:r>
    </w:p>
    <w:p w:rsidR="004E13A5" w:rsidRDefault="00681463">
      <w:pPr>
        <w:pStyle w:val="BodyText"/>
        <w:tabs>
          <w:tab w:val="left" w:pos="460"/>
        </w:tabs>
        <w:ind w:left="460" w:right="166" w:hanging="360"/>
      </w:pPr>
      <w:r>
        <w:rPr>
          <w:rFonts w:ascii="Symbol" w:hAnsi="Symbol"/>
        </w:rPr>
        <w:t></w:t>
      </w:r>
      <w:r>
        <w:tab/>
        <w:t>If the PHA has given approval, a foster child or a live-in aide may reside in the</w:t>
      </w:r>
      <w:r>
        <w:rPr>
          <w:spacing w:val="-7"/>
        </w:rPr>
        <w:t xml:space="preserve"> </w:t>
      </w:r>
      <w:r>
        <w:t>unit.</w:t>
      </w:r>
      <w:r>
        <w:rPr>
          <w:spacing w:val="-1"/>
        </w:rPr>
        <w:t xml:space="preserve"> </w:t>
      </w:r>
      <w:r>
        <w:t>The PHA has the discretion to adopt reasonable policies concerning residency by a foster child or a live-in aide, and to define when PHA consent may be given or denied. For policies related to the request and approval/disapproval of foster children, foster adults, and live-in aides, see Chapter 3 (sections I.K and I.M), and Chapter 11 (section</w:t>
      </w:r>
      <w:r>
        <w:rPr>
          <w:spacing w:val="-15"/>
        </w:rPr>
        <w:t xml:space="preserve"> </w:t>
      </w:r>
      <w:r>
        <w:t>II.B).</w:t>
      </w:r>
    </w:p>
    <w:p w:rsidR="004E13A5" w:rsidRDefault="00681463">
      <w:pPr>
        <w:pStyle w:val="BodyText"/>
        <w:tabs>
          <w:tab w:val="left" w:pos="460"/>
        </w:tabs>
        <w:spacing w:line="338" w:lineRule="auto"/>
        <w:ind w:left="820" w:right="1914" w:hanging="720"/>
      </w:pPr>
      <w:r>
        <w:rPr>
          <w:rFonts w:ascii="Symbol" w:hAnsi="Symbol"/>
        </w:rPr>
        <w:t></w:t>
      </w:r>
      <w:r>
        <w:tab/>
        <w:t>The family must not sublease the unit, assign the lease, or transfer</w:t>
      </w:r>
      <w:r>
        <w:rPr>
          <w:spacing w:val="-9"/>
        </w:rPr>
        <w:t xml:space="preserve"> </w:t>
      </w:r>
      <w:r>
        <w:t>the</w:t>
      </w:r>
      <w:r>
        <w:rPr>
          <w:spacing w:val="-3"/>
        </w:rPr>
        <w:t xml:space="preserve"> </w:t>
      </w:r>
      <w:r>
        <w:t xml:space="preserve">unit. </w:t>
      </w:r>
      <w:r>
        <w:rPr>
          <w:u w:val="single"/>
        </w:rPr>
        <w:t>PHA</w:t>
      </w:r>
      <w:r>
        <w:rPr>
          <w:spacing w:val="-1"/>
          <w:u w:val="single"/>
        </w:rPr>
        <w:t xml:space="preserve"> </w:t>
      </w:r>
      <w:r>
        <w:rPr>
          <w:u w:val="single"/>
        </w:rPr>
        <w:t>Policy</w:t>
      </w:r>
    </w:p>
    <w:p w:rsidR="004E13A5" w:rsidRDefault="00681463">
      <w:pPr>
        <w:pStyle w:val="BodyText"/>
        <w:spacing w:before="10"/>
        <w:ind w:left="820" w:right="81"/>
      </w:pPr>
      <w:r>
        <w:t>Subleasing includes receiving payment to cover rent and utility costs by a person living in the unit who is not listed as a family member.</w:t>
      </w:r>
    </w:p>
    <w:p w:rsidR="004E13A5" w:rsidRDefault="00681463">
      <w:pPr>
        <w:pStyle w:val="BodyText"/>
        <w:tabs>
          <w:tab w:val="left" w:pos="460"/>
        </w:tabs>
        <w:ind w:left="460" w:right="486" w:hanging="360"/>
      </w:pPr>
      <w:r>
        <w:rPr>
          <w:rFonts w:ascii="Symbol" w:hAnsi="Symbol"/>
        </w:rPr>
        <w:t></w:t>
      </w:r>
      <w:r>
        <w:tab/>
        <w:t>The family must supply any information requested by the PHA to verify that the</w:t>
      </w:r>
      <w:r>
        <w:rPr>
          <w:spacing w:val="-15"/>
        </w:rPr>
        <w:t xml:space="preserve"> </w:t>
      </w:r>
      <w:r>
        <w:t>family</w:t>
      </w:r>
      <w:r>
        <w:rPr>
          <w:spacing w:val="-5"/>
        </w:rPr>
        <w:t xml:space="preserve"> </w:t>
      </w:r>
      <w:r>
        <w:t>is</w:t>
      </w:r>
      <w:r>
        <w:rPr>
          <w:w w:val="99"/>
        </w:rPr>
        <w:t xml:space="preserve"> </w:t>
      </w:r>
      <w:r>
        <w:t>living in the unit or information related to family absence from the</w:t>
      </w:r>
      <w:r>
        <w:rPr>
          <w:spacing w:val="-12"/>
        </w:rPr>
        <w:t xml:space="preserve"> </w:t>
      </w:r>
      <w:r>
        <w:t>unit.</w:t>
      </w:r>
    </w:p>
    <w:p w:rsidR="004E13A5" w:rsidRDefault="00681463">
      <w:pPr>
        <w:pStyle w:val="BodyText"/>
        <w:tabs>
          <w:tab w:val="left" w:pos="460"/>
        </w:tabs>
        <w:spacing w:line="338" w:lineRule="auto"/>
        <w:ind w:left="820" w:right="1159" w:hanging="720"/>
      </w:pPr>
      <w:r>
        <w:rPr>
          <w:rFonts w:ascii="Symbol" w:hAnsi="Symbol"/>
        </w:rPr>
        <w:t></w:t>
      </w:r>
      <w:r>
        <w:tab/>
        <w:t>The family must promptly notify the PHA when the family is absent from</w:t>
      </w:r>
      <w:r>
        <w:rPr>
          <w:spacing w:val="-12"/>
        </w:rPr>
        <w:t xml:space="preserve"> </w:t>
      </w:r>
      <w:r>
        <w:t xml:space="preserve">the unit. </w:t>
      </w:r>
      <w:r>
        <w:rPr>
          <w:u w:val="single"/>
        </w:rPr>
        <w:t>PHA</w:t>
      </w:r>
      <w:r>
        <w:rPr>
          <w:spacing w:val="-1"/>
          <w:u w:val="single"/>
        </w:rPr>
        <w:t xml:space="preserve"> </w:t>
      </w:r>
      <w:r>
        <w:rPr>
          <w:u w:val="single"/>
        </w:rPr>
        <w:t>Policy</w:t>
      </w:r>
    </w:p>
    <w:p w:rsidR="004E13A5" w:rsidRDefault="00681463">
      <w:pPr>
        <w:pStyle w:val="BodyText"/>
        <w:spacing w:before="10"/>
        <w:ind w:left="820" w:right="82"/>
      </w:pPr>
      <w:r>
        <w:t>Notice is required under this provision only when all family members will be absent from the unit for an extended period. An extended period is defined as any period greater than 30 calendar days. Written notice must be provided to the PHA at the start of the extended absence.</w:t>
      </w:r>
    </w:p>
    <w:p w:rsidR="004E13A5" w:rsidRDefault="00681463">
      <w:pPr>
        <w:pStyle w:val="BodyText"/>
        <w:tabs>
          <w:tab w:val="left" w:pos="460"/>
        </w:tabs>
        <w:ind w:left="460" w:right="364" w:hanging="360"/>
      </w:pPr>
      <w:r>
        <w:rPr>
          <w:rFonts w:ascii="Symbol" w:hAnsi="Symbol"/>
        </w:rPr>
        <w:t></w:t>
      </w:r>
      <w:r>
        <w:tab/>
        <w:t>The family must pay utility bills and provide and maintain any appliances that the</w:t>
      </w:r>
      <w:r>
        <w:rPr>
          <w:spacing w:val="-19"/>
        </w:rPr>
        <w:t xml:space="preserve"> </w:t>
      </w:r>
      <w:r>
        <w:t>owner is</w:t>
      </w:r>
      <w:r>
        <w:rPr>
          <w:w w:val="99"/>
        </w:rPr>
        <w:t xml:space="preserve"> </w:t>
      </w:r>
      <w:r>
        <w:t>not required to provide under the lease [Form HUD-52646,</w:t>
      </w:r>
      <w:r>
        <w:rPr>
          <w:spacing w:val="-10"/>
        </w:rPr>
        <w:t xml:space="preserve"> </w:t>
      </w:r>
      <w:r>
        <w:t>Voucher].</w:t>
      </w:r>
    </w:p>
    <w:p w:rsidR="004E13A5" w:rsidRDefault="00681463">
      <w:pPr>
        <w:pStyle w:val="BodyText"/>
        <w:tabs>
          <w:tab w:val="left" w:pos="460"/>
        </w:tabs>
        <w:ind w:left="460" w:right="531" w:hanging="360"/>
      </w:pPr>
      <w:r>
        <w:rPr>
          <w:rFonts w:ascii="Symbol" w:hAnsi="Symbol"/>
        </w:rPr>
        <w:t></w:t>
      </w:r>
      <w:r>
        <w:tab/>
        <w:t>The family must not own or have any interest in the unit, (other than in a</w:t>
      </w:r>
      <w:r>
        <w:rPr>
          <w:spacing w:val="-14"/>
        </w:rPr>
        <w:t xml:space="preserve"> </w:t>
      </w:r>
      <w:r>
        <w:t>cooperative</w:t>
      </w:r>
      <w:r>
        <w:rPr>
          <w:spacing w:val="-2"/>
        </w:rPr>
        <w:t xml:space="preserve"> </w:t>
      </w:r>
      <w:r>
        <w:t>and owners of a manufactured home leasing a manufactured home</w:t>
      </w:r>
      <w:r>
        <w:rPr>
          <w:spacing w:val="-12"/>
        </w:rPr>
        <w:t xml:space="preserve"> </w:t>
      </w:r>
      <w:r>
        <w:t>space).</w:t>
      </w:r>
    </w:p>
    <w:p w:rsidR="004E13A5" w:rsidRDefault="00681463">
      <w:pPr>
        <w:pStyle w:val="BodyText"/>
        <w:tabs>
          <w:tab w:val="left" w:pos="460"/>
        </w:tabs>
        <w:ind w:left="460" w:right="143" w:hanging="360"/>
      </w:pPr>
      <w:r>
        <w:rPr>
          <w:rFonts w:ascii="Symbol" w:hAnsi="Symbol"/>
        </w:rPr>
        <w:t></w:t>
      </w:r>
      <w:r>
        <w:tab/>
        <w:t>Family members must not commit fraud, bribery, or any other corrupt or criminal</w:t>
      </w:r>
      <w:r>
        <w:rPr>
          <w:spacing w:val="-18"/>
        </w:rPr>
        <w:t xml:space="preserve"> </w:t>
      </w:r>
      <w:r>
        <w:t>act</w:t>
      </w:r>
      <w:r>
        <w:rPr>
          <w:spacing w:val="4"/>
        </w:rPr>
        <w:t xml:space="preserve"> </w:t>
      </w:r>
      <w:r>
        <w:t>in connection with the program. (See Chapter 14, Program Integrity for additional</w:t>
      </w:r>
      <w:r>
        <w:rPr>
          <w:spacing w:val="-19"/>
        </w:rPr>
        <w:t xml:space="preserve"> </w:t>
      </w:r>
      <w:r>
        <w:t>information).</w:t>
      </w:r>
    </w:p>
    <w:p w:rsidR="004E13A5" w:rsidRDefault="00681463">
      <w:pPr>
        <w:pStyle w:val="BodyText"/>
        <w:tabs>
          <w:tab w:val="left" w:pos="460"/>
        </w:tabs>
        <w:ind w:left="460" w:right="99" w:hanging="360"/>
      </w:pPr>
      <w:r>
        <w:rPr>
          <w:rFonts w:ascii="Symbol" w:hAnsi="Symbol"/>
        </w:rPr>
        <w:t></w:t>
      </w:r>
      <w:r>
        <w:tab/>
        <w:t>Family members must not engage in drug-related criminal activity or violent</w:t>
      </w:r>
      <w:r>
        <w:rPr>
          <w:spacing w:val="-15"/>
        </w:rPr>
        <w:t xml:space="preserve"> </w:t>
      </w:r>
      <w:r>
        <w:t>criminal</w:t>
      </w:r>
      <w:r>
        <w:rPr>
          <w:spacing w:val="-1"/>
        </w:rPr>
        <w:t xml:space="preserve"> </w:t>
      </w:r>
      <w:r>
        <w:t>activity or other criminal activity that threatens the health, safety or right to peaceful enjoyment of other residents and persons residing in the immediate vicinity of the premises. See Chapter 12 for HUD and PHA policies related to drug-related and violent criminal</w:t>
      </w:r>
      <w:r>
        <w:rPr>
          <w:spacing w:val="-14"/>
        </w:rPr>
        <w:t xml:space="preserve"> </w:t>
      </w:r>
      <w:r>
        <w:t>activity.</w:t>
      </w:r>
    </w:p>
    <w:p w:rsidR="004E13A5" w:rsidRDefault="004E13A5">
      <w:pPr>
        <w:sectPr w:rsidR="004E13A5">
          <w:pgSz w:w="12240" w:h="15840"/>
          <w:pgMar w:top="1360" w:right="1340" w:bottom="640" w:left="1340" w:header="0" w:footer="441" w:gutter="0"/>
          <w:cols w:space="720"/>
        </w:sectPr>
      </w:pPr>
    </w:p>
    <w:p w:rsidR="004E13A5" w:rsidRDefault="00681463">
      <w:pPr>
        <w:pStyle w:val="BodyText"/>
        <w:tabs>
          <w:tab w:val="left" w:pos="460"/>
        </w:tabs>
        <w:spacing w:before="79"/>
        <w:ind w:left="460" w:right="105" w:hanging="360"/>
      </w:pPr>
      <w:r>
        <w:rPr>
          <w:rFonts w:ascii="Symbol" w:hAnsi="Symbol"/>
        </w:rPr>
        <w:lastRenderedPageBreak/>
        <w:t></w:t>
      </w:r>
      <w:r>
        <w:tab/>
        <w:t>Members of the household must not engage in abuse of alcohol in a way that</w:t>
      </w:r>
      <w:r>
        <w:rPr>
          <w:spacing w:val="-11"/>
        </w:rPr>
        <w:t xml:space="preserve"> </w:t>
      </w:r>
      <w:r>
        <w:t>threatens</w:t>
      </w:r>
      <w:r>
        <w:rPr>
          <w:spacing w:val="-2"/>
        </w:rPr>
        <w:t xml:space="preserve"> </w:t>
      </w:r>
      <w:r>
        <w:t>the health, safety or right to peaceful enjoyment of the other residents and persons residing in</w:t>
      </w:r>
      <w:r>
        <w:rPr>
          <w:spacing w:val="-19"/>
        </w:rPr>
        <w:t xml:space="preserve"> </w:t>
      </w:r>
      <w:r>
        <w:t>the immediate vicinity of the premises. See Chapter 12 for a discussion of HUD and PHA policies related to alcohol</w:t>
      </w:r>
      <w:r>
        <w:rPr>
          <w:spacing w:val="-5"/>
        </w:rPr>
        <w:t xml:space="preserve"> </w:t>
      </w:r>
      <w:r>
        <w:t>abuse.</w:t>
      </w:r>
    </w:p>
    <w:p w:rsidR="004E13A5" w:rsidRDefault="00681463">
      <w:pPr>
        <w:pStyle w:val="BodyText"/>
        <w:tabs>
          <w:tab w:val="left" w:pos="460"/>
        </w:tabs>
        <w:ind w:left="460" w:right="168" w:hanging="360"/>
      </w:pPr>
      <w:r>
        <w:rPr>
          <w:rFonts w:ascii="Symbol" w:hAnsi="Symbol"/>
        </w:rPr>
        <w:t></w:t>
      </w:r>
      <w:r>
        <w:tab/>
        <w:t>An assisted family or member of the family must not receive HCV program</w:t>
      </w:r>
      <w:r>
        <w:rPr>
          <w:spacing w:val="-14"/>
        </w:rPr>
        <w:t xml:space="preserve"> </w:t>
      </w:r>
      <w:r>
        <w:t>assistance</w:t>
      </w:r>
      <w:r>
        <w:rPr>
          <w:spacing w:val="-2"/>
        </w:rPr>
        <w:t xml:space="preserve"> </w:t>
      </w:r>
      <w:r>
        <w:t>while receiving another housing subsidy, for the same unit or a different unit under any other federal, state or local housing assistance</w:t>
      </w:r>
      <w:r>
        <w:rPr>
          <w:spacing w:val="-9"/>
        </w:rPr>
        <w:t xml:space="preserve"> </w:t>
      </w:r>
      <w:r>
        <w:t>program.</w:t>
      </w:r>
    </w:p>
    <w:p w:rsidR="004E13A5" w:rsidRDefault="00681463">
      <w:pPr>
        <w:pStyle w:val="BodyText"/>
        <w:tabs>
          <w:tab w:val="left" w:pos="460"/>
        </w:tabs>
        <w:ind w:left="460" w:right="277" w:hanging="360"/>
      </w:pPr>
      <w:r>
        <w:rPr>
          <w:rFonts w:ascii="Symbol" w:hAnsi="Symbol"/>
        </w:rPr>
        <w:t></w:t>
      </w:r>
      <w:r>
        <w:tab/>
        <w:t>A family must not receive HCV program assistance while residing in a unit owned</w:t>
      </w:r>
      <w:r>
        <w:rPr>
          <w:spacing w:val="-10"/>
        </w:rPr>
        <w:t xml:space="preserve"> </w:t>
      </w:r>
      <w:r>
        <w:t>by</w:t>
      </w:r>
      <w:r>
        <w:rPr>
          <w:spacing w:val="-4"/>
        </w:rPr>
        <w:t xml:space="preserve"> </w:t>
      </w:r>
      <w:r>
        <w:t>a parent, child, grandparent, grandchild, sister or brother of any member of the family,</w:t>
      </w:r>
      <w:r>
        <w:rPr>
          <w:spacing w:val="-16"/>
        </w:rPr>
        <w:t xml:space="preserve"> </w:t>
      </w:r>
      <w:r>
        <w:t>unless the PHA has determined (and has notified the owner and the family of such determination) that approving rental of the unit, notwithstanding such relationship, would provide reasonable accommodation for a family member who is a person with disabilities. [Form HUD-52646,</w:t>
      </w:r>
      <w:r>
        <w:rPr>
          <w:spacing w:val="-6"/>
        </w:rPr>
        <w:t xml:space="preserve"> </w:t>
      </w:r>
      <w:r>
        <w:t>Voucher]</w:t>
      </w:r>
    </w:p>
    <w:p w:rsidR="004E13A5" w:rsidRDefault="00681463">
      <w:pPr>
        <w:pStyle w:val="Heading4"/>
        <w:spacing w:before="6" w:line="510" w:lineRule="atLeast"/>
        <w:ind w:right="1366" w:firstLine="1305"/>
      </w:pPr>
      <w:r>
        <w:t>PART II: SUBSIDY STANDARDS AND VOUCHER ISSUANCE 5-II.A. OVERVIEW</w:t>
      </w:r>
    </w:p>
    <w:p w:rsidR="004E13A5" w:rsidRDefault="00681463">
      <w:pPr>
        <w:pStyle w:val="BodyText"/>
        <w:spacing w:before="120"/>
        <w:ind w:right="109"/>
      </w:pPr>
      <w:r>
        <w:t>The PHA must establish subsidy standards that determine the number of bedrooms needed for families of different sizes and compositions. This part presents the policies that will be used to determine the family unit size (also known as the voucher size) a particular family should receive, and the policies that govern making exceptions to those standards. The PHA must also establish policies related to the issuance of the voucher, to the voucher term, and to any extensions of the voucher term.</w:t>
      </w:r>
    </w:p>
    <w:p w:rsidR="004E13A5" w:rsidRDefault="004E13A5">
      <w:pPr>
        <w:pStyle w:val="BodyText"/>
        <w:spacing w:before="10"/>
        <w:ind w:left="0"/>
        <w:rPr>
          <w:sz w:val="20"/>
        </w:rPr>
      </w:pPr>
    </w:p>
    <w:p w:rsidR="004E13A5" w:rsidRDefault="00681463">
      <w:pPr>
        <w:pStyle w:val="Heading4"/>
      </w:pPr>
      <w:r>
        <w:t>5-II.B. DETERMINING FAMILY UNIT (VOUCHER) SIZE [24 CFR 982.402]</w:t>
      </w:r>
    </w:p>
    <w:p w:rsidR="004E13A5" w:rsidRDefault="00681463">
      <w:pPr>
        <w:pStyle w:val="BodyText"/>
        <w:ind w:right="188"/>
      </w:pPr>
      <w:r>
        <w:t>For each family, the PHA determines the appropriate number of bedrooms under the PHA subsidy standards and enters the family unit size on the voucher that is issued to the family. The family unit size does not dictate the size of unit the family must actually lease, nor does it determine who within a household will share a bedroom/sleeping room.</w:t>
      </w:r>
    </w:p>
    <w:p w:rsidR="004E13A5" w:rsidRDefault="00681463">
      <w:pPr>
        <w:pStyle w:val="BodyText"/>
      </w:pPr>
      <w:r>
        <w:t>The following requirements apply when the PHA determines family unit size:</w:t>
      </w:r>
    </w:p>
    <w:p w:rsidR="004E13A5" w:rsidRDefault="00681463">
      <w:pPr>
        <w:pStyle w:val="BodyText"/>
        <w:tabs>
          <w:tab w:val="left" w:pos="460"/>
        </w:tabs>
        <w:ind w:left="460" w:right="231" w:hanging="360"/>
      </w:pPr>
      <w:r>
        <w:rPr>
          <w:rFonts w:ascii="Symbol" w:hAnsi="Symbol"/>
        </w:rPr>
        <w:t></w:t>
      </w:r>
      <w:r>
        <w:tab/>
        <w:t>The subsidy standards must provide for the smallest number of bedrooms needed to</w:t>
      </w:r>
      <w:r>
        <w:rPr>
          <w:spacing w:val="-8"/>
        </w:rPr>
        <w:t xml:space="preserve"> </w:t>
      </w:r>
      <w:r>
        <w:t>house</w:t>
      </w:r>
      <w:r>
        <w:rPr>
          <w:spacing w:val="1"/>
        </w:rPr>
        <w:t xml:space="preserve"> </w:t>
      </w:r>
      <w:r>
        <w:t>a family without</w:t>
      </w:r>
      <w:r>
        <w:rPr>
          <w:spacing w:val="-9"/>
        </w:rPr>
        <w:t xml:space="preserve"> </w:t>
      </w:r>
      <w:r>
        <w:t>overcrowding.</w:t>
      </w:r>
    </w:p>
    <w:p w:rsidR="004E13A5" w:rsidRDefault="00681463">
      <w:pPr>
        <w:pStyle w:val="BodyText"/>
        <w:tabs>
          <w:tab w:val="left" w:pos="460"/>
        </w:tabs>
        <w:ind w:left="460" w:right="192" w:hanging="360"/>
      </w:pPr>
      <w:r>
        <w:rPr>
          <w:rFonts w:ascii="Symbol" w:hAnsi="Symbol"/>
        </w:rPr>
        <w:t></w:t>
      </w:r>
      <w:r>
        <w:tab/>
        <w:t>The subsidy standards must be consistent with space requirements under the</w:t>
      </w:r>
      <w:r>
        <w:rPr>
          <w:spacing w:val="-9"/>
        </w:rPr>
        <w:t xml:space="preserve"> </w:t>
      </w:r>
      <w:r>
        <w:t>housing</w:t>
      </w:r>
      <w:r>
        <w:rPr>
          <w:spacing w:val="-3"/>
        </w:rPr>
        <w:t xml:space="preserve"> </w:t>
      </w:r>
      <w:r>
        <w:t>quality standards.</w:t>
      </w:r>
    </w:p>
    <w:p w:rsidR="004E13A5" w:rsidRDefault="00681463">
      <w:pPr>
        <w:pStyle w:val="BodyText"/>
        <w:tabs>
          <w:tab w:val="left" w:pos="460"/>
        </w:tabs>
        <w:ind w:left="460" w:right="1147" w:hanging="360"/>
      </w:pPr>
      <w:r>
        <w:rPr>
          <w:rFonts w:ascii="Symbol" w:hAnsi="Symbol"/>
        </w:rPr>
        <w:t></w:t>
      </w:r>
      <w:r>
        <w:tab/>
        <w:t>The subsidy standards must be applied consistently for all families of like</w:t>
      </w:r>
      <w:r>
        <w:rPr>
          <w:spacing w:val="-11"/>
        </w:rPr>
        <w:t xml:space="preserve"> </w:t>
      </w:r>
      <w:r>
        <w:t>size</w:t>
      </w:r>
      <w:r>
        <w:rPr>
          <w:spacing w:val="-2"/>
        </w:rPr>
        <w:t xml:space="preserve"> </w:t>
      </w:r>
      <w:r>
        <w:t>and composition.</w:t>
      </w:r>
    </w:p>
    <w:p w:rsidR="004E13A5" w:rsidRDefault="00681463">
      <w:pPr>
        <w:pStyle w:val="BodyText"/>
        <w:tabs>
          <w:tab w:val="left" w:pos="460"/>
        </w:tabs>
        <w:ind w:left="460" w:right="776" w:hanging="360"/>
      </w:pPr>
      <w:r>
        <w:rPr>
          <w:rFonts w:ascii="Symbol" w:hAnsi="Symbol"/>
        </w:rPr>
        <w:t></w:t>
      </w:r>
      <w:r>
        <w:tab/>
        <w:t>A child who is temporarily away from the home because of placement in foster</w:t>
      </w:r>
      <w:r>
        <w:rPr>
          <w:spacing w:val="-15"/>
        </w:rPr>
        <w:t xml:space="preserve"> </w:t>
      </w:r>
      <w:r>
        <w:t>care</w:t>
      </w:r>
      <w:r>
        <w:rPr>
          <w:spacing w:val="-1"/>
        </w:rPr>
        <w:t xml:space="preserve"> </w:t>
      </w:r>
      <w:r>
        <w:t>is</w:t>
      </w:r>
      <w:r>
        <w:rPr>
          <w:w w:val="99"/>
        </w:rPr>
        <w:t xml:space="preserve"> </w:t>
      </w:r>
      <w:r>
        <w:t>considered a member of the family in determining the family unit</w:t>
      </w:r>
      <w:r>
        <w:rPr>
          <w:spacing w:val="-16"/>
        </w:rPr>
        <w:t xml:space="preserve"> </w:t>
      </w:r>
      <w:r>
        <w:t>size.</w:t>
      </w:r>
    </w:p>
    <w:p w:rsidR="004E13A5" w:rsidRDefault="00681463">
      <w:pPr>
        <w:pStyle w:val="BodyText"/>
        <w:tabs>
          <w:tab w:val="left" w:pos="460"/>
        </w:tabs>
        <w:ind w:left="460" w:right="120" w:hanging="360"/>
      </w:pPr>
      <w:r>
        <w:rPr>
          <w:rFonts w:ascii="Symbol" w:hAnsi="Symbol"/>
        </w:rPr>
        <w:t></w:t>
      </w:r>
      <w:r>
        <w:tab/>
        <w:t>A family that consists of a pregnant woman (with no other persons) must be treated as</w:t>
      </w:r>
      <w:r>
        <w:rPr>
          <w:spacing w:val="-11"/>
        </w:rPr>
        <w:t xml:space="preserve"> </w:t>
      </w:r>
      <w:r>
        <w:t>a</w:t>
      </w:r>
      <w:r>
        <w:rPr>
          <w:spacing w:val="-2"/>
        </w:rPr>
        <w:t xml:space="preserve"> </w:t>
      </w:r>
      <w:r>
        <w:t>two-</w:t>
      </w:r>
      <w:r>
        <w:rPr>
          <w:w w:val="99"/>
        </w:rPr>
        <w:t xml:space="preserve"> </w:t>
      </w:r>
      <w:r>
        <w:t>person</w:t>
      </w:r>
      <w:r>
        <w:rPr>
          <w:spacing w:val="-5"/>
        </w:rPr>
        <w:t xml:space="preserve"> </w:t>
      </w:r>
      <w:r>
        <w:t>family.</w:t>
      </w:r>
    </w:p>
    <w:p w:rsidR="004E13A5" w:rsidRDefault="00681463">
      <w:pPr>
        <w:pStyle w:val="BodyText"/>
        <w:tabs>
          <w:tab w:val="left" w:pos="460"/>
        </w:tabs>
        <w:ind w:left="460" w:right="144" w:hanging="360"/>
      </w:pPr>
      <w:r>
        <w:rPr>
          <w:rFonts w:ascii="Symbol" w:hAnsi="Symbol"/>
        </w:rPr>
        <w:t></w:t>
      </w:r>
      <w:r>
        <w:tab/>
        <w:t>Any live-in aide (approved by the PHA to reside in the unit to care for a family</w:t>
      </w:r>
      <w:r>
        <w:rPr>
          <w:spacing w:val="-18"/>
        </w:rPr>
        <w:t xml:space="preserve"> </w:t>
      </w:r>
      <w:r>
        <w:t>member</w:t>
      </w:r>
      <w:r>
        <w:rPr>
          <w:spacing w:val="-2"/>
        </w:rPr>
        <w:t xml:space="preserve"> </w:t>
      </w:r>
      <w:r>
        <w:t>who is disabled or is at least 50 years of age) must be counted in determining the family unit</w:t>
      </w:r>
      <w:r>
        <w:rPr>
          <w:spacing w:val="-18"/>
        </w:rPr>
        <w:t xml:space="preserve"> </w:t>
      </w:r>
      <w:r>
        <w:t>size;</w:t>
      </w:r>
    </w:p>
    <w:p w:rsidR="004E13A5" w:rsidRDefault="004E13A5">
      <w:pPr>
        <w:sectPr w:rsidR="004E13A5">
          <w:pgSz w:w="12240" w:h="15840"/>
          <w:pgMar w:top="1360" w:right="1380" w:bottom="640" w:left="1340" w:header="0" w:footer="441" w:gutter="0"/>
          <w:cols w:space="720"/>
        </w:sectPr>
      </w:pPr>
    </w:p>
    <w:p w:rsidR="004E13A5" w:rsidRDefault="00681463">
      <w:pPr>
        <w:pStyle w:val="BodyText"/>
        <w:tabs>
          <w:tab w:val="left" w:pos="460"/>
        </w:tabs>
        <w:spacing w:before="79"/>
        <w:ind w:left="460" w:right="109" w:hanging="360"/>
      </w:pPr>
      <w:r>
        <w:rPr>
          <w:rFonts w:ascii="Symbol" w:hAnsi="Symbol"/>
        </w:rPr>
        <w:lastRenderedPageBreak/>
        <w:t></w:t>
      </w:r>
      <w:r>
        <w:tab/>
        <w:t>Unless a live-in-aide resides with a family, the family unit size for any family consisting</w:t>
      </w:r>
      <w:r>
        <w:rPr>
          <w:spacing w:val="-20"/>
        </w:rPr>
        <w:t xml:space="preserve"> </w:t>
      </w:r>
      <w:r>
        <w:t>of</w:t>
      </w:r>
      <w:r>
        <w:rPr>
          <w:spacing w:val="1"/>
        </w:rPr>
        <w:t xml:space="preserve"> </w:t>
      </w:r>
      <w:r>
        <w:t>a single person must be either a zero- or one-bedroom unit, as determined under the PHA subsidy</w:t>
      </w:r>
      <w:r>
        <w:rPr>
          <w:spacing w:val="-6"/>
        </w:rPr>
        <w:t xml:space="preserve"> </w:t>
      </w:r>
      <w:r>
        <w:t>standards.</w:t>
      </w:r>
    </w:p>
    <w:p w:rsidR="004E13A5" w:rsidRDefault="00681463">
      <w:pPr>
        <w:pStyle w:val="BodyText"/>
        <w:spacing w:before="120"/>
        <w:ind w:left="820"/>
      </w:pPr>
      <w:r>
        <w:rPr>
          <w:u w:val="single"/>
        </w:rPr>
        <w:t>PHA Policy</w:t>
      </w:r>
    </w:p>
    <w:p w:rsidR="004E13A5" w:rsidRDefault="00681463">
      <w:pPr>
        <w:pStyle w:val="BodyText"/>
        <w:spacing w:before="120"/>
        <w:ind w:left="820" w:right="195"/>
      </w:pPr>
      <w:r>
        <w:t>The PHA will assign one bedroom for each two persons within the household, except in the following circumstances:</w:t>
      </w:r>
    </w:p>
    <w:p w:rsidR="004E13A5" w:rsidRDefault="00681463">
      <w:pPr>
        <w:pStyle w:val="BodyText"/>
        <w:spacing w:before="120" w:line="343" w:lineRule="auto"/>
        <w:ind w:left="1540" w:right="881"/>
      </w:pPr>
      <w:r>
        <w:t>Persons of the opposite sex (other than spouses and children under age 5) Persons of different generations</w:t>
      </w:r>
    </w:p>
    <w:p w:rsidR="004E13A5" w:rsidRDefault="00681463">
      <w:pPr>
        <w:pStyle w:val="BodyText"/>
        <w:spacing w:before="6"/>
        <w:ind w:left="1540"/>
      </w:pPr>
      <w:r>
        <w:t>An unborn child will not be counted as a person in determining unit size.</w:t>
      </w:r>
    </w:p>
    <w:p w:rsidR="004E13A5" w:rsidRDefault="00681463">
      <w:pPr>
        <w:pStyle w:val="BodyText"/>
        <w:spacing w:before="120"/>
        <w:ind w:left="1540" w:right="215"/>
      </w:pPr>
      <w:r>
        <w:t>Live-in aides will be allocated a separate bedroom. No additional bedrooms will be provided for the live-in aide’s family.</w:t>
      </w:r>
    </w:p>
    <w:p w:rsidR="004E13A5" w:rsidRDefault="00681463">
      <w:pPr>
        <w:pStyle w:val="BodyText"/>
        <w:spacing w:before="120" w:line="343" w:lineRule="auto"/>
        <w:ind w:left="1540" w:right="928"/>
      </w:pPr>
      <w:r>
        <w:t>Single person families will be allocated a zero (studio) one bedroom. Foster children will be considered when determining unit size.</w:t>
      </w:r>
    </w:p>
    <w:p w:rsidR="004E13A5" w:rsidRDefault="00681463">
      <w:pPr>
        <w:pStyle w:val="BodyText"/>
        <w:spacing w:before="6"/>
        <w:ind w:left="1540"/>
      </w:pPr>
      <w:r>
        <w:t>Children away at school, but for whom the unit is considered the primary residence, and children temporarily placed outside the home, will be considered when determining unit size.</w:t>
      </w:r>
    </w:p>
    <w:p w:rsidR="004E13A5" w:rsidRDefault="00681463">
      <w:pPr>
        <w:pStyle w:val="BodyText"/>
        <w:spacing w:before="120"/>
        <w:ind w:left="1540" w:right="574"/>
      </w:pPr>
      <w:r>
        <w:t>Children who will live in the unit less than 50 percent of the time will not be considered when determining unit size. (Approved by Board 12/7/2021)</w:t>
      </w:r>
    </w:p>
    <w:p w:rsidR="004E13A5" w:rsidRDefault="00681463">
      <w:pPr>
        <w:pStyle w:val="BodyText"/>
        <w:spacing w:before="120"/>
        <w:ind w:left="820" w:right="216"/>
      </w:pPr>
      <w:r>
        <w:t>The PHA will reference the following chart in determining the appropriate voucher size for a family:</w:t>
      </w:r>
    </w:p>
    <w:p w:rsidR="004E13A5" w:rsidRDefault="004E13A5">
      <w:pPr>
        <w:pStyle w:val="BodyText"/>
        <w:spacing w:before="4"/>
        <w:ind w:left="0"/>
        <w:rPr>
          <w:sz w:val="11"/>
        </w:rPr>
      </w:pPr>
    </w:p>
    <w:tbl>
      <w:tblPr>
        <w:tblW w:w="0" w:type="auto"/>
        <w:tblInd w:w="14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3"/>
        <w:gridCol w:w="3194"/>
      </w:tblGrid>
      <w:tr w:rsidR="004E13A5">
        <w:trPr>
          <w:trHeight w:hRule="exact" w:val="271"/>
        </w:trPr>
        <w:tc>
          <w:tcPr>
            <w:tcW w:w="2333" w:type="dxa"/>
          </w:tcPr>
          <w:p w:rsidR="004E13A5" w:rsidRDefault="00681463">
            <w:pPr>
              <w:pStyle w:val="TableParagraph"/>
              <w:spacing w:line="266" w:lineRule="exact"/>
              <w:ind w:left="50"/>
              <w:rPr>
                <w:b/>
                <w:sz w:val="24"/>
              </w:rPr>
            </w:pPr>
            <w:r>
              <w:rPr>
                <w:b/>
                <w:sz w:val="24"/>
              </w:rPr>
              <w:t>Voucher Size</w:t>
            </w:r>
          </w:p>
        </w:tc>
        <w:tc>
          <w:tcPr>
            <w:tcW w:w="3194" w:type="dxa"/>
          </w:tcPr>
          <w:p w:rsidR="004E13A5" w:rsidRDefault="00681463">
            <w:pPr>
              <w:pStyle w:val="TableParagraph"/>
              <w:spacing w:line="266" w:lineRule="exact"/>
              <w:ind w:left="0" w:right="48"/>
              <w:jc w:val="right"/>
              <w:rPr>
                <w:b/>
                <w:sz w:val="24"/>
              </w:rPr>
            </w:pPr>
            <w:r>
              <w:rPr>
                <w:b/>
                <w:sz w:val="24"/>
              </w:rPr>
              <w:t>Persons in Household</w:t>
            </w:r>
          </w:p>
        </w:tc>
      </w:tr>
      <w:tr w:rsidR="004E13A5">
        <w:trPr>
          <w:trHeight w:hRule="exact" w:val="291"/>
        </w:trPr>
        <w:tc>
          <w:tcPr>
            <w:tcW w:w="2333" w:type="dxa"/>
          </w:tcPr>
          <w:p w:rsidR="004E13A5" w:rsidRDefault="004E13A5"/>
        </w:tc>
        <w:tc>
          <w:tcPr>
            <w:tcW w:w="3194" w:type="dxa"/>
          </w:tcPr>
          <w:p w:rsidR="004E13A5" w:rsidRDefault="00681463">
            <w:pPr>
              <w:pStyle w:val="TableParagraph"/>
              <w:spacing w:line="226" w:lineRule="exact"/>
              <w:ind w:left="0" w:right="119"/>
              <w:jc w:val="right"/>
              <w:rPr>
                <w:b/>
                <w:sz w:val="20"/>
              </w:rPr>
            </w:pPr>
            <w:r>
              <w:rPr>
                <w:b/>
                <w:sz w:val="20"/>
              </w:rPr>
              <w:t>(Minimum – Maximum)</w:t>
            </w:r>
          </w:p>
        </w:tc>
      </w:tr>
      <w:tr w:rsidR="004E13A5">
        <w:trPr>
          <w:trHeight w:hRule="exact" w:val="396"/>
        </w:trPr>
        <w:tc>
          <w:tcPr>
            <w:tcW w:w="2333" w:type="dxa"/>
          </w:tcPr>
          <w:p w:rsidR="004E13A5" w:rsidRDefault="00681463">
            <w:pPr>
              <w:pStyle w:val="TableParagraph"/>
              <w:spacing w:before="54"/>
              <w:ind w:left="50"/>
              <w:rPr>
                <w:sz w:val="24"/>
              </w:rPr>
            </w:pPr>
            <w:r>
              <w:rPr>
                <w:sz w:val="24"/>
              </w:rPr>
              <w:t>0 Bedroom</w:t>
            </w:r>
          </w:p>
        </w:tc>
        <w:tc>
          <w:tcPr>
            <w:tcW w:w="3194" w:type="dxa"/>
          </w:tcPr>
          <w:p w:rsidR="004E13A5" w:rsidRDefault="00681463">
            <w:pPr>
              <w:pStyle w:val="TableParagraph"/>
              <w:spacing w:before="54"/>
              <w:ind w:left="1879"/>
              <w:rPr>
                <w:sz w:val="24"/>
              </w:rPr>
            </w:pPr>
            <w:r>
              <w:rPr>
                <w:sz w:val="24"/>
              </w:rPr>
              <w:t>1-2</w:t>
            </w:r>
          </w:p>
        </w:tc>
      </w:tr>
      <w:tr w:rsidR="004E13A5">
        <w:trPr>
          <w:trHeight w:hRule="exact" w:val="396"/>
        </w:trPr>
        <w:tc>
          <w:tcPr>
            <w:tcW w:w="2333" w:type="dxa"/>
          </w:tcPr>
          <w:p w:rsidR="004E13A5" w:rsidRDefault="00681463">
            <w:pPr>
              <w:pStyle w:val="TableParagraph"/>
              <w:spacing w:before="55"/>
              <w:ind w:left="50"/>
              <w:rPr>
                <w:sz w:val="24"/>
              </w:rPr>
            </w:pPr>
            <w:r>
              <w:rPr>
                <w:sz w:val="24"/>
              </w:rPr>
              <w:t>1 Bedroom</w:t>
            </w:r>
          </w:p>
        </w:tc>
        <w:tc>
          <w:tcPr>
            <w:tcW w:w="3194" w:type="dxa"/>
          </w:tcPr>
          <w:p w:rsidR="004E13A5" w:rsidRDefault="00681463">
            <w:pPr>
              <w:pStyle w:val="TableParagraph"/>
              <w:spacing w:before="55"/>
              <w:ind w:left="1879"/>
              <w:rPr>
                <w:sz w:val="24"/>
              </w:rPr>
            </w:pPr>
            <w:r>
              <w:rPr>
                <w:sz w:val="24"/>
              </w:rPr>
              <w:t>1-2</w:t>
            </w:r>
          </w:p>
        </w:tc>
      </w:tr>
      <w:tr w:rsidR="004E13A5">
        <w:trPr>
          <w:trHeight w:hRule="exact" w:val="396"/>
        </w:trPr>
        <w:tc>
          <w:tcPr>
            <w:tcW w:w="2333" w:type="dxa"/>
          </w:tcPr>
          <w:p w:rsidR="004E13A5" w:rsidRDefault="00681463">
            <w:pPr>
              <w:pStyle w:val="TableParagraph"/>
              <w:spacing w:before="55"/>
              <w:ind w:left="50"/>
              <w:rPr>
                <w:sz w:val="24"/>
              </w:rPr>
            </w:pPr>
            <w:r>
              <w:rPr>
                <w:sz w:val="24"/>
              </w:rPr>
              <w:t>2 Bedrooms</w:t>
            </w:r>
          </w:p>
        </w:tc>
        <w:tc>
          <w:tcPr>
            <w:tcW w:w="3194" w:type="dxa"/>
          </w:tcPr>
          <w:p w:rsidR="004E13A5" w:rsidRDefault="00681463">
            <w:pPr>
              <w:pStyle w:val="TableParagraph"/>
              <w:spacing w:before="55"/>
              <w:ind w:left="1879"/>
              <w:rPr>
                <w:sz w:val="24"/>
              </w:rPr>
            </w:pPr>
            <w:r>
              <w:rPr>
                <w:sz w:val="24"/>
              </w:rPr>
              <w:t>1-4</w:t>
            </w:r>
          </w:p>
        </w:tc>
      </w:tr>
      <w:tr w:rsidR="004E13A5">
        <w:trPr>
          <w:trHeight w:hRule="exact" w:val="396"/>
        </w:trPr>
        <w:tc>
          <w:tcPr>
            <w:tcW w:w="2333" w:type="dxa"/>
          </w:tcPr>
          <w:p w:rsidR="004E13A5" w:rsidRDefault="00681463">
            <w:pPr>
              <w:pStyle w:val="TableParagraph"/>
              <w:spacing w:before="55"/>
              <w:ind w:left="50"/>
              <w:rPr>
                <w:sz w:val="24"/>
              </w:rPr>
            </w:pPr>
            <w:r>
              <w:rPr>
                <w:sz w:val="24"/>
              </w:rPr>
              <w:t>3 Bedrooms</w:t>
            </w:r>
          </w:p>
        </w:tc>
        <w:tc>
          <w:tcPr>
            <w:tcW w:w="3194" w:type="dxa"/>
          </w:tcPr>
          <w:p w:rsidR="004E13A5" w:rsidRDefault="00681463">
            <w:pPr>
              <w:pStyle w:val="TableParagraph"/>
              <w:spacing w:before="55"/>
              <w:ind w:left="1879"/>
              <w:rPr>
                <w:sz w:val="24"/>
              </w:rPr>
            </w:pPr>
            <w:r>
              <w:rPr>
                <w:sz w:val="24"/>
              </w:rPr>
              <w:t>3-6</w:t>
            </w:r>
          </w:p>
        </w:tc>
      </w:tr>
      <w:tr w:rsidR="004E13A5">
        <w:trPr>
          <w:trHeight w:hRule="exact" w:val="396"/>
        </w:trPr>
        <w:tc>
          <w:tcPr>
            <w:tcW w:w="2333" w:type="dxa"/>
          </w:tcPr>
          <w:p w:rsidR="004E13A5" w:rsidRDefault="00681463">
            <w:pPr>
              <w:pStyle w:val="TableParagraph"/>
              <w:spacing w:before="55"/>
              <w:ind w:left="50"/>
              <w:rPr>
                <w:sz w:val="24"/>
              </w:rPr>
            </w:pPr>
            <w:r>
              <w:rPr>
                <w:sz w:val="24"/>
              </w:rPr>
              <w:t>4 Bedrooms</w:t>
            </w:r>
          </w:p>
        </w:tc>
        <w:tc>
          <w:tcPr>
            <w:tcW w:w="3194" w:type="dxa"/>
          </w:tcPr>
          <w:p w:rsidR="004E13A5" w:rsidRDefault="00681463">
            <w:pPr>
              <w:pStyle w:val="TableParagraph"/>
              <w:spacing w:before="55"/>
              <w:ind w:left="1879"/>
              <w:rPr>
                <w:sz w:val="24"/>
              </w:rPr>
            </w:pPr>
            <w:r>
              <w:rPr>
                <w:sz w:val="24"/>
              </w:rPr>
              <w:t>4-8</w:t>
            </w:r>
          </w:p>
        </w:tc>
      </w:tr>
      <w:tr w:rsidR="004E13A5">
        <w:trPr>
          <w:trHeight w:hRule="exact" w:val="331"/>
        </w:trPr>
        <w:tc>
          <w:tcPr>
            <w:tcW w:w="2333" w:type="dxa"/>
          </w:tcPr>
          <w:p w:rsidR="004E13A5" w:rsidRDefault="00681463">
            <w:pPr>
              <w:pStyle w:val="TableParagraph"/>
              <w:spacing w:before="55"/>
              <w:ind w:left="50"/>
              <w:rPr>
                <w:sz w:val="24"/>
              </w:rPr>
            </w:pPr>
            <w:r>
              <w:rPr>
                <w:sz w:val="24"/>
              </w:rPr>
              <w:t>5 Bedrooms</w:t>
            </w:r>
          </w:p>
        </w:tc>
        <w:tc>
          <w:tcPr>
            <w:tcW w:w="3194" w:type="dxa"/>
          </w:tcPr>
          <w:p w:rsidR="004E13A5" w:rsidRDefault="00681463">
            <w:pPr>
              <w:pStyle w:val="TableParagraph"/>
              <w:spacing w:before="55"/>
              <w:ind w:left="1819"/>
              <w:rPr>
                <w:sz w:val="24"/>
              </w:rPr>
            </w:pPr>
            <w:r>
              <w:rPr>
                <w:sz w:val="24"/>
              </w:rPr>
              <w:t>6-10</w:t>
            </w:r>
          </w:p>
        </w:tc>
      </w:tr>
    </w:tbl>
    <w:p w:rsidR="004E13A5" w:rsidRDefault="004E13A5">
      <w:pPr>
        <w:pStyle w:val="BodyText"/>
        <w:spacing w:before="10"/>
        <w:ind w:left="0"/>
        <w:rPr>
          <w:sz w:val="20"/>
        </w:rPr>
      </w:pPr>
    </w:p>
    <w:p w:rsidR="004E13A5" w:rsidRDefault="00681463">
      <w:pPr>
        <w:pStyle w:val="Heading4"/>
      </w:pPr>
      <w:r>
        <w:t>5-II.C. EXCEPTIONS TO SUBSIDY STANDARDS</w:t>
      </w:r>
    </w:p>
    <w:p w:rsidR="004E13A5" w:rsidRDefault="00681463">
      <w:pPr>
        <w:pStyle w:val="BodyText"/>
        <w:spacing w:before="120"/>
        <w:ind w:right="404"/>
        <w:jc w:val="both"/>
      </w:pPr>
      <w:r>
        <w:t>In determining family unit size for a particular family, the PHA may grant an exception to its established subsidy standards if the PHA determines that the exception is justified by the</w:t>
      </w:r>
      <w:r>
        <w:rPr>
          <w:spacing w:val="-15"/>
        </w:rPr>
        <w:t xml:space="preserve"> </w:t>
      </w:r>
      <w:r>
        <w:t>age, sex, health, handicap, or relationship of family members or other personal</w:t>
      </w:r>
      <w:r>
        <w:rPr>
          <w:spacing w:val="-14"/>
        </w:rPr>
        <w:t xml:space="preserve"> </w:t>
      </w:r>
      <w:r>
        <w:t>circumstances</w:t>
      </w:r>
    </w:p>
    <w:p w:rsidR="004E13A5" w:rsidRDefault="00681463">
      <w:pPr>
        <w:pStyle w:val="BodyText"/>
        <w:spacing w:before="0"/>
      </w:pPr>
      <w:r>
        <w:t>[24 CFR 982.402(b)(8)]. Reasons may include, but are not limited to:</w:t>
      </w:r>
    </w:p>
    <w:p w:rsidR="004E13A5" w:rsidRDefault="00681463">
      <w:pPr>
        <w:pStyle w:val="ListParagraph"/>
        <w:numPr>
          <w:ilvl w:val="0"/>
          <w:numId w:val="79"/>
        </w:numPr>
        <w:tabs>
          <w:tab w:val="left" w:pos="820"/>
          <w:tab w:val="left" w:pos="821"/>
        </w:tabs>
        <w:spacing w:before="120"/>
        <w:rPr>
          <w:sz w:val="24"/>
        </w:rPr>
      </w:pPr>
      <w:r>
        <w:rPr>
          <w:sz w:val="24"/>
        </w:rPr>
        <w:t>A need for an additional bedroom for medical</w:t>
      </w:r>
      <w:r>
        <w:rPr>
          <w:spacing w:val="-7"/>
          <w:sz w:val="24"/>
        </w:rPr>
        <w:t xml:space="preserve"> </w:t>
      </w:r>
      <w:r>
        <w:rPr>
          <w:sz w:val="24"/>
        </w:rPr>
        <w:t>equipment</w:t>
      </w:r>
    </w:p>
    <w:p w:rsidR="004E13A5" w:rsidRDefault="00681463">
      <w:pPr>
        <w:pStyle w:val="ListParagraph"/>
        <w:numPr>
          <w:ilvl w:val="0"/>
          <w:numId w:val="79"/>
        </w:numPr>
        <w:tabs>
          <w:tab w:val="left" w:pos="820"/>
          <w:tab w:val="left" w:pos="821"/>
        </w:tabs>
        <w:spacing w:before="118"/>
        <w:ind w:right="740"/>
        <w:rPr>
          <w:sz w:val="24"/>
        </w:rPr>
      </w:pPr>
      <w:r>
        <w:rPr>
          <w:sz w:val="24"/>
        </w:rPr>
        <w:t>A need for a separate bedroom for reasons related to a family member’s disability, medical or health</w:t>
      </w:r>
      <w:r>
        <w:rPr>
          <w:spacing w:val="-3"/>
          <w:sz w:val="24"/>
        </w:rPr>
        <w:t xml:space="preserve"> </w:t>
      </w:r>
      <w:r>
        <w:rPr>
          <w:sz w:val="24"/>
        </w:rPr>
        <w:t>condition</w:t>
      </w:r>
    </w:p>
    <w:p w:rsidR="004E13A5" w:rsidRDefault="004E13A5">
      <w:pPr>
        <w:rPr>
          <w:sz w:val="24"/>
        </w:rPr>
        <w:sectPr w:rsidR="004E13A5">
          <w:pgSz w:w="12240" w:h="15840"/>
          <w:pgMar w:top="1360" w:right="1420" w:bottom="640" w:left="1340" w:header="0" w:footer="441" w:gutter="0"/>
          <w:cols w:space="720"/>
        </w:sectPr>
      </w:pPr>
    </w:p>
    <w:p w:rsidR="004E13A5" w:rsidRDefault="00681463">
      <w:pPr>
        <w:pStyle w:val="BodyText"/>
        <w:spacing w:before="79"/>
        <w:ind w:right="262"/>
      </w:pPr>
      <w:r>
        <w:lastRenderedPageBreak/>
        <w:t>For a single person who is not elderly, disabled, or a remaining family member, an exception cannot override the regulatory limit of a zero or one bedroom [24 CFR 982.402(b)(8)].</w:t>
      </w:r>
    </w:p>
    <w:p w:rsidR="004E13A5" w:rsidRDefault="00681463">
      <w:pPr>
        <w:pStyle w:val="BodyText"/>
        <w:ind w:left="820"/>
      </w:pPr>
      <w:r>
        <w:rPr>
          <w:u w:val="single"/>
        </w:rPr>
        <w:t>PHA Policy</w:t>
      </w:r>
    </w:p>
    <w:p w:rsidR="004E13A5" w:rsidRDefault="00681463">
      <w:pPr>
        <w:pStyle w:val="BodyText"/>
        <w:ind w:left="820" w:right="589"/>
      </w:pPr>
      <w:r>
        <w:t>The PHA will consider granting an exception for any of the reasons specified in the regulation: the age, sex, health, handicap, or relationship of family members or other personal circumstances.</w:t>
      </w:r>
    </w:p>
    <w:p w:rsidR="004E13A5" w:rsidRDefault="00681463">
      <w:pPr>
        <w:pStyle w:val="BodyText"/>
        <w:ind w:left="820" w:right="169"/>
      </w:pPr>
      <w:r>
        <w:t>The family must request any exception to the subsidy standards in writing. The request must explain the need or justification for a larger family unit size, and must include appropriate documentation. Requests based on health-related reasons must be verified by a knowledgeable professional source (e.g., doctor or health professional), unless the disability and the disability–related request for accommodation is readily apparent or otherwise known. The family’s continued need for an additional bedroom due to special medical equipment must be re-verified at annual reexamination.</w:t>
      </w:r>
    </w:p>
    <w:p w:rsidR="004E13A5" w:rsidRDefault="00681463">
      <w:pPr>
        <w:pStyle w:val="BodyText"/>
        <w:ind w:left="820" w:right="208"/>
        <w:jc w:val="both"/>
      </w:pPr>
      <w:r>
        <w:t>The PHA will notify the family of its determination within 10 business days of receiving the family’s request. If a participant family’s request is denied, the notice will inform the family of their right to request an informal hearing.</w:t>
      </w:r>
    </w:p>
    <w:p w:rsidR="004E13A5" w:rsidRDefault="004E13A5">
      <w:pPr>
        <w:pStyle w:val="BodyText"/>
        <w:spacing w:before="9"/>
        <w:ind w:left="0"/>
        <w:rPr>
          <w:sz w:val="20"/>
        </w:rPr>
      </w:pPr>
    </w:p>
    <w:p w:rsidR="004E13A5" w:rsidRDefault="00681463">
      <w:pPr>
        <w:pStyle w:val="Heading4"/>
      </w:pPr>
      <w:r>
        <w:t>5-II.D. VOUCHER ISSUANCE [24 CFR 982.302]</w:t>
      </w:r>
    </w:p>
    <w:p w:rsidR="004E13A5" w:rsidRDefault="00681463">
      <w:pPr>
        <w:pStyle w:val="BodyText"/>
      </w:pPr>
      <w:r>
        <w:t>When a family is selected from the waiting list (or as a special admission as described in Chapter 4), or when a participant family wants to move to another unit, the PHA issues a Housing Choice Voucher, form HUD-52646. This chapter deals only with voucher issuance for applicants. For voucher issuance associated with moves of program participants, please refer to Chapter 10.</w:t>
      </w:r>
    </w:p>
    <w:p w:rsidR="004E13A5" w:rsidRDefault="00681463">
      <w:pPr>
        <w:pStyle w:val="BodyText"/>
        <w:ind w:right="116"/>
      </w:pPr>
      <w:r>
        <w:t>The voucher is the family’s authorization to search for housing. It specifies the unit size for which the family qualifies, and includes both the date of voucher issuance and date of expiration. It contains a brief description of how the program works and explains the family obligations under the program. The voucher is evidence that the PHA has determined the family to be eligible for the program, and that the PHA expects to have money available to subsidize the family if the family finds an approvable unit. However, the PHA does not have any liability to any party by the issuance of the voucher, and the voucher does not give the family any right to participate in the PHA’s housing choice voucher program [Voucher, form HUD-52646]</w:t>
      </w:r>
    </w:p>
    <w:p w:rsidR="004E13A5" w:rsidRDefault="00681463">
      <w:pPr>
        <w:pStyle w:val="BodyText"/>
        <w:ind w:right="522"/>
      </w:pPr>
      <w:r>
        <w:t>A voucher can be issued to an applicant family only after the PHA has determined that the family is eligible for the program based on verification of information received within the 60 days prior to issuance [24 CFR 982.201(e)] and after the family has attended an oral briefing [HCV 8-1].</w:t>
      </w:r>
    </w:p>
    <w:p w:rsidR="004E13A5" w:rsidRDefault="00681463">
      <w:pPr>
        <w:pStyle w:val="BodyText"/>
        <w:ind w:left="820"/>
      </w:pPr>
      <w:r>
        <w:rPr>
          <w:u w:val="single"/>
        </w:rPr>
        <w:t>PHA Policy</w:t>
      </w:r>
    </w:p>
    <w:p w:rsidR="004E13A5" w:rsidRDefault="00681463">
      <w:pPr>
        <w:pStyle w:val="BodyText"/>
        <w:spacing w:before="120"/>
        <w:ind w:left="820" w:right="668"/>
      </w:pPr>
      <w:r>
        <w:t>Vouchers will be issued to eligible applicants immediately following the mandatory briefing.</w:t>
      </w:r>
    </w:p>
    <w:p w:rsidR="004E13A5" w:rsidRDefault="00681463">
      <w:pPr>
        <w:pStyle w:val="BodyText"/>
        <w:spacing w:before="120"/>
        <w:ind w:right="379"/>
        <w:jc w:val="both"/>
      </w:pPr>
      <w:r>
        <w:t>The PHA should have sufficient funds to house an applicant before issuing a voucher. If funds are insufficient to house the family at the top of the waiting list, the PHA must wait until it has adequate funds before it calls another family from the list [HCV GB p. 8-10].</w:t>
      </w:r>
    </w:p>
    <w:p w:rsidR="004E13A5" w:rsidRDefault="00681463">
      <w:pPr>
        <w:pStyle w:val="BodyText"/>
        <w:spacing w:before="120"/>
        <w:ind w:left="820"/>
      </w:pPr>
      <w:r>
        <w:rPr>
          <w:u w:val="single"/>
        </w:rPr>
        <w:t>PHA Policy</w:t>
      </w:r>
    </w:p>
    <w:p w:rsidR="004E13A5" w:rsidRDefault="00681463">
      <w:pPr>
        <w:pStyle w:val="BodyText"/>
        <w:spacing w:before="120"/>
        <w:ind w:left="820"/>
      </w:pPr>
      <w:r>
        <w:t>Prior to issuing any vouchers, the PHA will determine whether it has sufficient funding in accordance with the policies in Part VIII of Chapter 16.</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right="129"/>
      </w:pPr>
      <w:r>
        <w:lastRenderedPageBreak/>
        <w:t>If the PHA determines that there is insufficient funding after a voucher has been issued, the PHA may rescind the voucher and place the affected family back on the waiting list.</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31"/>
      </w:pPr>
      <w:r>
        <w:t>5-II.E. VOUCHER TERM, AND EXTENSIONS</w:t>
      </w:r>
    </w:p>
    <w:p w:rsidR="004E13A5" w:rsidRDefault="00681463">
      <w:pPr>
        <w:spacing w:before="119"/>
        <w:ind w:left="100"/>
        <w:rPr>
          <w:b/>
          <w:sz w:val="24"/>
        </w:rPr>
      </w:pPr>
      <w:r>
        <w:rPr>
          <w:b/>
          <w:sz w:val="24"/>
        </w:rPr>
        <w:t>Voucher Term [24 CFR 982.303]</w:t>
      </w:r>
    </w:p>
    <w:p w:rsidR="004E13A5" w:rsidRDefault="00681463">
      <w:pPr>
        <w:pStyle w:val="BodyText"/>
        <w:ind w:right="122"/>
      </w:pPr>
      <w:r>
        <w:t>The initial term of a voucher must be at least 60 calendar days. The initial term must be stated on the voucher [24 CFR 982.303(a)].</w:t>
      </w:r>
    </w:p>
    <w:p w:rsidR="004E13A5" w:rsidRDefault="00681463">
      <w:pPr>
        <w:pStyle w:val="BodyText"/>
        <w:spacing w:before="120"/>
        <w:ind w:left="820"/>
      </w:pPr>
      <w:r>
        <w:rPr>
          <w:u w:val="single"/>
        </w:rPr>
        <w:t>PHA Policy</w:t>
      </w:r>
    </w:p>
    <w:p w:rsidR="004E13A5" w:rsidRDefault="00681463">
      <w:pPr>
        <w:pStyle w:val="BodyText"/>
        <w:spacing w:before="120"/>
        <w:ind w:left="820"/>
      </w:pPr>
      <w:r>
        <w:t>The initial voucher term will be 120 calendar days.</w:t>
      </w:r>
    </w:p>
    <w:p w:rsidR="004E13A5" w:rsidRDefault="00681463">
      <w:pPr>
        <w:pStyle w:val="BodyText"/>
        <w:spacing w:before="120"/>
        <w:ind w:left="820" w:right="335"/>
      </w:pPr>
      <w:r>
        <w:t>The family must submit a Request for Tenancy Approval and proposed lease within the 120-day period unless the PHA grants an extension.</w:t>
      </w:r>
    </w:p>
    <w:p w:rsidR="004E13A5" w:rsidRDefault="00681463">
      <w:pPr>
        <w:pStyle w:val="Heading4"/>
        <w:spacing w:before="120"/>
      </w:pPr>
      <w:r>
        <w:t>Extensions of Voucher Term [24 CFR 982.303(b)]</w:t>
      </w:r>
    </w:p>
    <w:p w:rsidR="004E13A5" w:rsidRDefault="00681463">
      <w:pPr>
        <w:pStyle w:val="BodyText"/>
        <w:spacing w:before="120"/>
        <w:ind w:right="175"/>
      </w:pPr>
      <w:r>
        <w:t>The PHA has the authority to grant extensions of search time, to specify the length of an extension, and to determine the circumstances under which extensions will be granted. There is no limit on the number of extensions that the PHA can approve. Discretionary policies related to extension and expiration of search time must be described in the PHA’s administrative plan [24 CFR 982.54].</w:t>
      </w:r>
    </w:p>
    <w:p w:rsidR="004E13A5" w:rsidRDefault="00681463">
      <w:pPr>
        <w:pStyle w:val="BodyText"/>
        <w:spacing w:before="120"/>
        <w:ind w:right="96"/>
      </w:pPr>
      <w:r>
        <w:t>PHAs must approve additional search time if needed as a reasonable accommodation to make the program accessible to and usable by a person with disabilities. The extension period must be reasonable for the purpose.</w:t>
      </w:r>
    </w:p>
    <w:p w:rsidR="004E13A5" w:rsidRDefault="00681463">
      <w:pPr>
        <w:pStyle w:val="BodyText"/>
        <w:spacing w:before="120"/>
        <w:ind w:right="381"/>
      </w:pPr>
      <w:r>
        <w:t>The family must be notified in writing of the PHA’s decision to approve or deny an extension. The PHA’s decision to deny a request for an extension of the voucher term is not subject to informal review [24 CFR 982.554(c)(4)].</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8"/>
        <w:ind w:left="0"/>
        <w:rPr>
          <w:sz w:val="35"/>
        </w:rPr>
      </w:pPr>
    </w:p>
    <w:p w:rsidR="004E13A5" w:rsidRDefault="00681463">
      <w:pPr>
        <w:pStyle w:val="BodyText"/>
        <w:spacing w:before="0"/>
        <w:ind w:left="820"/>
      </w:pPr>
      <w:r>
        <w:rPr>
          <w:u w:val="single"/>
        </w:rPr>
        <w:t>PHA Policy</w:t>
      </w:r>
    </w:p>
    <w:p w:rsidR="004E13A5" w:rsidRDefault="00681463">
      <w:pPr>
        <w:pStyle w:val="BodyText"/>
        <w:ind w:left="820"/>
      </w:pPr>
      <w:r>
        <w:t>The PHA will automatically approve one 30-day extension upon written request from the family.</w:t>
      </w:r>
    </w:p>
    <w:p w:rsidR="004E13A5" w:rsidRDefault="00681463">
      <w:pPr>
        <w:pStyle w:val="BodyText"/>
        <w:spacing w:line="343" w:lineRule="auto"/>
        <w:ind w:left="1540" w:right="702" w:hanging="720"/>
      </w:pPr>
      <w:r>
        <w:t>The PHA will approve additional extensions only in the following circumstances: It is necessary as a reasonable accommodation for a person with</w:t>
      </w:r>
      <w:r>
        <w:rPr>
          <w:spacing w:val="-14"/>
        </w:rPr>
        <w:t xml:space="preserve"> </w:t>
      </w:r>
      <w:r>
        <w:t>disabilities.</w:t>
      </w:r>
    </w:p>
    <w:p w:rsidR="004E13A5" w:rsidRDefault="00681463">
      <w:pPr>
        <w:pStyle w:val="BodyText"/>
        <w:spacing w:before="5"/>
        <w:ind w:left="1540" w:right="287"/>
      </w:pPr>
      <w:r>
        <w:t>It is necessary due to reasons beyond the family’s control, as determined by the PHA. Following is a sample list of extenuating circumstances that the PHA may consider in making its decision. The presence of these circumstances does not guarantee that an extension will be granted:</w:t>
      </w:r>
    </w:p>
    <w:p w:rsidR="004E13A5" w:rsidRDefault="00681463" w:rsidP="007C4DEE">
      <w:pPr>
        <w:pStyle w:val="BodyText"/>
        <w:spacing w:before="120"/>
        <w:ind w:left="2260"/>
        <w:sectPr w:rsidR="004E13A5">
          <w:pgSz w:w="12240" w:h="15840"/>
          <w:pgMar w:top="1360" w:right="1340" w:bottom="640" w:left="1340" w:header="0" w:footer="441" w:gutter="0"/>
          <w:cols w:space="720"/>
        </w:sectPr>
      </w:pPr>
      <w:r>
        <w:t>Serious illness or death in the family</w:t>
      </w:r>
    </w:p>
    <w:p w:rsidR="004E13A5" w:rsidRDefault="00681463">
      <w:pPr>
        <w:pStyle w:val="BodyText"/>
        <w:spacing w:before="79" w:line="343" w:lineRule="auto"/>
        <w:ind w:left="2260" w:right="4434"/>
      </w:pPr>
      <w:r>
        <w:lastRenderedPageBreak/>
        <w:t>Other family emergency Obstacles due to employment</w:t>
      </w:r>
    </w:p>
    <w:p w:rsidR="004E13A5" w:rsidRDefault="00681463">
      <w:pPr>
        <w:pStyle w:val="BodyText"/>
        <w:spacing w:before="5"/>
        <w:ind w:left="2260" w:right="369"/>
      </w:pPr>
      <w:r>
        <w:t>Whether the family has already submitted requests for tenancy approval that were not approved by the PHA</w:t>
      </w:r>
    </w:p>
    <w:p w:rsidR="004E13A5" w:rsidRDefault="00681463">
      <w:pPr>
        <w:pStyle w:val="BodyText"/>
        <w:spacing w:before="120"/>
        <w:ind w:left="2260" w:right="522"/>
      </w:pPr>
      <w:r>
        <w:t>Whether family size or other special circumstances make it difficult to find a suitable unit</w:t>
      </w:r>
    </w:p>
    <w:p w:rsidR="004E13A5" w:rsidRDefault="00681463">
      <w:pPr>
        <w:pStyle w:val="BodyText"/>
        <w:spacing w:before="120"/>
        <w:ind w:left="820" w:right="528"/>
      </w:pPr>
      <w:r>
        <w:t>Any request for an additional extension must include the reason(s) an additional extension is necessary. The PHA may require the family to provide documentation to support the request or obtain verification from a qualified third party.</w:t>
      </w:r>
    </w:p>
    <w:p w:rsidR="004E13A5" w:rsidRDefault="00681463">
      <w:pPr>
        <w:pStyle w:val="BodyText"/>
        <w:spacing w:before="120"/>
        <w:ind w:left="820" w:right="168"/>
      </w:pPr>
      <w:r>
        <w:t>All requests for extensions to the voucher term must be made in writing and submitted to the PHA prior to the expiration date of the voucher (or extended term of the voucher).</w:t>
      </w:r>
    </w:p>
    <w:p w:rsidR="004E13A5" w:rsidRDefault="00681463">
      <w:pPr>
        <w:pStyle w:val="BodyText"/>
        <w:spacing w:before="121"/>
        <w:ind w:left="820"/>
      </w:pPr>
      <w:r>
        <w:t>The PHA will decide whether to approve or deny an extension request within 10 business days of the date the request is received, and will immediately provide the family written notice of its decision.</w:t>
      </w:r>
    </w:p>
    <w:p w:rsidR="004E13A5" w:rsidRDefault="00681463">
      <w:pPr>
        <w:pStyle w:val="Heading4"/>
        <w:spacing w:before="120"/>
      </w:pPr>
      <w:r>
        <w:t>Suspensions of Voucher Term [24 CFR 982.303(c)]</w:t>
      </w:r>
    </w:p>
    <w:p w:rsidR="004E13A5" w:rsidRDefault="00681463">
      <w:pPr>
        <w:pStyle w:val="BodyText"/>
        <w:spacing w:before="120"/>
        <w:ind w:right="108"/>
        <w:jc w:val="both"/>
      </w:pPr>
      <w:r>
        <w:t>The PHA must provide for suspension of the initial or any extended term of the voucher from the date the family submits a request for PHA approval of the tenancy until the date the PHA notifies the family in writing whether the request has been approved or denied.</w:t>
      </w:r>
    </w:p>
    <w:p w:rsidR="004E13A5" w:rsidRDefault="00681463">
      <w:pPr>
        <w:pStyle w:val="Heading4"/>
        <w:spacing w:before="120"/>
      </w:pPr>
      <w:r>
        <w:t>Expiration of Voucher Term</w:t>
      </w:r>
    </w:p>
    <w:p w:rsidR="004E13A5" w:rsidRDefault="00681463">
      <w:pPr>
        <w:pStyle w:val="BodyText"/>
        <w:spacing w:before="120"/>
        <w:ind w:right="56"/>
      </w:pPr>
      <w:r>
        <w:t>Once a family’s housing choice voucher term (including any extensions) expires, the family is no longer eligible to search for housing under the program. If the family still wishes to receive assistance, the PHA may require that the family reapply, or may place the family on the waiting list with a new application date but without requiring reapplication. Such a family does not become ineligible for the program on the grounds that it was unable to locate a unit before the voucher expired [HCV GB p. 8-13].</w:t>
      </w:r>
    </w:p>
    <w:p w:rsidR="004E13A5" w:rsidRDefault="004E13A5">
      <w:pPr>
        <w:pStyle w:val="BodyText"/>
        <w:spacing w:before="8"/>
        <w:ind w:left="0"/>
        <w:rPr>
          <w:sz w:val="35"/>
        </w:rPr>
      </w:pPr>
    </w:p>
    <w:p w:rsidR="004E13A5" w:rsidRDefault="00681463">
      <w:pPr>
        <w:pStyle w:val="BodyText"/>
        <w:spacing w:before="1"/>
        <w:ind w:left="820"/>
      </w:pPr>
      <w:r>
        <w:rPr>
          <w:u w:val="single"/>
        </w:rPr>
        <w:t>PHA Policy</w:t>
      </w:r>
    </w:p>
    <w:p w:rsidR="004E13A5" w:rsidRDefault="00681463">
      <w:pPr>
        <w:pStyle w:val="BodyText"/>
        <w:spacing w:before="120"/>
        <w:ind w:left="820"/>
      </w:pPr>
      <w:r>
        <w:t>If an applicant family’s voucher term or extension expires before the PHA has approved tenancy, the PHA will consider the circumstances related to the voucher expiring before making the decision to require the family to reapply for assistance. The PHA may choose to reinstate the voucher and allow the family additional time to search for tenancy.</w:t>
      </w:r>
    </w:p>
    <w:p w:rsidR="004E13A5" w:rsidRDefault="00681463" w:rsidP="007C4DEE">
      <w:pPr>
        <w:pStyle w:val="BodyText"/>
        <w:spacing w:before="120"/>
        <w:ind w:left="820" w:right="95"/>
        <w:sectPr w:rsidR="004E13A5">
          <w:pgSz w:w="12240" w:h="15840"/>
          <w:pgMar w:top="1360" w:right="1340" w:bottom="640" w:left="1340" w:header="0" w:footer="441" w:gutter="0"/>
          <w:cols w:space="720"/>
        </w:sectPr>
      </w:pPr>
      <w:r>
        <w:t>Within 10 business days after the expiration of the voucher term or any extension, the PHA will notify the family in writing that the voucher term has expired and that the family must reapply when the waiting list is open in order to be placed on the waiting list</w:t>
      </w:r>
    </w:p>
    <w:p w:rsidR="004E13A5" w:rsidRDefault="004E13A5">
      <w:pPr>
        <w:pStyle w:val="BodyText"/>
        <w:spacing w:before="4"/>
        <w:ind w:left="0"/>
        <w:rPr>
          <w:sz w:val="25"/>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294FEC">
      <w:pPr>
        <w:spacing w:before="179"/>
        <w:ind w:left="200" w:right="2382"/>
        <w:jc w:val="center"/>
        <w:rPr>
          <w:b/>
          <w:sz w:val="24"/>
        </w:rPr>
      </w:pPr>
    </w:p>
    <w:p w:rsidR="00294FEC" w:rsidRDefault="00294FEC" w:rsidP="003636C0">
      <w:pPr>
        <w:spacing w:before="179"/>
        <w:ind w:left="200" w:right="2382"/>
        <w:jc w:val="center"/>
        <w:rPr>
          <w:b/>
          <w:sz w:val="24"/>
        </w:rPr>
      </w:pPr>
      <w:r>
        <w:rPr>
          <w:b/>
          <w:sz w:val="24"/>
        </w:rPr>
        <w:t xml:space="preserve"> </w:t>
      </w:r>
      <w:r>
        <w:rPr>
          <w:b/>
          <w:sz w:val="24"/>
        </w:rPr>
        <w:t>INCOME AND SUBSIDY DETERMINATIONS</w:t>
      </w:r>
    </w:p>
    <w:p w:rsidR="00294FEC" w:rsidRDefault="00294FEC" w:rsidP="00294FEC">
      <w:pPr>
        <w:pStyle w:val="BodyText"/>
        <w:spacing w:before="0"/>
        <w:ind w:left="198" w:right="2382"/>
        <w:jc w:val="center"/>
      </w:pPr>
      <w:r>
        <w:t>[24 CFR Part 5, Subparts E and F; 24 CFR 982]</w:t>
      </w:r>
    </w:p>
    <w:p w:rsidR="00294FEC" w:rsidRDefault="00294FEC">
      <w:pPr>
        <w:pStyle w:val="Heading4"/>
        <w:ind w:left="220"/>
        <w:rPr>
          <w:spacing w:val="-1"/>
        </w:rPr>
      </w:pPr>
    </w:p>
    <w:p w:rsidR="004E13A5" w:rsidRPr="003636C0" w:rsidRDefault="00681463">
      <w:pPr>
        <w:pStyle w:val="Heading4"/>
        <w:ind w:left="220"/>
      </w:pPr>
      <w:r w:rsidRPr="003636C0">
        <w:rPr>
          <w:spacing w:val="-1"/>
        </w:rPr>
        <w:t>INTRODUCTION</w:t>
      </w:r>
    </w:p>
    <w:p w:rsidR="007C4DEE" w:rsidRPr="003636C0" w:rsidRDefault="007C4DEE" w:rsidP="007C4DEE">
      <w:pPr>
        <w:rPr>
          <w:sz w:val="24"/>
          <w:szCs w:val="24"/>
        </w:rPr>
      </w:pPr>
    </w:p>
    <w:p w:rsidR="007C4DEE" w:rsidRPr="003636C0" w:rsidRDefault="007C4DEE" w:rsidP="007C4DEE">
      <w:pPr>
        <w:rPr>
          <w:sz w:val="24"/>
          <w:szCs w:val="24"/>
        </w:rPr>
      </w:pPr>
    </w:p>
    <w:p w:rsidR="007C4DEE" w:rsidRPr="003636C0" w:rsidRDefault="007C4DEE" w:rsidP="007C4DEE">
      <w:pPr>
        <w:rPr>
          <w:sz w:val="24"/>
          <w:szCs w:val="24"/>
        </w:rPr>
      </w:pPr>
    </w:p>
    <w:p w:rsidR="00085CE4" w:rsidRPr="003636C0" w:rsidRDefault="00085CE4" w:rsidP="00085CE4">
      <w:pPr>
        <w:rPr>
          <w:sz w:val="24"/>
          <w:szCs w:val="24"/>
        </w:rPr>
      </w:pPr>
      <w:r w:rsidRPr="003636C0">
        <w:rPr>
          <w:sz w:val="24"/>
          <w:szCs w:val="24"/>
        </w:rPr>
        <w:t>This chapter describes HUD regulations and PHA policies related to income and rent determinations as follows:</w:t>
      </w:r>
    </w:p>
    <w:p w:rsidR="00085CE4" w:rsidRPr="003636C0" w:rsidRDefault="00085CE4" w:rsidP="00085CE4">
      <w:pPr>
        <w:ind w:left="720"/>
        <w:rPr>
          <w:sz w:val="24"/>
          <w:szCs w:val="24"/>
        </w:rPr>
      </w:pPr>
      <w:r w:rsidRPr="003636C0">
        <w:rPr>
          <w:sz w:val="24"/>
          <w:szCs w:val="24"/>
          <w:u w:val="single"/>
        </w:rPr>
        <w:t>Part I: Annual Income</w:t>
      </w:r>
      <w:r w:rsidRPr="003636C0">
        <w:rPr>
          <w:sz w:val="24"/>
          <w:szCs w:val="24"/>
        </w:rPr>
        <w:t>. HUD regulations specify the sources of income which are excluded from the family’s annual income. These requirements and PHA policies for calculating annual income are found in Part I.</w:t>
      </w:r>
    </w:p>
    <w:p w:rsidR="00085CE4" w:rsidRPr="003636C0" w:rsidRDefault="00085CE4" w:rsidP="00085CE4">
      <w:pPr>
        <w:ind w:left="720"/>
        <w:rPr>
          <w:sz w:val="24"/>
          <w:szCs w:val="24"/>
        </w:rPr>
      </w:pPr>
      <w:r w:rsidRPr="003636C0">
        <w:rPr>
          <w:sz w:val="24"/>
          <w:szCs w:val="24"/>
          <w:u w:val="single"/>
        </w:rPr>
        <w:t>Part II: Assets.</w:t>
      </w:r>
      <w:r w:rsidRPr="003636C0">
        <w:rPr>
          <w:sz w:val="24"/>
          <w:szCs w:val="24"/>
        </w:rPr>
        <w:t xml:space="preserve"> HUD regulations specify the types of assets which are excluded from a family’s annual income. These requirements and PHA policies for calculating income from assets are found in Part II.</w:t>
      </w:r>
    </w:p>
    <w:p w:rsidR="00085CE4" w:rsidRPr="003636C0" w:rsidRDefault="00085CE4" w:rsidP="00085CE4">
      <w:pPr>
        <w:ind w:left="720"/>
        <w:rPr>
          <w:sz w:val="24"/>
          <w:szCs w:val="24"/>
        </w:rPr>
      </w:pPr>
      <w:r w:rsidRPr="003636C0">
        <w:rPr>
          <w:sz w:val="24"/>
          <w:szCs w:val="24"/>
          <w:u w:val="single"/>
        </w:rPr>
        <w:t>Part III: Adjusted Income</w:t>
      </w:r>
      <w:r w:rsidRPr="003636C0">
        <w:rPr>
          <w:sz w:val="24"/>
          <w:szCs w:val="24"/>
        </w:rPr>
        <w:t xml:space="preserve">. Once annual income has been established HUD </w:t>
      </w:r>
    </w:p>
    <w:p w:rsidR="00085CE4" w:rsidRPr="003636C0" w:rsidRDefault="00085CE4" w:rsidP="00085CE4">
      <w:pPr>
        <w:ind w:left="720"/>
        <w:rPr>
          <w:sz w:val="24"/>
          <w:szCs w:val="24"/>
        </w:rPr>
      </w:pPr>
      <w:r w:rsidRPr="003636C0">
        <w:rPr>
          <w:sz w:val="24"/>
          <w:szCs w:val="24"/>
        </w:rPr>
        <w:t>regulations require the PHA to subtract from annual income any of five mandatory deductions for which a family qualifies and allow the PHA to adopt additional permissive deductions. These requirements and PHA policies for calculating adjusted income are found in Part III.</w:t>
      </w:r>
    </w:p>
    <w:p w:rsidR="00085CE4" w:rsidRDefault="00085CE4" w:rsidP="00085CE4">
      <w:pPr>
        <w:ind w:left="720"/>
        <w:rPr>
          <w:sz w:val="24"/>
          <w:szCs w:val="24"/>
        </w:rPr>
      </w:pPr>
      <w:r w:rsidRPr="003636C0">
        <w:rPr>
          <w:sz w:val="24"/>
          <w:szCs w:val="24"/>
          <w:u w:val="single"/>
        </w:rPr>
        <w:t>Part IV: Calculating Family Share and PHA Subsidy</w:t>
      </w:r>
      <w:r w:rsidRPr="003636C0">
        <w:rPr>
          <w:sz w:val="24"/>
          <w:szCs w:val="24"/>
        </w:rPr>
        <w:t>. This part describes the statutory formula for calculating total tenant payment (TTP), the use of utility allowances, and the methodology for determining PHA subsidy and required family payment.</w:t>
      </w:r>
    </w:p>
    <w:p w:rsidR="003636C0" w:rsidRDefault="003636C0" w:rsidP="00085CE4">
      <w:pPr>
        <w:ind w:left="720"/>
        <w:rPr>
          <w:b/>
          <w:sz w:val="24"/>
          <w:szCs w:val="24"/>
        </w:rPr>
      </w:pPr>
    </w:p>
    <w:p w:rsidR="003636C0" w:rsidRPr="00B54141" w:rsidRDefault="003636C0" w:rsidP="003636C0">
      <w:pPr>
        <w:pStyle w:val="12ptBoldCenteredBefore12pt"/>
        <w:tabs>
          <w:tab w:val="clear" w:pos="360"/>
          <w:tab w:val="clear" w:pos="1080"/>
          <w:tab w:val="clear" w:pos="1440"/>
        </w:tabs>
      </w:pPr>
      <w:bookmarkStart w:id="7" w:name="_Hlk179208143"/>
      <w:r w:rsidRPr="00B54141">
        <w:t>PART I: ANNUAL INCOME</w:t>
      </w:r>
    </w:p>
    <w:p w:rsidR="003636C0" w:rsidRPr="00B54141" w:rsidRDefault="003636C0" w:rsidP="003636C0">
      <w:pPr>
        <w:pStyle w:val="12ptBoldBefore12pt"/>
        <w:tabs>
          <w:tab w:val="clear" w:pos="360"/>
          <w:tab w:val="clear" w:pos="1080"/>
          <w:tab w:val="clear" w:pos="1440"/>
        </w:tabs>
      </w:pPr>
      <w:r w:rsidRPr="00B54141">
        <w:t xml:space="preserve">6-I.A. OVERVIEW </w:t>
      </w:r>
      <w:r w:rsidRPr="00B54141">
        <w:rPr>
          <w:b w:val="0"/>
        </w:rPr>
        <w:t>[24 CFR 5.609]</w:t>
      </w:r>
    </w:p>
    <w:p w:rsidR="003636C0" w:rsidRPr="00B54141" w:rsidRDefault="003636C0" w:rsidP="003636C0">
      <w:r w:rsidRPr="00B54141">
        <w:t xml:space="preserve">Section 6-I.A of the model plan provides the general definition of </w:t>
      </w:r>
      <w:r w:rsidRPr="00B54141">
        <w:rPr>
          <w:i/>
        </w:rPr>
        <w:t>annual income</w:t>
      </w:r>
      <w:r w:rsidRPr="00B54141">
        <w:t xml:space="preserve"> and explains how Part I is organized. The full texts of HUD regulations are provided in exhibits at the end of Chapter 6 of the plan as follows:</w:t>
      </w:r>
    </w:p>
    <w:p w:rsidR="003636C0" w:rsidRPr="00B54141" w:rsidRDefault="003636C0" w:rsidP="003636C0">
      <w:pPr>
        <w:pStyle w:val="Level1Bullet"/>
        <w:tabs>
          <w:tab w:val="clear" w:pos="720"/>
          <w:tab w:val="clear" w:pos="1080"/>
          <w:tab w:val="clear" w:pos="1440"/>
          <w:tab w:val="num" w:pos="360"/>
        </w:tabs>
        <w:overflowPunct w:val="0"/>
        <w:autoSpaceDE w:val="0"/>
        <w:autoSpaceDN w:val="0"/>
        <w:adjustRightInd w:val="0"/>
        <w:ind w:left="360" w:hanging="360"/>
        <w:textAlignment w:val="baseline"/>
      </w:pPr>
      <w:r w:rsidRPr="00B54141">
        <w:rPr>
          <w:i/>
        </w:rPr>
        <w:t>Annual Income Full Definition</w:t>
      </w:r>
      <w:r w:rsidRPr="00B54141">
        <w:t xml:space="preserve"> (Exhibit 6-1)</w:t>
      </w:r>
    </w:p>
    <w:p w:rsidR="003636C0" w:rsidRPr="00B54141" w:rsidRDefault="003636C0" w:rsidP="003636C0">
      <w:pPr>
        <w:pStyle w:val="Level1Bullet"/>
        <w:tabs>
          <w:tab w:val="clear" w:pos="720"/>
          <w:tab w:val="clear" w:pos="1080"/>
          <w:tab w:val="clear" w:pos="1440"/>
          <w:tab w:val="num" w:pos="360"/>
        </w:tabs>
        <w:overflowPunct w:val="0"/>
        <w:autoSpaceDE w:val="0"/>
        <w:autoSpaceDN w:val="0"/>
        <w:adjustRightInd w:val="0"/>
        <w:ind w:left="360" w:hanging="360"/>
        <w:textAlignment w:val="baseline"/>
      </w:pPr>
      <w:r w:rsidRPr="00B54141">
        <w:rPr>
          <w:i/>
        </w:rPr>
        <w:t>Treatment of Family Assets</w:t>
      </w:r>
      <w:r w:rsidRPr="00B54141">
        <w:t xml:space="preserve"> (Exhibit 6-2)</w:t>
      </w:r>
    </w:p>
    <w:p w:rsidR="003636C0" w:rsidRPr="00B54141" w:rsidRDefault="003636C0" w:rsidP="003636C0">
      <w:pPr>
        <w:pStyle w:val="Level1Bullet"/>
        <w:tabs>
          <w:tab w:val="clear" w:pos="720"/>
          <w:tab w:val="clear" w:pos="1080"/>
          <w:tab w:val="clear" w:pos="1440"/>
          <w:tab w:val="num" w:pos="360"/>
        </w:tabs>
        <w:overflowPunct w:val="0"/>
        <w:autoSpaceDE w:val="0"/>
        <w:autoSpaceDN w:val="0"/>
        <w:adjustRightInd w:val="0"/>
        <w:ind w:left="360" w:hanging="360"/>
        <w:textAlignment w:val="baseline"/>
      </w:pPr>
      <w:r w:rsidRPr="00B54141">
        <w:rPr>
          <w:i/>
        </w:rPr>
        <w:t>The Effect of Welfare Benefit Reduction</w:t>
      </w:r>
      <w:r w:rsidRPr="00B54141">
        <w:t xml:space="preserve"> (Exhibit 6-3)</w:t>
      </w:r>
    </w:p>
    <w:p w:rsidR="003636C0" w:rsidRPr="00B54141" w:rsidRDefault="003636C0" w:rsidP="003636C0">
      <w:pPr>
        <w:rPr>
          <w:rFonts w:cs="Arial"/>
        </w:rPr>
      </w:pPr>
      <w:r w:rsidRPr="00B54141">
        <w:t>Sections 6-I.B and 6-I.C discuss general requirements and methods for calculating annual income. The rest of Part I describes how each source of income is treated for the purposes of determining annual income</w:t>
      </w:r>
      <w:r w:rsidRPr="00B54141">
        <w:rPr>
          <w:rFonts w:cs="Arial"/>
        </w:rPr>
        <w:t>.</w:t>
      </w:r>
    </w:p>
    <w:p w:rsidR="003636C0" w:rsidRPr="00B54141" w:rsidRDefault="003636C0" w:rsidP="003636C0">
      <w:r w:rsidRPr="00B54141">
        <w:t>Verification requirements for annual income are discussed in Chapter 7.</w:t>
      </w:r>
    </w:p>
    <w:p w:rsidR="003636C0" w:rsidRPr="00B54141" w:rsidRDefault="003636C0" w:rsidP="003636C0">
      <w:r w:rsidRPr="00B54141">
        <w:rPr>
          <w:b/>
        </w:rPr>
        <w:t>No PHA policy decisions are required.</w:t>
      </w:r>
    </w:p>
    <w:bookmarkEnd w:id="7"/>
    <w:p w:rsidR="003636C0" w:rsidRDefault="003636C0" w:rsidP="00085CE4">
      <w:pPr>
        <w:ind w:left="720"/>
        <w:rPr>
          <w:b/>
          <w:sz w:val="24"/>
          <w:szCs w:val="24"/>
        </w:rPr>
      </w:pPr>
    </w:p>
    <w:p w:rsidR="003636C0" w:rsidRPr="003636C0" w:rsidRDefault="003636C0" w:rsidP="00085CE4">
      <w:pPr>
        <w:ind w:left="720"/>
        <w:rPr>
          <w:b/>
          <w:sz w:val="24"/>
          <w:szCs w:val="24"/>
        </w:rPr>
      </w:pPr>
    </w:p>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7C4DEE" w:rsidRDefault="007C4DEE"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294FEC" w:rsidRDefault="00294FEC" w:rsidP="007C4DEE"/>
    <w:p w:rsidR="004E13A5" w:rsidRDefault="00050620" w:rsidP="00294FEC">
      <w:pPr>
        <w:spacing w:before="179"/>
        <w:ind w:left="200" w:right="2382"/>
        <w:sectPr w:rsidR="004E13A5">
          <w:pgSz w:w="12240" w:h="15840"/>
          <w:pgMar w:top="1500" w:right="1220" w:bottom="640" w:left="1220" w:header="0" w:footer="441" w:gutter="0"/>
          <w:cols w:num="2" w:space="720" w:equalWidth="0">
            <w:col w:w="2140" w:space="41"/>
            <w:col w:w="7619"/>
          </w:cols>
        </w:sectPr>
      </w:pPr>
      <w:r>
        <w:t>\</w:t>
      </w:r>
    </w:p>
    <w:p w:rsidR="004E13A5" w:rsidRDefault="004E13A5">
      <w:pPr>
        <w:pStyle w:val="BodyText"/>
        <w:spacing w:before="9"/>
        <w:ind w:left="0"/>
        <w:rPr>
          <w:sz w:val="20"/>
        </w:rPr>
      </w:pPr>
    </w:p>
    <w:p w:rsidR="004E13A5" w:rsidRDefault="00681463">
      <w:pPr>
        <w:pStyle w:val="Heading4"/>
        <w:spacing w:before="1"/>
        <w:ind w:left="120"/>
      </w:pPr>
      <w:r>
        <w:t>6-I.B. HOUSEHOLD COMPOSITION AND INCOME</w:t>
      </w:r>
    </w:p>
    <w:p w:rsidR="004E13A5" w:rsidRDefault="00681463">
      <w:pPr>
        <w:pStyle w:val="BodyText"/>
        <w:spacing w:before="120"/>
        <w:ind w:left="120" w:right="262"/>
      </w:pPr>
      <w:r>
        <w:t>Income received by all family members must be counted unless specifically excluded by the regulations. It is the responsibility of the head of household to report changes in family composition. The rules on which sources of income are counted vary somewhat by family member. The chart below summarizes how family composition affects income determinations.</w:t>
      </w:r>
    </w:p>
    <w:p w:rsidR="004E13A5" w:rsidRDefault="004E13A5">
      <w:pPr>
        <w:pStyle w:val="BodyText"/>
        <w:spacing w:before="0"/>
        <w:ind w:left="0"/>
        <w:rPr>
          <w:sz w:val="20"/>
        </w:rPr>
      </w:pPr>
    </w:p>
    <w:p w:rsidR="004E13A5" w:rsidRDefault="004E13A5">
      <w:pPr>
        <w:pStyle w:val="BodyText"/>
        <w:spacing w:before="5"/>
        <w:ind w:left="0"/>
        <w:rPr>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5987"/>
      </w:tblGrid>
      <w:tr w:rsidR="004E13A5">
        <w:trPr>
          <w:trHeight w:hRule="exact" w:val="408"/>
        </w:trPr>
        <w:tc>
          <w:tcPr>
            <w:tcW w:w="9227" w:type="dxa"/>
            <w:gridSpan w:val="2"/>
          </w:tcPr>
          <w:p w:rsidR="004E13A5" w:rsidRDefault="00681463">
            <w:pPr>
              <w:pStyle w:val="TableParagraph"/>
              <w:spacing w:before="121"/>
              <w:ind w:left="1804"/>
              <w:rPr>
                <w:b/>
                <w:sz w:val="24"/>
              </w:rPr>
            </w:pPr>
            <w:r>
              <w:rPr>
                <w:b/>
                <w:sz w:val="24"/>
              </w:rPr>
              <w:t>Summary of Income Included and Excluded by Person</w:t>
            </w:r>
          </w:p>
        </w:tc>
      </w:tr>
      <w:tr w:rsidR="004E13A5">
        <w:trPr>
          <w:trHeight w:hRule="exact" w:val="406"/>
        </w:trPr>
        <w:tc>
          <w:tcPr>
            <w:tcW w:w="3241" w:type="dxa"/>
          </w:tcPr>
          <w:p w:rsidR="004E13A5" w:rsidRDefault="00681463">
            <w:pPr>
              <w:pStyle w:val="TableParagraph"/>
              <w:spacing w:before="119"/>
              <w:rPr>
                <w:sz w:val="24"/>
              </w:rPr>
            </w:pPr>
            <w:r>
              <w:rPr>
                <w:sz w:val="24"/>
              </w:rPr>
              <w:t>Live-in aides</w:t>
            </w:r>
          </w:p>
        </w:tc>
        <w:tc>
          <w:tcPr>
            <w:tcW w:w="5987" w:type="dxa"/>
          </w:tcPr>
          <w:p w:rsidR="004E13A5" w:rsidRDefault="00681463">
            <w:pPr>
              <w:pStyle w:val="TableParagraph"/>
              <w:spacing w:before="119"/>
              <w:rPr>
                <w:sz w:val="24"/>
              </w:rPr>
            </w:pPr>
            <w:r>
              <w:rPr>
                <w:sz w:val="24"/>
              </w:rPr>
              <w:t>Income from all sources is excluded [24 CFR 5.609(c)(5)].</w:t>
            </w:r>
          </w:p>
        </w:tc>
      </w:tr>
      <w:tr w:rsidR="004E13A5">
        <w:trPr>
          <w:trHeight w:hRule="exact" w:val="406"/>
        </w:trPr>
        <w:tc>
          <w:tcPr>
            <w:tcW w:w="3241" w:type="dxa"/>
          </w:tcPr>
          <w:p w:rsidR="004E13A5" w:rsidRDefault="00681463">
            <w:pPr>
              <w:pStyle w:val="TableParagraph"/>
              <w:spacing w:before="119"/>
              <w:rPr>
                <w:sz w:val="24"/>
              </w:rPr>
            </w:pPr>
            <w:r>
              <w:rPr>
                <w:sz w:val="24"/>
              </w:rPr>
              <w:t>Foster child or foster adult</w:t>
            </w:r>
          </w:p>
        </w:tc>
        <w:tc>
          <w:tcPr>
            <w:tcW w:w="5987" w:type="dxa"/>
          </w:tcPr>
          <w:p w:rsidR="004E13A5" w:rsidRDefault="00681463">
            <w:pPr>
              <w:pStyle w:val="TableParagraph"/>
              <w:spacing w:before="119"/>
              <w:rPr>
                <w:sz w:val="24"/>
              </w:rPr>
            </w:pPr>
            <w:r>
              <w:rPr>
                <w:sz w:val="24"/>
              </w:rPr>
              <w:t>Income from all sources is excluded [24 CFR 5.609(c)(2)].</w:t>
            </w:r>
          </w:p>
        </w:tc>
      </w:tr>
      <w:tr w:rsidR="004E13A5">
        <w:trPr>
          <w:trHeight w:hRule="exact" w:val="682"/>
        </w:trPr>
        <w:tc>
          <w:tcPr>
            <w:tcW w:w="3241" w:type="dxa"/>
          </w:tcPr>
          <w:p w:rsidR="004E13A5" w:rsidRDefault="00681463">
            <w:pPr>
              <w:pStyle w:val="TableParagraph"/>
              <w:spacing w:before="119"/>
              <w:ind w:right="395"/>
              <w:rPr>
                <w:sz w:val="24"/>
              </w:rPr>
            </w:pPr>
            <w:r>
              <w:rPr>
                <w:sz w:val="24"/>
              </w:rPr>
              <w:t>Head, spouse, or co-head Other adult family members</w:t>
            </w:r>
          </w:p>
        </w:tc>
        <w:tc>
          <w:tcPr>
            <w:tcW w:w="5987" w:type="dxa"/>
          </w:tcPr>
          <w:p w:rsidR="004E13A5" w:rsidRDefault="00681463">
            <w:pPr>
              <w:pStyle w:val="TableParagraph"/>
              <w:spacing w:before="119"/>
              <w:rPr>
                <w:sz w:val="24"/>
              </w:rPr>
            </w:pPr>
            <w:r>
              <w:rPr>
                <w:sz w:val="24"/>
              </w:rPr>
              <w:t>All sources of income not specifically excluded by the regulations are included.</w:t>
            </w:r>
          </w:p>
        </w:tc>
      </w:tr>
      <w:tr w:rsidR="004E13A5">
        <w:trPr>
          <w:trHeight w:hRule="exact" w:val="1078"/>
        </w:trPr>
        <w:tc>
          <w:tcPr>
            <w:tcW w:w="3241" w:type="dxa"/>
          </w:tcPr>
          <w:p w:rsidR="004E13A5" w:rsidRDefault="00681463">
            <w:pPr>
              <w:pStyle w:val="TableParagraph"/>
              <w:spacing w:before="119"/>
              <w:rPr>
                <w:sz w:val="24"/>
              </w:rPr>
            </w:pPr>
            <w:r>
              <w:rPr>
                <w:sz w:val="24"/>
              </w:rPr>
              <w:t>Children under 18 years of age</w:t>
            </w:r>
          </w:p>
        </w:tc>
        <w:tc>
          <w:tcPr>
            <w:tcW w:w="5987" w:type="dxa"/>
          </w:tcPr>
          <w:p w:rsidR="004E13A5" w:rsidRDefault="00681463">
            <w:pPr>
              <w:pStyle w:val="TableParagraph"/>
              <w:spacing w:before="119"/>
              <w:rPr>
                <w:sz w:val="24"/>
              </w:rPr>
            </w:pPr>
            <w:r>
              <w:rPr>
                <w:sz w:val="24"/>
              </w:rPr>
              <w:t>Employment income is excluded [24 CFR 5.609(c)(1)].</w:t>
            </w:r>
          </w:p>
          <w:p w:rsidR="004E13A5" w:rsidRDefault="00681463">
            <w:pPr>
              <w:pStyle w:val="TableParagraph"/>
              <w:spacing w:before="120"/>
              <w:ind w:right="709"/>
              <w:rPr>
                <w:sz w:val="24"/>
              </w:rPr>
            </w:pPr>
            <w:r>
              <w:rPr>
                <w:sz w:val="24"/>
              </w:rPr>
              <w:t>All other sources of income, except those specifically excluded by the regulations, are included.</w:t>
            </w:r>
          </w:p>
        </w:tc>
      </w:tr>
      <w:tr w:rsidR="004E13A5">
        <w:trPr>
          <w:trHeight w:hRule="exact" w:val="1354"/>
        </w:trPr>
        <w:tc>
          <w:tcPr>
            <w:tcW w:w="3241" w:type="dxa"/>
          </w:tcPr>
          <w:p w:rsidR="004E13A5" w:rsidRDefault="00681463">
            <w:pPr>
              <w:pStyle w:val="TableParagraph"/>
              <w:spacing w:before="119"/>
              <w:ind w:right="168"/>
              <w:rPr>
                <w:sz w:val="24"/>
              </w:rPr>
            </w:pPr>
            <w:r>
              <w:rPr>
                <w:sz w:val="24"/>
              </w:rPr>
              <w:t>Full-time students 18 years of age or older (not head, spouse, or co-head)</w:t>
            </w:r>
          </w:p>
        </w:tc>
        <w:tc>
          <w:tcPr>
            <w:tcW w:w="5987" w:type="dxa"/>
          </w:tcPr>
          <w:p w:rsidR="004E13A5" w:rsidRDefault="00681463">
            <w:pPr>
              <w:pStyle w:val="TableParagraph"/>
              <w:spacing w:before="119"/>
              <w:ind w:right="155"/>
              <w:rPr>
                <w:sz w:val="24"/>
              </w:rPr>
            </w:pPr>
            <w:r>
              <w:rPr>
                <w:sz w:val="24"/>
              </w:rPr>
              <w:t>Employment income above $480/year is excluded [24 CFR 5.609(c)(11)].</w:t>
            </w:r>
          </w:p>
          <w:p w:rsidR="004E13A5" w:rsidRDefault="00681463">
            <w:pPr>
              <w:pStyle w:val="TableParagraph"/>
              <w:spacing w:before="120"/>
              <w:ind w:right="709"/>
              <w:rPr>
                <w:sz w:val="24"/>
              </w:rPr>
            </w:pPr>
            <w:r>
              <w:rPr>
                <w:sz w:val="24"/>
              </w:rPr>
              <w:t>All other sources of income, except those specifically excluded by the regulations, are included.</w:t>
            </w:r>
          </w:p>
        </w:tc>
      </w:tr>
    </w:tbl>
    <w:p w:rsidR="004E13A5" w:rsidRDefault="00681463">
      <w:pPr>
        <w:pStyle w:val="Heading4"/>
        <w:spacing w:before="119"/>
        <w:ind w:left="120"/>
      </w:pPr>
      <w:r>
        <w:t>Temporarily Absent Family Members</w:t>
      </w:r>
    </w:p>
    <w:p w:rsidR="004E13A5" w:rsidRDefault="00681463">
      <w:pPr>
        <w:pStyle w:val="BodyText"/>
        <w:spacing w:before="120"/>
        <w:ind w:left="120" w:right="382"/>
      </w:pPr>
      <w:r>
        <w:t>The income of family members approved to live in the unit will be counted, even if the family member is temporarily absent from the unit [HCV GB, p. 5-18].</w:t>
      </w:r>
    </w:p>
    <w:p w:rsidR="004E13A5" w:rsidRDefault="00681463">
      <w:pPr>
        <w:pStyle w:val="BodyText"/>
        <w:spacing w:before="120"/>
        <w:ind w:left="840"/>
      </w:pPr>
      <w:r>
        <w:rPr>
          <w:u w:val="single"/>
        </w:rPr>
        <w:t>PHA Policy</w:t>
      </w:r>
    </w:p>
    <w:p w:rsidR="00B11879" w:rsidRDefault="00B11879" w:rsidP="00B11879">
      <w:pPr>
        <w:ind w:left="840"/>
      </w:pPr>
      <w:bookmarkStart w:id="8" w:name="_Hlk135040369"/>
      <w:r w:rsidRPr="00B54141">
        <w:t>Unless specifically excluded by the regulations, the income of all family members approved to live in the unit will be counted, even if the family member is temporarily absent from the unit.</w:t>
      </w:r>
    </w:p>
    <w:p w:rsidR="00B11879" w:rsidRPr="00B54141" w:rsidRDefault="00B11879" w:rsidP="00B11879">
      <w:pPr>
        <w:ind w:left="840"/>
      </w:pPr>
    </w:p>
    <w:bookmarkEnd w:id="8"/>
    <w:p w:rsidR="00B11879" w:rsidRPr="00B54141" w:rsidRDefault="00B11879" w:rsidP="00B11879">
      <w:pPr>
        <w:keepNext/>
        <w:ind w:left="840"/>
        <w:rPr>
          <w:bCs/>
        </w:rPr>
      </w:pPr>
      <w:r w:rsidRPr="00B54141">
        <w:t xml:space="preserve">Generally, an individual who is or is expected to be absent from the assisted unit for 180 consecutive days or less is considered temporarily absent and continues to be considered a family member. Generally, an individual </w:t>
      </w:r>
      <w:r w:rsidRPr="00B54141">
        <w:rPr>
          <w:bCs/>
        </w:rPr>
        <w:t>who is or is expected to be absent from the assisted unit for more than 180 consecutive days is considered permanently absent and no longer a family member. Exceptions to this general policy are discussed below.</w:t>
      </w:r>
    </w:p>
    <w:p w:rsidR="004E13A5" w:rsidRDefault="004E13A5">
      <w:pPr>
        <w:sectPr w:rsidR="004E13A5">
          <w:pgSz w:w="12240" w:h="15840"/>
          <w:pgMar w:top="1360" w:right="1360" w:bottom="640" w:left="1320" w:header="0" w:footer="441" w:gutter="0"/>
          <w:cols w:space="720"/>
        </w:sectPr>
      </w:pPr>
    </w:p>
    <w:p w:rsidR="004E13A5" w:rsidRDefault="00681463">
      <w:pPr>
        <w:pStyle w:val="Heading5"/>
        <w:spacing w:before="79"/>
      </w:pPr>
      <w:r>
        <w:lastRenderedPageBreak/>
        <w:t>Absent Students</w:t>
      </w:r>
    </w:p>
    <w:p w:rsidR="004E13A5" w:rsidRDefault="00681463">
      <w:pPr>
        <w:pStyle w:val="BodyText"/>
        <w:ind w:left="820"/>
      </w:pPr>
      <w:r>
        <w:rPr>
          <w:u w:val="single"/>
        </w:rPr>
        <w:t>PHA Policy</w:t>
      </w:r>
    </w:p>
    <w:p w:rsidR="004E13A5" w:rsidRDefault="00681463">
      <w:pPr>
        <w:pStyle w:val="BodyText"/>
        <w:ind w:left="820" w:right="415"/>
      </w:pPr>
      <w:r>
        <w:t>When someone who has been considered a family member attends school away from home, the person will continue to be considered a family member unless information becomes available to the PHA indicating that the student has established a separate household or the family declares that the student has established a separate household.</w:t>
      </w:r>
    </w:p>
    <w:p w:rsidR="004E13A5" w:rsidRDefault="00681463">
      <w:pPr>
        <w:pStyle w:val="Heading5"/>
      </w:pPr>
      <w:r>
        <w:t>Absences Due to Placement in Foster Care</w:t>
      </w:r>
    </w:p>
    <w:p w:rsidR="004E13A5" w:rsidRDefault="00681463">
      <w:pPr>
        <w:pStyle w:val="BodyText"/>
        <w:ind w:right="62"/>
      </w:pPr>
      <w:r>
        <w:t>Children temporarily absent from the home as a result of placement in foster care are considered members of the family [24 CFR 5.403].</w:t>
      </w:r>
    </w:p>
    <w:p w:rsidR="004E13A5" w:rsidRDefault="00681463">
      <w:pPr>
        <w:pStyle w:val="BodyText"/>
        <w:ind w:left="820"/>
      </w:pPr>
      <w:r>
        <w:rPr>
          <w:u w:val="single"/>
        </w:rPr>
        <w:t>PHA Policy</w:t>
      </w:r>
    </w:p>
    <w:p w:rsidR="004E13A5" w:rsidRDefault="00681463">
      <w:pPr>
        <w:pStyle w:val="BodyText"/>
        <w:spacing w:before="120"/>
        <w:ind w:left="820" w:right="189"/>
      </w:pPr>
      <w: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 member.</w:t>
      </w:r>
    </w:p>
    <w:p w:rsidR="004E13A5" w:rsidRDefault="00681463">
      <w:pPr>
        <w:pStyle w:val="Heading5"/>
        <w:spacing w:before="120"/>
      </w:pPr>
      <w:r>
        <w:t>Absent Head, Spouse, or Co-head</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An employed head, spouse, or co-head absent from the unit more than 180 consecutive days due to employment will continue to be considered a family member.</w:t>
      </w:r>
    </w:p>
    <w:p w:rsidR="004E13A5" w:rsidRDefault="00681463">
      <w:pPr>
        <w:pStyle w:val="Heading4"/>
        <w:spacing w:before="120"/>
      </w:pPr>
      <w:r>
        <w:t>Family Members Permanently Confined for Medical Reasons</w:t>
      </w:r>
    </w:p>
    <w:p w:rsidR="004E13A5" w:rsidRDefault="00681463">
      <w:pPr>
        <w:pStyle w:val="BodyText"/>
        <w:spacing w:before="120"/>
        <w:ind w:right="114"/>
      </w:pPr>
      <w:r>
        <w:t>If a family member is confined to a nursing home or hospital on a permanent basis, that person</w:t>
      </w:r>
      <w:r>
        <w:rPr>
          <w:spacing w:val="-15"/>
        </w:rPr>
        <w:t xml:space="preserve"> </w:t>
      </w:r>
      <w:r>
        <w:t>is no longer considered a family member and the income of that person is not counted [HCV GB, p. 5-22].</w:t>
      </w:r>
    </w:p>
    <w:p w:rsidR="004E13A5" w:rsidRDefault="00681463">
      <w:pPr>
        <w:pStyle w:val="BodyText"/>
        <w:spacing w:before="120"/>
        <w:ind w:left="820"/>
      </w:pPr>
      <w:r>
        <w:rPr>
          <w:u w:val="single"/>
        </w:rPr>
        <w:t>PHA Policy</w:t>
      </w:r>
    </w:p>
    <w:p w:rsidR="004E13A5" w:rsidRDefault="00681463">
      <w:pPr>
        <w:pStyle w:val="BodyText"/>
        <w:spacing w:before="120"/>
        <w:ind w:left="820" w:right="315"/>
      </w:pPr>
      <w:r>
        <w:t>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 member.</w:t>
      </w:r>
    </w:p>
    <w:p w:rsidR="004E13A5" w:rsidRDefault="00681463">
      <w:pPr>
        <w:pStyle w:val="BodyText"/>
        <w:spacing w:before="120"/>
        <w:ind w:left="820" w:right="329"/>
      </w:pPr>
      <w:r>
        <w:t>When an individual who has been counted as a family member is determined permanently absent, the family is eligible for the medical expense deduction only if the remaining head, spouse, or co-head qualifies as an elderly person or a person with disabilities.</w:t>
      </w:r>
    </w:p>
    <w:p w:rsidR="004E13A5" w:rsidRDefault="00681463">
      <w:pPr>
        <w:pStyle w:val="Heading4"/>
        <w:spacing w:before="120"/>
      </w:pPr>
      <w:r>
        <w:t>Joint Custody of Dependents</w:t>
      </w:r>
    </w:p>
    <w:p w:rsidR="004E13A5" w:rsidRDefault="00681463">
      <w:pPr>
        <w:pStyle w:val="BodyText"/>
        <w:ind w:left="820"/>
      </w:pPr>
      <w:r>
        <w:rPr>
          <w:u w:val="single"/>
        </w:rPr>
        <w:t>PHA Policy</w:t>
      </w:r>
    </w:p>
    <w:p w:rsidR="004E13A5" w:rsidRDefault="00681463">
      <w:pPr>
        <w:pStyle w:val="BodyText"/>
        <w:ind w:left="820" w:right="149"/>
      </w:pPr>
      <w:r>
        <w:t>Dependents that are subject to a joint custody arrangement will be considered a member of the family, if they live with the applicant or participant family 50 percent or more of the time.</w:t>
      </w:r>
    </w:p>
    <w:p w:rsidR="004E13A5" w:rsidRDefault="00681463">
      <w:pPr>
        <w:pStyle w:val="BodyText"/>
        <w:ind w:left="820" w:right="108"/>
      </w:pPr>
      <w:r>
        <w:t>When more than one applicant or participant family is claiming the same dependents as family members, the family with primary custody at the time of the initial examination or reexamination will be able to claim the dependents. If there is a dispute about which</w:t>
      </w:r>
    </w:p>
    <w:p w:rsidR="004E13A5" w:rsidRDefault="004E13A5">
      <w:pPr>
        <w:sectPr w:rsidR="004E13A5">
          <w:pgSz w:w="12240" w:h="15840"/>
          <w:pgMar w:top="1360" w:right="1360" w:bottom="640" w:left="1340" w:header="0" w:footer="441" w:gutter="0"/>
          <w:cols w:space="720"/>
        </w:sectPr>
      </w:pPr>
    </w:p>
    <w:p w:rsidR="004E13A5" w:rsidRDefault="00681463">
      <w:pPr>
        <w:pStyle w:val="BodyText"/>
        <w:spacing w:before="79"/>
        <w:ind w:left="820" w:right="315"/>
      </w:pPr>
      <w:r>
        <w:lastRenderedPageBreak/>
        <w:t>family should claim them, the PHA will make the determination based on available documents such as court orders, school records, or an IRS return showing which family has claimed the child for income tax purposes.</w:t>
      </w:r>
    </w:p>
    <w:p w:rsidR="004E13A5" w:rsidRDefault="00681463">
      <w:pPr>
        <w:pStyle w:val="Heading4"/>
        <w:spacing w:before="119"/>
      </w:pPr>
      <w:r>
        <w:t>Caretakers for a Child</w:t>
      </w:r>
    </w:p>
    <w:p w:rsidR="004E13A5" w:rsidRDefault="00681463">
      <w:pPr>
        <w:pStyle w:val="BodyText"/>
        <w:ind w:left="820"/>
      </w:pPr>
      <w:r>
        <w:rPr>
          <w:u w:val="single"/>
        </w:rPr>
        <w:t>PHA Policy</w:t>
      </w:r>
    </w:p>
    <w:p w:rsidR="004E13A5" w:rsidRDefault="00681463">
      <w:pPr>
        <w:pStyle w:val="BodyText"/>
        <w:ind w:left="820" w:right="83"/>
      </w:pPr>
      <w:r>
        <w:t>The approval of a caretaker is at the owner and PHA’s discretion and subject to the owner and PHA’s screening criteria. If neither a parent nor a designated guardian remains in a household receiving HCV assistance, the PHA will take the following actions.</w:t>
      </w:r>
    </w:p>
    <w:p w:rsidR="004E13A5" w:rsidRDefault="00681463">
      <w:pPr>
        <w:pStyle w:val="ListParagraph"/>
        <w:numPr>
          <w:ilvl w:val="1"/>
          <w:numId w:val="80"/>
        </w:numPr>
        <w:tabs>
          <w:tab w:val="left" w:pos="1181"/>
        </w:tabs>
        <w:ind w:right="298"/>
        <w:rPr>
          <w:sz w:val="24"/>
        </w:rPr>
      </w:pPr>
      <w:r>
        <w:rPr>
          <w:sz w:val="24"/>
        </w:rPr>
        <w:t>If a responsible agency has determined that another adult is to be brought into the assisted unit to care for a child for an indefinite period, the designated caretaker</w:t>
      </w:r>
      <w:r>
        <w:rPr>
          <w:spacing w:val="-18"/>
          <w:sz w:val="24"/>
        </w:rPr>
        <w:t xml:space="preserve"> </w:t>
      </w:r>
      <w:r>
        <w:rPr>
          <w:sz w:val="24"/>
        </w:rPr>
        <w:t>will not be considered a family member until a determination of custody or legal guardianship is</w:t>
      </w:r>
      <w:r>
        <w:rPr>
          <w:spacing w:val="-5"/>
          <w:sz w:val="24"/>
        </w:rPr>
        <w:t xml:space="preserve"> </w:t>
      </w:r>
      <w:r>
        <w:rPr>
          <w:sz w:val="24"/>
        </w:rPr>
        <w:t>made.</w:t>
      </w:r>
    </w:p>
    <w:p w:rsidR="004E13A5" w:rsidRDefault="00681463">
      <w:pPr>
        <w:pStyle w:val="ListParagraph"/>
        <w:numPr>
          <w:ilvl w:val="1"/>
          <w:numId w:val="80"/>
        </w:numPr>
        <w:tabs>
          <w:tab w:val="left" w:pos="1181"/>
        </w:tabs>
        <w:ind w:right="478"/>
        <w:rPr>
          <w:sz w:val="24"/>
        </w:rPr>
      </w:pPr>
      <w:r>
        <w:rPr>
          <w:sz w:val="24"/>
        </w:rPr>
        <w:t>If a caretaker has assumed responsibility for a child without the involvement of a responsible agency or formal assignment of custody or legal guardianship, the caretaker will be treated as a visitor for 90 days. After the 90 days has elapsed,</w:t>
      </w:r>
      <w:r>
        <w:rPr>
          <w:spacing w:val="-18"/>
          <w:sz w:val="24"/>
        </w:rPr>
        <w:t xml:space="preserve"> </w:t>
      </w:r>
      <w:r>
        <w:rPr>
          <w:sz w:val="24"/>
        </w:rPr>
        <w:t>the caretaker will be considered a family member unless information is provided that would confirm that the caretaker’s role is temporary. In such cases the PHA will extend the caretaker’s status as an eligible</w:t>
      </w:r>
      <w:r>
        <w:rPr>
          <w:spacing w:val="-12"/>
          <w:sz w:val="24"/>
        </w:rPr>
        <w:t xml:space="preserve"> </w:t>
      </w:r>
      <w:r>
        <w:rPr>
          <w:sz w:val="24"/>
        </w:rPr>
        <w:t>visitor.</w:t>
      </w:r>
    </w:p>
    <w:p w:rsidR="004E13A5" w:rsidRDefault="00681463">
      <w:pPr>
        <w:pStyle w:val="ListParagraph"/>
        <w:numPr>
          <w:ilvl w:val="1"/>
          <w:numId w:val="80"/>
        </w:numPr>
        <w:tabs>
          <w:tab w:val="left" w:pos="1181"/>
        </w:tabs>
        <w:ind w:right="219"/>
        <w:rPr>
          <w:sz w:val="24"/>
        </w:rPr>
      </w:pPr>
      <w:r>
        <w:rPr>
          <w:sz w:val="24"/>
        </w:rPr>
        <w:t>At any time that custody or guardianship legally has been awarded to a caretaker,</w:t>
      </w:r>
      <w:r>
        <w:rPr>
          <w:spacing w:val="-18"/>
          <w:sz w:val="24"/>
        </w:rPr>
        <w:t xml:space="preserve"> </w:t>
      </w:r>
      <w:r>
        <w:rPr>
          <w:sz w:val="24"/>
        </w:rPr>
        <w:t>the housing choice voucher will be transferred to the</w:t>
      </w:r>
      <w:r>
        <w:rPr>
          <w:spacing w:val="-12"/>
          <w:sz w:val="24"/>
        </w:rPr>
        <w:t xml:space="preserve"> </w:t>
      </w:r>
      <w:r>
        <w:rPr>
          <w:sz w:val="24"/>
        </w:rPr>
        <w:t>caretaker.</w:t>
      </w:r>
    </w:p>
    <w:p w:rsidR="004E13A5" w:rsidRDefault="00681463">
      <w:pPr>
        <w:pStyle w:val="ListParagraph"/>
        <w:numPr>
          <w:ilvl w:val="1"/>
          <w:numId w:val="80"/>
        </w:numPr>
        <w:tabs>
          <w:tab w:val="left" w:pos="1181"/>
        </w:tabs>
        <w:ind w:right="199"/>
        <w:jc w:val="both"/>
        <w:rPr>
          <w:sz w:val="24"/>
        </w:rPr>
      </w:pPr>
      <w:r>
        <w:rPr>
          <w:sz w:val="24"/>
        </w:rPr>
        <w:t>During any period that a caretaker is considered a visitor, the income of the caretaker is not counted in annual income and the caretaker does not qualify the family for any deductions from</w:t>
      </w:r>
      <w:r>
        <w:rPr>
          <w:spacing w:val="-5"/>
          <w:sz w:val="24"/>
        </w:rPr>
        <w:t xml:space="preserve"> </w:t>
      </w:r>
      <w:r>
        <w:rPr>
          <w:sz w:val="24"/>
        </w:rPr>
        <w:t>income.</w:t>
      </w:r>
    </w:p>
    <w:p w:rsidR="004E13A5" w:rsidRDefault="004E13A5">
      <w:pPr>
        <w:pStyle w:val="BodyText"/>
        <w:spacing w:before="9"/>
        <w:ind w:left="0"/>
        <w:rPr>
          <w:sz w:val="20"/>
        </w:rPr>
      </w:pPr>
    </w:p>
    <w:p w:rsidR="004E13A5" w:rsidRDefault="00681463">
      <w:pPr>
        <w:pStyle w:val="Heading4"/>
      </w:pPr>
      <w:r>
        <w:t xml:space="preserve">6-I.C. </w:t>
      </w:r>
      <w:r w:rsidR="00F94571" w:rsidRPr="00B54141">
        <w:t>CALCULATING ANNUAL INCOME</w:t>
      </w:r>
    </w:p>
    <w:p w:rsidR="00F94571" w:rsidRDefault="00F94571">
      <w:pPr>
        <w:pStyle w:val="Heading4"/>
      </w:pPr>
    </w:p>
    <w:p w:rsidR="00F94571" w:rsidRPr="00F94571" w:rsidRDefault="00F94571" w:rsidP="00F94571">
      <w:pPr>
        <w:rPr>
          <w:sz w:val="24"/>
          <w:szCs w:val="24"/>
        </w:rPr>
      </w:pPr>
      <w:r w:rsidRPr="00F94571">
        <w:rPr>
          <w:sz w:val="24"/>
          <w:szCs w:val="24"/>
        </w:rPr>
        <w:t>The methodology used for calculating annual income differs depending on whether income is being calculated at initial occupancy, interim reexamination, or at annual reexamination.</w:t>
      </w:r>
    </w:p>
    <w:p w:rsidR="00F94571" w:rsidRDefault="00F94571" w:rsidP="00F94571">
      <w:pPr>
        <w:pStyle w:val="Heading4"/>
        <w:ind w:left="0"/>
      </w:pPr>
    </w:p>
    <w:p w:rsidR="004E13A5" w:rsidRDefault="00681463">
      <w:pPr>
        <w:pStyle w:val="BodyText"/>
      </w:pPr>
      <w:r>
        <w:t>The PHA is required to count all income “anticipated to be received from a source outside the family during the 12-month period following admission or annual reexamination effective date” [24 CFR 5.609(a)(2)]. Policies related to anticipating annual income are provided below.</w:t>
      </w:r>
    </w:p>
    <w:p w:rsidR="00F94571" w:rsidRDefault="00F94571">
      <w:pPr>
        <w:pStyle w:val="BodyText"/>
      </w:pPr>
    </w:p>
    <w:p w:rsidR="00F94571" w:rsidRDefault="00F94571" w:rsidP="00F94571">
      <w:pPr>
        <w:keepNext/>
        <w:rPr>
          <w:b/>
          <w:sz w:val="24"/>
          <w:szCs w:val="24"/>
        </w:rPr>
      </w:pPr>
      <w:bookmarkStart w:id="9" w:name="_Hlk134444878"/>
      <w:r w:rsidRPr="00F94571">
        <w:rPr>
          <w:b/>
          <w:sz w:val="24"/>
          <w:szCs w:val="24"/>
        </w:rPr>
        <w:t>Anticipating Annual Income [24 CFR 5.609I(1)]</w:t>
      </w:r>
    </w:p>
    <w:p w:rsidR="00F94571" w:rsidRPr="00F94571" w:rsidRDefault="00F94571" w:rsidP="00F94571">
      <w:pPr>
        <w:keepNext/>
        <w:rPr>
          <w:b/>
          <w:sz w:val="24"/>
          <w:szCs w:val="24"/>
        </w:rPr>
      </w:pPr>
    </w:p>
    <w:bookmarkEnd w:id="9"/>
    <w:p w:rsidR="00F94571" w:rsidRPr="00B723A2" w:rsidRDefault="00F94571" w:rsidP="00B723A2">
      <w:pPr>
        <w:rPr>
          <w:sz w:val="24"/>
          <w:szCs w:val="24"/>
        </w:rPr>
      </w:pPr>
      <w:r w:rsidRPr="00F94571">
        <w:rPr>
          <w:sz w:val="24"/>
          <w:szCs w:val="24"/>
        </w:rPr>
        <w:t xml:space="preserve">At initial occupancy and for an interim reexamination of family income, the PHA is required to </w:t>
      </w:r>
      <w:bookmarkStart w:id="10" w:name="_Hlk147317932"/>
      <w:r w:rsidRPr="00F94571">
        <w:rPr>
          <w:sz w:val="24"/>
          <w:szCs w:val="24"/>
        </w:rPr>
        <w:t xml:space="preserve">use anticipated income (current income) </w:t>
      </w:r>
      <w:bookmarkEnd w:id="10"/>
      <w:r w:rsidRPr="00F94571">
        <w:rPr>
          <w:sz w:val="24"/>
          <w:szCs w:val="24"/>
        </w:rPr>
        <w:t>of the family for the upcoming 12-month period.</w:t>
      </w:r>
      <w:r w:rsidR="00050620">
        <w:rPr>
          <w:sz w:val="28"/>
          <w:szCs w:val="28"/>
        </w:rPr>
        <w:tab/>
      </w:r>
      <w:r w:rsidR="00050620">
        <w:rPr>
          <w:sz w:val="28"/>
          <w:szCs w:val="28"/>
        </w:rPr>
        <w:tab/>
      </w:r>
    </w:p>
    <w:p w:rsidR="004E13A5" w:rsidRDefault="00681463" w:rsidP="00B723A2">
      <w:pPr>
        <w:pStyle w:val="BodyText"/>
        <w:ind w:left="0" w:right="262"/>
      </w:pPr>
      <w:r>
        <w:t>The PHA generally will use current circumstances to determine anticipated income for the coming 12-month period. HUD authorizes the PHA to use other than current circumstances to anticipate income when:</w:t>
      </w:r>
    </w:p>
    <w:p w:rsidR="004E13A5" w:rsidRDefault="00681463">
      <w:pPr>
        <w:pStyle w:val="BodyText"/>
        <w:tabs>
          <w:tab w:val="left" w:pos="460"/>
        </w:tabs>
      </w:pPr>
      <w:r>
        <w:rPr>
          <w:rFonts w:ascii="Symbol" w:hAnsi="Symbol"/>
        </w:rPr>
        <w:t></w:t>
      </w:r>
      <w:r>
        <w:tab/>
        <w:t>An imminent change in circumstances is expected [HCV GB, p.</w:t>
      </w:r>
      <w:r>
        <w:rPr>
          <w:spacing w:val="-9"/>
        </w:rPr>
        <w:t xml:space="preserve"> </w:t>
      </w:r>
      <w:r>
        <w:t>5-17]</w:t>
      </w:r>
    </w:p>
    <w:p w:rsidR="004E13A5" w:rsidRDefault="00681463">
      <w:pPr>
        <w:pStyle w:val="BodyText"/>
        <w:tabs>
          <w:tab w:val="left" w:pos="460"/>
        </w:tabs>
        <w:ind w:left="460" w:right="603" w:hanging="360"/>
      </w:pPr>
      <w:r>
        <w:rPr>
          <w:rFonts w:ascii="Symbol" w:hAnsi="Symbol"/>
        </w:rPr>
        <w:t></w:t>
      </w:r>
      <w:r>
        <w:tab/>
        <w:t>It is not feasible to anticipate a level of income over a 12-month period (e.g.,</w:t>
      </w:r>
      <w:r>
        <w:rPr>
          <w:spacing w:val="-12"/>
        </w:rPr>
        <w:t xml:space="preserve"> </w:t>
      </w:r>
      <w:r>
        <w:t>seasonal</w:t>
      </w:r>
      <w:r>
        <w:rPr>
          <w:spacing w:val="-1"/>
        </w:rPr>
        <w:t xml:space="preserve"> </w:t>
      </w:r>
      <w:r>
        <w:t>or cyclic income) [24 CFR</w:t>
      </w:r>
      <w:r>
        <w:rPr>
          <w:spacing w:val="-7"/>
        </w:rPr>
        <w:t xml:space="preserve"> </w:t>
      </w:r>
      <w:r>
        <w:t>5.609(d)]</w:t>
      </w:r>
    </w:p>
    <w:p w:rsidR="004E13A5" w:rsidRDefault="00681463">
      <w:pPr>
        <w:pStyle w:val="BodyText"/>
        <w:tabs>
          <w:tab w:val="left" w:pos="460"/>
        </w:tabs>
        <w:ind w:left="460" w:right="276" w:hanging="360"/>
      </w:pPr>
      <w:r>
        <w:rPr>
          <w:rFonts w:ascii="Symbol" w:hAnsi="Symbol"/>
        </w:rPr>
        <w:t></w:t>
      </w:r>
      <w:r>
        <w:tab/>
        <w:t>The PHA believes that past income is the best available indicator of expected</w:t>
      </w:r>
      <w:r>
        <w:rPr>
          <w:spacing w:val="-10"/>
        </w:rPr>
        <w:t xml:space="preserve"> </w:t>
      </w:r>
      <w:r>
        <w:t>future</w:t>
      </w:r>
      <w:r>
        <w:rPr>
          <w:spacing w:val="-2"/>
        </w:rPr>
        <w:t xml:space="preserve"> </w:t>
      </w:r>
      <w:r>
        <w:t xml:space="preserve">income </w:t>
      </w:r>
    </w:p>
    <w:p w:rsidR="004E13A5" w:rsidRDefault="00681463" w:rsidP="00F94571">
      <w:pPr>
        <w:pStyle w:val="BodyText"/>
      </w:pPr>
      <w:r>
        <w:lastRenderedPageBreak/>
        <w:t xml:space="preserve">PHAs are required to use HUD’s Enterprise Income Verification (EIV) system in its entirety as a </w:t>
      </w:r>
      <w:r w:rsidR="00050620">
        <w:t>third-party</w:t>
      </w:r>
      <w:r>
        <w:t xml:space="preserve"> source to verify employment and income information, and to reduce administrative subsidy payment errors in accordance with HUD administrative guidance [24 CFR 5.233(a)(2)</w:t>
      </w:r>
    </w:p>
    <w:p w:rsidR="003636C0" w:rsidRDefault="003636C0" w:rsidP="00F94571">
      <w:pPr>
        <w:pStyle w:val="BodyText"/>
      </w:pPr>
    </w:p>
    <w:p w:rsidR="003636C0" w:rsidRDefault="003636C0" w:rsidP="00F94571">
      <w:pPr>
        <w:pStyle w:val="BodyText"/>
      </w:pPr>
    </w:p>
    <w:p w:rsidR="004E13A5" w:rsidRDefault="00681463" w:rsidP="00F94571">
      <w:pPr>
        <w:pStyle w:val="BodyText"/>
        <w:spacing w:before="79"/>
        <w:ind w:left="0" w:right="557"/>
        <w:jc w:val="both"/>
      </w:pPr>
      <w:r>
        <w:t>HUD allows PHAs to use tenant-provided documents (pay stubs) to project income once EIV data has been received in such cases where the family does not dispute the EIV employer</w:t>
      </w:r>
      <w:r>
        <w:rPr>
          <w:spacing w:val="-18"/>
        </w:rPr>
        <w:t xml:space="preserve"> </w:t>
      </w:r>
      <w:r>
        <w:t>data and where the PHA does not determine it is necessary to obtain additional third-party</w:t>
      </w:r>
      <w:r>
        <w:rPr>
          <w:spacing w:val="-14"/>
        </w:rPr>
        <w:t xml:space="preserve"> </w:t>
      </w:r>
      <w:r>
        <w:t>data.</w:t>
      </w:r>
    </w:p>
    <w:p w:rsidR="004E13A5" w:rsidRDefault="00681463">
      <w:pPr>
        <w:pStyle w:val="BodyText"/>
        <w:ind w:left="820"/>
      </w:pPr>
      <w:r>
        <w:rPr>
          <w:u w:val="single"/>
        </w:rPr>
        <w:t>PHA Policy</w:t>
      </w:r>
    </w:p>
    <w:p w:rsidR="004E13A5" w:rsidRDefault="00681463">
      <w:pPr>
        <w:pStyle w:val="BodyText"/>
        <w:ind w:left="820" w:right="369"/>
      </w:pPr>
      <w:r>
        <w:t>When EIV is obtained and the family does not dispute the EIV employer data, the PHA will use current tenant-provided documents to project annual income. When the tenant- provided documents are pay stubs, the PHA will make every effort to obtain current and consecutive pay stubs dated within the last 60 days.</w:t>
      </w:r>
    </w:p>
    <w:p w:rsidR="004E13A5" w:rsidRDefault="00681463">
      <w:pPr>
        <w:pStyle w:val="BodyText"/>
        <w:ind w:left="820" w:right="509"/>
      </w:pPr>
      <w:r>
        <w:t>The PHA will obtain written and/or oral third-party verification in accordance with the verification requirements and policy in Chapter 7 in the following cases:</w:t>
      </w:r>
    </w:p>
    <w:p w:rsidR="004E13A5" w:rsidRDefault="00681463">
      <w:pPr>
        <w:pStyle w:val="BodyText"/>
        <w:ind w:left="1540"/>
      </w:pPr>
      <w:r>
        <w:t>If EIV or other UIV data is not available,</w:t>
      </w:r>
    </w:p>
    <w:p w:rsidR="004E13A5" w:rsidRDefault="00681463">
      <w:pPr>
        <w:pStyle w:val="BodyText"/>
        <w:spacing w:before="120" w:line="343" w:lineRule="auto"/>
        <w:ind w:left="1540" w:right="1575"/>
      </w:pPr>
      <w:r>
        <w:t>If the family disputes the accuracy of the EIV employer data, and/or If the PHA determines additional information is needed.</w:t>
      </w:r>
    </w:p>
    <w:p w:rsidR="004E13A5" w:rsidRDefault="00681463">
      <w:pPr>
        <w:pStyle w:val="BodyText"/>
        <w:spacing w:before="5"/>
        <w:ind w:left="820" w:right="209"/>
      </w:pPr>
      <w:r>
        <w:t>In such cases, the PHA will review and analyze current data to anticipate annual income. In all cases, the family file will be documented with a clear record of the reason for the decision, and a clear audit trail will be left as to how the PHA annualized projected income.</w:t>
      </w:r>
    </w:p>
    <w:p w:rsidR="004E13A5" w:rsidRDefault="00681463">
      <w:pPr>
        <w:pStyle w:val="BodyText"/>
        <w:ind w:left="820" w:right="223"/>
      </w:pPr>
      <w:r>
        <w:t>When the PHA cannot readily anticipate income based upon current circumstances (e.g., in the case of seasonal employment, unstable working hours, or suspected fraud), the PHA will review and analyze historical data for patterns of employment, paid benefits, and receipt of other income and use the results of this analysis to establish annual</w:t>
      </w:r>
      <w:r>
        <w:rPr>
          <w:spacing w:val="-14"/>
        </w:rPr>
        <w:t xml:space="preserve"> </w:t>
      </w:r>
      <w:r>
        <w:t>income.</w:t>
      </w:r>
    </w:p>
    <w:p w:rsidR="004E13A5" w:rsidRDefault="00681463">
      <w:pPr>
        <w:pStyle w:val="BodyText"/>
        <w:ind w:left="820" w:right="369"/>
      </w:pPr>
      <w:r>
        <w:t>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 income.</w:t>
      </w:r>
    </w:p>
    <w:p w:rsidR="004E13A5" w:rsidRDefault="00681463">
      <w:pPr>
        <w:pStyle w:val="Heading5"/>
        <w:ind w:left="820"/>
      </w:pPr>
      <w:r>
        <w:t>Known Changes in Income</w:t>
      </w:r>
    </w:p>
    <w:p w:rsidR="004E13A5" w:rsidRDefault="003263D1">
      <w:pPr>
        <w:pStyle w:val="BodyText"/>
        <w:ind w:left="820" w:right="449"/>
      </w:pPr>
      <w:r>
        <w:rPr>
          <w:noProof/>
        </w:rPr>
        <mc:AlternateContent>
          <mc:Choice Requires="wps">
            <w:drawing>
              <wp:anchor distT="0" distB="0" distL="0" distR="0" simplePos="0" relativeHeight="1192" behindDoc="0" locked="0" layoutInCell="1" allowOverlap="1">
                <wp:simplePos x="0" y="0"/>
                <wp:positionH relativeFrom="page">
                  <wp:posOffset>1300480</wp:posOffset>
                </wp:positionH>
                <wp:positionV relativeFrom="paragraph">
                  <wp:posOffset>681355</wp:posOffset>
                </wp:positionV>
                <wp:extent cx="5631180" cy="733425"/>
                <wp:effectExtent l="5080" t="13970" r="12065" b="5080"/>
                <wp:wrapTopAndBottom/>
                <wp:docPr id="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33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pStyle w:val="BodyText"/>
                              <w:spacing w:before="18"/>
                              <w:ind w:left="108" w:right="102"/>
                            </w:pPr>
                            <w:r>
                              <w:rPr>
                                <w:b/>
                              </w:rPr>
                              <w:t xml:space="preserve">Example: </w:t>
                            </w:r>
                            <w:r>
                              <w:t>An employer reports that a full-time employee who has been receiving $8/hour will begin to receive $8.25/hour in the eighth week after the effective date of the reexamination. In such a case the PHA would calculate annual income as follows: ($8/hour × 40 hours × 7 weeks) + ($8.25 × 40 hours × 45 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left:0;text-align:left;margin-left:102.4pt;margin-top:53.65pt;width:443.4pt;height:57.7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" filled="f" strokeweight=".48pt">
                <v:textbox inset="0,0,0,0">
                  <w:txbxContent>
                    <w:p w:rsidR="00BA59C9" w:rsidRDefault="00BA59C9">
                      <w:pPr>
                        <w:pStyle w:val="BodyText"/>
                        <w:spacing w:before="18"/>
                        <w:ind w:left="108" w:right="102"/>
                      </w:pPr>
                      <w:r>
                        <w:rPr>
                          <w:b/>
                        </w:rPr>
                        <w:t xml:space="preserve">Example: </w:t>
                      </w:r>
                      <w:r>
                        <w:t>An employer reports that a full-time employee who has been receiving $8/hour will begin to receive $8.25/hour in the eighth week after the effective date of the reexamination. In such a case the PHA would calculate annual income as follows: ($8/hour × 40 hours × 7 weeks) + ($8.25 × 40 hours × 45 weeks).</w:t>
                      </w:r>
                    </w:p>
                  </w:txbxContent>
                </v:textbox>
                <w10:wrap type="topAndBottom" anchorx="page"/>
              </v:shape>
            </w:pict>
          </mc:Fallback>
        </mc:AlternateContent>
      </w:r>
      <w:r w:rsidR="00681463">
        <w:t>If the PHA verifies an upcoming increase or decrease in income, annual income will be calculated by applying each income amount to the appropriate part of the 12-month period.</w:t>
      </w:r>
    </w:p>
    <w:p w:rsidR="004E13A5" w:rsidRDefault="00681463">
      <w:pPr>
        <w:pStyle w:val="BodyText"/>
        <w:spacing w:before="90"/>
        <w:ind w:left="820" w:right="209"/>
      </w:pPr>
      <w:r>
        <w:t xml:space="preserve">The family may present information that demonstrates that implementing a change before its effective date would create a hardship for the family. In such cases the PHA will calculate annual income using current circumstances and then require an interim reexamination when the change actually occurs. This requirement will be imposed even if the PHA’s policy on reexaminations does not require interim reexaminations for other </w:t>
      </w:r>
      <w:r>
        <w:lastRenderedPageBreak/>
        <w:t>types of changes.</w:t>
      </w:r>
    </w:p>
    <w:p w:rsidR="004E13A5" w:rsidRDefault="00681463">
      <w:pPr>
        <w:pStyle w:val="BodyText"/>
        <w:spacing w:before="120"/>
        <w:ind w:left="820" w:right="409"/>
      </w:pPr>
      <w:r>
        <w:t>When tenant-provided third-party documents are used to anticipate annual income, they will be dated within the last 60 days of the reexamination interview date.</w:t>
      </w:r>
    </w:p>
    <w:p w:rsidR="004E13A5" w:rsidRDefault="004E13A5"/>
    <w:p w:rsidR="00C14876" w:rsidRDefault="00C14876"/>
    <w:p w:rsidR="00C14876" w:rsidRDefault="00C14876"/>
    <w:p w:rsidR="00C14876" w:rsidRPr="00B54141" w:rsidRDefault="00C14876" w:rsidP="00C14876">
      <w:pPr>
        <w:keepNext/>
        <w:rPr>
          <w:b/>
        </w:rPr>
      </w:pPr>
      <w:r w:rsidRPr="00B54141">
        <w:rPr>
          <w:b/>
        </w:rPr>
        <w:t>Calculating Annual Income at Annual Reexamination [24 CFR.609(c)(2)]</w:t>
      </w:r>
    </w:p>
    <w:p w:rsidR="00C14876" w:rsidRPr="00B54141" w:rsidRDefault="00C14876" w:rsidP="00C14876">
      <w:bookmarkStart w:id="11" w:name="_Hlk135042119"/>
      <w:r w:rsidRPr="00B54141">
        <w:t>The PHA must determine the income of the family for the previous 12-month period and use this amount as the family income for annual reexaminations, except where the PHA uses a streamlined income determination under 24 CFR 5.657(d) or 960.257. Policies relating to this topic are located in Chapter 11</w:t>
      </w:r>
      <w:r w:rsidRPr="00B54141">
        <w:rPr>
          <w:b/>
          <w:bCs/>
        </w:rPr>
        <w:t>. No PHA policy decisions are required.</w:t>
      </w:r>
      <w:r w:rsidRPr="00B54141">
        <w:t xml:space="preserve">  </w:t>
      </w:r>
      <w:bookmarkEnd w:id="11"/>
    </w:p>
    <w:p w:rsidR="00C14876" w:rsidRDefault="00C14876">
      <w:pPr>
        <w:sectPr w:rsidR="00C14876">
          <w:pgSz w:w="12240" w:h="15840"/>
          <w:pgMar w:top="1360" w:right="1220" w:bottom="640" w:left="1340" w:header="0" w:footer="441" w:gutter="0"/>
          <w:cols w:space="720"/>
        </w:sectPr>
      </w:pPr>
    </w:p>
    <w:p w:rsidR="004E13A5" w:rsidRDefault="004E13A5">
      <w:pPr>
        <w:pStyle w:val="BodyText"/>
        <w:spacing w:before="9"/>
        <w:ind w:left="0"/>
        <w:rPr>
          <w:sz w:val="20"/>
        </w:rPr>
      </w:pPr>
    </w:p>
    <w:p w:rsidR="004E13A5" w:rsidRDefault="00681463">
      <w:pPr>
        <w:pStyle w:val="Heading4"/>
      </w:pPr>
      <w:r>
        <w:t>6-I.D. EARNED INCOME</w:t>
      </w:r>
    </w:p>
    <w:p w:rsidR="004E13A5" w:rsidRDefault="00681463">
      <w:pPr>
        <w:spacing w:before="119"/>
        <w:ind w:left="100"/>
        <w:rPr>
          <w:b/>
          <w:sz w:val="24"/>
        </w:rPr>
      </w:pPr>
      <w:r>
        <w:rPr>
          <w:b/>
          <w:sz w:val="24"/>
        </w:rPr>
        <w:t>Types of Earned Income Included in Annual Income</w:t>
      </w:r>
    </w:p>
    <w:p w:rsidR="004E13A5" w:rsidRDefault="00681463">
      <w:pPr>
        <w:pStyle w:val="Heading5"/>
      </w:pPr>
      <w:r>
        <w:t>Wages and Related Compensation</w:t>
      </w:r>
    </w:p>
    <w:p w:rsidR="00B14282" w:rsidRPr="00B54141" w:rsidRDefault="00B14282" w:rsidP="00B14282">
      <w:r w:rsidRPr="00B54141">
        <w:t xml:space="preserve">The regulation at 24 CFR 5.609(a) requires the PHA to include in annual income the earned income of each member of the family who is 18 years of age or older, or who is the head of household or spouse/cohead regardless of age, is included in annual income. 24 CFR 5.100 defines </w:t>
      </w:r>
      <w:r w:rsidRPr="00B54141">
        <w:rPr>
          <w:i/>
          <w:iCs/>
        </w:rPr>
        <w:t>earned income</w:t>
      </w:r>
      <w:r w:rsidRPr="00B54141">
        <w:t xml:space="preserve"> as </w:t>
      </w:r>
      <w:bookmarkStart w:id="12" w:name="_Hlk134522539"/>
      <w:r w:rsidRPr="00B54141">
        <w:t>income or earnings from wages, tips, salaries, other employee compensation</w:t>
      </w:r>
      <w:bookmarkEnd w:id="12"/>
      <w:r w:rsidRPr="00B54141">
        <w:t>,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 While some forms, like regular wages and salaries, may be fairly easy to anticipate, other forms, like bonuses and commissions, may vary considerably from one pay period to the next.</w:t>
      </w:r>
    </w:p>
    <w:p w:rsidR="004E13A5" w:rsidRDefault="00681463">
      <w:pPr>
        <w:pStyle w:val="BodyText"/>
        <w:ind w:left="820"/>
        <w:rPr>
          <w:u w:val="single"/>
        </w:rPr>
      </w:pPr>
      <w:r>
        <w:rPr>
          <w:u w:val="single"/>
        </w:rPr>
        <w:t>PHA Policy</w:t>
      </w:r>
    </w:p>
    <w:p w:rsidR="00B14282" w:rsidRPr="00B54141" w:rsidRDefault="00B14282" w:rsidP="00B14282">
      <w:pPr>
        <w:ind w:left="1800"/>
      </w:pPr>
      <w:r w:rsidRPr="00B54141">
        <w:t>The PHA will include in annual income the gross amount, before any payroll deductions, of wages and salaries, overtime pay, commissions, fees, tips and bonuses, and other compensation.</w:t>
      </w:r>
    </w:p>
    <w:p w:rsidR="00B14282" w:rsidRDefault="00B14282">
      <w:pPr>
        <w:pStyle w:val="BodyText"/>
        <w:ind w:left="820"/>
      </w:pPr>
    </w:p>
    <w:p w:rsidR="004E13A5" w:rsidRDefault="00681463">
      <w:pPr>
        <w:pStyle w:val="BodyText"/>
        <w:spacing w:before="120"/>
        <w:ind w:left="820" w:right="114"/>
      </w:pPr>
      <w:r>
        <w:t>For persons who regularly receive bonuses or commissions, the PHA will verify and then average amounts received for the two years preceding admission or reexamination. If only a one-year history is available, the PHA will use the prior year amounts. In either case the family may provide, and the PHA will consider, a credible justification for not using this history to anticipate future bonuses or commissions. If a new employee has not yet received any bonuses or commissions, the PHA will count only the amount estimated by the employer. The file will be documented appropriately.</w:t>
      </w:r>
    </w:p>
    <w:p w:rsidR="004E13A5" w:rsidRDefault="00681463">
      <w:pPr>
        <w:pStyle w:val="Heading5"/>
        <w:spacing w:before="120"/>
      </w:pPr>
      <w:r>
        <w:t>Some Types of Military Pay</w:t>
      </w:r>
    </w:p>
    <w:p w:rsidR="004E13A5" w:rsidRDefault="00681463">
      <w:pPr>
        <w:pStyle w:val="BodyText"/>
        <w:spacing w:before="120"/>
        <w:ind w:right="376"/>
      </w:pPr>
      <w:r>
        <w:t xml:space="preserve">All regular pay, special pay and allowances of a member of the Armed Forces are counted [24 CFR 5.609(b)(8)] </w:t>
      </w:r>
      <w:r>
        <w:rPr>
          <w:u w:val="single"/>
        </w:rPr>
        <w:t xml:space="preserve">except </w:t>
      </w:r>
      <w:r>
        <w:t>for the special pay to a family member serving in the Armed Forces who is exposed to hostile fire [24 CFR 5.609(c)(7)].</w:t>
      </w:r>
    </w:p>
    <w:p w:rsidR="004E13A5" w:rsidRDefault="00681463">
      <w:pPr>
        <w:pStyle w:val="Heading4"/>
        <w:spacing w:before="120"/>
      </w:pPr>
      <w:r>
        <w:t xml:space="preserve">Types of Earned Income </w:t>
      </w:r>
      <w:r>
        <w:rPr>
          <w:u w:val="thick"/>
        </w:rPr>
        <w:t xml:space="preserve">Not </w:t>
      </w:r>
      <w:r>
        <w:t>Counted in Annual Income</w:t>
      </w:r>
    </w:p>
    <w:p w:rsidR="002C2785" w:rsidRDefault="002C2785" w:rsidP="002C2785">
      <w:bookmarkStart w:id="13" w:name="_Hlk135043539"/>
    </w:p>
    <w:p w:rsidR="002C2785" w:rsidRPr="00B54141" w:rsidRDefault="002C2785" w:rsidP="002C2785">
      <w:pPr>
        <w:rPr>
          <w:b/>
          <w:i/>
        </w:rPr>
      </w:pPr>
    </w:p>
    <w:p w:rsidR="002C2785" w:rsidRPr="00B54141" w:rsidRDefault="002C2785" w:rsidP="002C2785">
      <w:r w:rsidRPr="00B54141">
        <w:rPr>
          <w:b/>
          <w:i/>
        </w:rPr>
        <w:t>Earnings of a Minor [24 CFR 5.609(b)(3)]</w:t>
      </w:r>
    </w:p>
    <w:bookmarkEnd w:id="13"/>
    <w:p w:rsidR="004E13A5" w:rsidRDefault="00681463">
      <w:pPr>
        <w:pStyle w:val="BodyText"/>
        <w:spacing w:before="120"/>
        <w:ind w:right="309"/>
        <w:jc w:val="both"/>
      </w:pPr>
      <w:r>
        <w:t xml:space="preserve">Employment income earned by children (including foster children) under the age of 18 years is not included in annual income [24 CFR 5.609(c)(1)]. (See Eligibility chapter for a definition of </w:t>
      </w:r>
      <w:r>
        <w:rPr>
          <w:i/>
        </w:rPr>
        <w:t>foster children</w:t>
      </w:r>
      <w:r>
        <w:t>.)</w:t>
      </w:r>
    </w:p>
    <w:p w:rsidR="004E13A5" w:rsidRDefault="00681463">
      <w:pPr>
        <w:pStyle w:val="Heading5"/>
        <w:spacing w:before="120"/>
      </w:pPr>
      <w:r>
        <w:t>Certain Earned Income of Full-Time Students</w:t>
      </w:r>
    </w:p>
    <w:p w:rsidR="004E13A5" w:rsidRDefault="00681463">
      <w:pPr>
        <w:pStyle w:val="BodyText"/>
        <w:spacing w:before="120"/>
        <w:ind w:right="263"/>
      </w:pPr>
      <w:r>
        <w:t>Earnings in excess of $480 for each full-time student 18 years old or older (except for the head, spouse, or co-head) are not counted [24 CFR 5.609(c)(11)]. To be considered “full-time,” a student must be considered “full-time” by an educational institution with a degree or certificate program [HCV GB, p. 5-29].</w:t>
      </w:r>
    </w:p>
    <w:p w:rsidR="004E13A5" w:rsidRDefault="004E13A5">
      <w:pPr>
        <w:sectPr w:rsidR="004E13A5">
          <w:pgSz w:w="12240" w:h="15840"/>
          <w:pgMar w:top="1360" w:right="1360" w:bottom="640" w:left="1340" w:header="0" w:footer="441" w:gutter="0"/>
          <w:cols w:space="720"/>
        </w:sectPr>
      </w:pPr>
    </w:p>
    <w:p w:rsidR="004E13A5" w:rsidRDefault="00681463">
      <w:pPr>
        <w:pStyle w:val="Heading5"/>
        <w:spacing w:before="79"/>
      </w:pPr>
      <w:r>
        <w:lastRenderedPageBreak/>
        <w:t>Income of a Live-in Aide</w:t>
      </w:r>
    </w:p>
    <w:p w:rsidR="004E13A5" w:rsidRDefault="00681463">
      <w:pPr>
        <w:pStyle w:val="BodyText"/>
        <w:ind w:right="242"/>
      </w:pPr>
      <w:r>
        <w:t>Income earned by a live-in aide, as defined in [24 CFR 5.403], is not included in annual income [24 CFR 5.609(c)(5)]. (See Eligibility chapter for a full discussion of live-in aides.)</w:t>
      </w:r>
    </w:p>
    <w:p w:rsidR="004E13A5" w:rsidRDefault="00681463">
      <w:pPr>
        <w:pStyle w:val="Heading5"/>
      </w:pPr>
      <w:r>
        <w:t>Income Earned under Certain Federal Programs</w:t>
      </w:r>
    </w:p>
    <w:p w:rsidR="004E13A5" w:rsidRDefault="00681463">
      <w:pPr>
        <w:pStyle w:val="BodyText"/>
        <w:ind w:right="336"/>
      </w:pPr>
      <w:r>
        <w:t>Income from some federal programs is specifically excluded from consideration as income [24 CFR 5.609(c)(17)], including:</w:t>
      </w:r>
    </w:p>
    <w:p w:rsidR="004E13A5" w:rsidRDefault="00681463">
      <w:pPr>
        <w:pStyle w:val="BodyText"/>
        <w:tabs>
          <w:tab w:val="left" w:pos="460"/>
        </w:tabs>
        <w:ind w:left="460" w:right="736" w:hanging="360"/>
      </w:pPr>
      <w:r>
        <w:rPr>
          <w:rFonts w:ascii="Symbol" w:hAnsi="Symbol"/>
        </w:rPr>
        <w:t></w:t>
      </w:r>
      <w:r>
        <w:tab/>
        <w:t>Payments to volunteers under the Domestic Volunteer Services Act of 1973</w:t>
      </w:r>
      <w:r>
        <w:rPr>
          <w:spacing w:val="-15"/>
        </w:rPr>
        <w:t xml:space="preserve"> </w:t>
      </w:r>
      <w:r>
        <w:t>(42</w:t>
      </w:r>
      <w:r>
        <w:rPr>
          <w:spacing w:val="-2"/>
        </w:rPr>
        <w:t xml:space="preserve"> </w:t>
      </w:r>
      <w:r>
        <w:t>U.S.C. 5044(g),</w:t>
      </w:r>
      <w:r>
        <w:rPr>
          <w:spacing w:val="-2"/>
        </w:rPr>
        <w:t xml:space="preserve"> </w:t>
      </w:r>
      <w:r>
        <w:t>5058)</w:t>
      </w:r>
    </w:p>
    <w:p w:rsidR="004E13A5" w:rsidRDefault="00681463">
      <w:pPr>
        <w:pStyle w:val="BodyText"/>
        <w:tabs>
          <w:tab w:val="left" w:pos="460"/>
        </w:tabs>
      </w:pPr>
      <w:r>
        <w:rPr>
          <w:rFonts w:ascii="Symbol" w:hAnsi="Symbol"/>
        </w:rPr>
        <w:t></w:t>
      </w:r>
      <w:r>
        <w:tab/>
        <w:t>Awards under the federal work-study program (20 U.S.C. 1087</w:t>
      </w:r>
      <w:r>
        <w:rPr>
          <w:spacing w:val="-7"/>
        </w:rPr>
        <w:t xml:space="preserve"> </w:t>
      </w:r>
      <w:r>
        <w:t>uu)</w:t>
      </w:r>
    </w:p>
    <w:p w:rsidR="004E13A5" w:rsidRDefault="00681463">
      <w:pPr>
        <w:pStyle w:val="BodyText"/>
        <w:tabs>
          <w:tab w:val="left" w:pos="460"/>
        </w:tabs>
        <w:spacing w:before="118"/>
        <w:ind w:left="460" w:right="198" w:hanging="360"/>
      </w:pPr>
      <w:r>
        <w:rPr>
          <w:rFonts w:ascii="Symbol" w:hAnsi="Symbol"/>
        </w:rPr>
        <w:t></w:t>
      </w:r>
      <w:r>
        <w:tab/>
        <w:t>Payments received from programs funded under Title V of the Older Americans Act</w:t>
      </w:r>
      <w:r>
        <w:rPr>
          <w:spacing w:val="-16"/>
        </w:rPr>
        <w:t xml:space="preserve"> </w:t>
      </w:r>
      <w:r>
        <w:t>of</w:t>
      </w:r>
      <w:r>
        <w:rPr>
          <w:spacing w:val="-1"/>
        </w:rPr>
        <w:t xml:space="preserve"> </w:t>
      </w:r>
      <w:r>
        <w:t>1985 (42 U.S.C.</w:t>
      </w:r>
      <w:r>
        <w:rPr>
          <w:spacing w:val="-6"/>
        </w:rPr>
        <w:t xml:space="preserve"> </w:t>
      </w:r>
      <w:r>
        <w:t>3056(f))</w:t>
      </w:r>
    </w:p>
    <w:p w:rsidR="004E13A5" w:rsidRDefault="00681463">
      <w:pPr>
        <w:pStyle w:val="BodyText"/>
        <w:tabs>
          <w:tab w:val="left" w:pos="460"/>
        </w:tabs>
        <w:ind w:left="460" w:right="663" w:hanging="360"/>
      </w:pPr>
      <w:r>
        <w:rPr>
          <w:rFonts w:ascii="Symbol" w:hAnsi="Symbol"/>
        </w:rPr>
        <w:t></w:t>
      </w:r>
      <w:r>
        <w:tab/>
        <w:t>Allowances, earnings, and payments to AmeriCorps participants under the</w:t>
      </w:r>
      <w:r>
        <w:rPr>
          <w:spacing w:val="-12"/>
        </w:rPr>
        <w:t xml:space="preserve"> </w:t>
      </w:r>
      <w:r>
        <w:t>National</w:t>
      </w:r>
      <w:r>
        <w:rPr>
          <w:spacing w:val="-2"/>
        </w:rPr>
        <w:t xml:space="preserve"> </w:t>
      </w:r>
      <w:r>
        <w:t>and Community Service Act of 1990 (42 U.S.C.</w:t>
      </w:r>
      <w:r>
        <w:rPr>
          <w:spacing w:val="-10"/>
        </w:rPr>
        <w:t xml:space="preserve"> </w:t>
      </w:r>
      <w:r>
        <w:t>12637(d))</w:t>
      </w:r>
    </w:p>
    <w:p w:rsidR="004E13A5" w:rsidRDefault="00681463">
      <w:pPr>
        <w:pStyle w:val="BodyText"/>
        <w:tabs>
          <w:tab w:val="left" w:pos="460"/>
        </w:tabs>
        <w:ind w:left="460" w:right="164" w:hanging="360"/>
      </w:pPr>
      <w:r>
        <w:rPr>
          <w:rFonts w:ascii="Symbol" w:hAnsi="Symbol"/>
        </w:rPr>
        <w:t></w:t>
      </w:r>
      <w:r>
        <w:tab/>
        <w:t>Allowances, earnings, and payments to participants in programs funded under</w:t>
      </w:r>
      <w:r>
        <w:rPr>
          <w:spacing w:val="-11"/>
        </w:rPr>
        <w:t xml:space="preserve"> </w:t>
      </w:r>
      <w:r>
        <w:t>the</w:t>
      </w:r>
      <w:r>
        <w:rPr>
          <w:spacing w:val="-3"/>
        </w:rPr>
        <w:t xml:space="preserve"> </w:t>
      </w:r>
      <w:r>
        <w:t>Workforce Investment Act of 1998 (29 U.S.C.</w:t>
      </w:r>
      <w:r>
        <w:rPr>
          <w:spacing w:val="-5"/>
        </w:rPr>
        <w:t xml:space="preserve"> </w:t>
      </w:r>
      <w:r>
        <w:t>2931)</w:t>
      </w:r>
    </w:p>
    <w:p w:rsidR="004E13A5" w:rsidRDefault="00681463">
      <w:pPr>
        <w:pStyle w:val="Heading5"/>
      </w:pPr>
      <w:r>
        <w:t>Resident Service Stipend</w:t>
      </w:r>
    </w:p>
    <w:p w:rsidR="004E13A5" w:rsidRDefault="00681463">
      <w:pPr>
        <w:pStyle w:val="BodyText"/>
        <w:ind w:right="169"/>
      </w:pPr>
      <w:r>
        <w:t>Amounts received under a resident service stipend are not included in annual income. A resident service stipend is a modest amount (not to exceed $200 per individual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 time [24 CFR 5.600(c)(8)(iv)].</w:t>
      </w:r>
    </w:p>
    <w:p w:rsidR="004E13A5" w:rsidRDefault="00681463">
      <w:pPr>
        <w:pStyle w:val="Heading5"/>
      </w:pPr>
      <w:r>
        <w:t>State and Local Employment Training Programs</w:t>
      </w:r>
    </w:p>
    <w:p w:rsidR="004E13A5" w:rsidRDefault="00681463">
      <w:pPr>
        <w:pStyle w:val="BodyText"/>
        <w:ind w:right="102"/>
      </w:pPr>
      <w:r>
        <w:t>Incremental earnings and benefits to any family member resulting from participation in qualifying state or local employment training programs (including training programs not affiliated with a local government) and training of a family member as resident management staff are excluded from annual income. Amounts excluded by this provision must be received under employment training programs with clearly defined goals and objectives and are excluded only for the period during which the family member participates in the training program [24 CFR 5.609(c)(8)(v)].</w:t>
      </w:r>
    </w:p>
    <w:p w:rsidR="004E13A5" w:rsidRDefault="00681463">
      <w:pPr>
        <w:pStyle w:val="BodyText"/>
        <w:ind w:left="820"/>
      </w:pPr>
      <w:r>
        <w:rPr>
          <w:u w:val="single"/>
        </w:rPr>
        <w:t>PHA Policy</w:t>
      </w:r>
    </w:p>
    <w:p w:rsidR="004E13A5" w:rsidRDefault="00681463">
      <w:pPr>
        <w:pStyle w:val="BodyText"/>
        <w:spacing w:before="120"/>
        <w:ind w:left="820" w:right="95"/>
      </w:pPr>
      <w:r>
        <w:t xml:space="preserve">The PHA defines </w:t>
      </w:r>
      <w:r>
        <w:rPr>
          <w:i/>
        </w:rPr>
        <w:t xml:space="preserve">training program </w:t>
      </w:r>
      <w:r>
        <w:t>as “a learning process with goals and objectives, generally having a variety of components, and taking place in a series of sessions over a period of time.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w:t>
      </w:r>
    </w:p>
    <w:p w:rsidR="004E13A5" w:rsidRDefault="00681463">
      <w:pPr>
        <w:pStyle w:val="BodyText"/>
        <w:spacing w:before="117"/>
        <w:ind w:left="820" w:right="96"/>
      </w:pPr>
      <w:r>
        <w:t xml:space="preserve">The PHA defines </w:t>
      </w:r>
      <w:r>
        <w:rPr>
          <w:i/>
        </w:rPr>
        <w:t xml:space="preserve">incremental earnings and benefits </w:t>
      </w:r>
      <w:r>
        <w:t>as the difference between: (1) the total amount of welfare assistance and earnings of a family member prior to enrollment in</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left="820" w:right="62"/>
      </w:pPr>
      <w:r>
        <w:lastRenderedPageBreak/>
        <w:t>a training program, and (2) the total amount of welfare assistance and earnings of the family member after enrollment in the program [expired Notice PIH 98-2, pp. 3–4].</w:t>
      </w:r>
    </w:p>
    <w:p w:rsidR="004E13A5" w:rsidRDefault="00681463">
      <w:pPr>
        <w:pStyle w:val="BodyText"/>
        <w:ind w:left="820" w:right="176"/>
      </w:pPr>
      <w:r>
        <w:t>In calculating the incremental difference, the PHA will use as the pre-enrollment income the total annualized amount of the family member’s welfare assistance and earnings reported on the family’s most recently completed HUD-50058.</w:t>
      </w:r>
    </w:p>
    <w:p w:rsidR="004E13A5" w:rsidRDefault="00681463">
      <w:pPr>
        <w:pStyle w:val="BodyText"/>
        <w:ind w:left="820" w:right="62"/>
      </w:pPr>
      <w:r>
        <w:t>End of participation in a training program must be reported in accordance with the PHA's interim reporting requirements.</w:t>
      </w:r>
    </w:p>
    <w:p w:rsidR="004E13A5" w:rsidRDefault="00681463">
      <w:pPr>
        <w:pStyle w:val="Heading5"/>
      </w:pPr>
      <w:r>
        <w:t>HUD-Funded Training Programs</w:t>
      </w:r>
    </w:p>
    <w:p w:rsidR="004E13A5" w:rsidRDefault="00681463">
      <w:pPr>
        <w:pStyle w:val="BodyText"/>
        <w:ind w:right="95"/>
      </w:pPr>
      <w:r>
        <w:t>Amounts received under training programs funded in whole or in part by HUD [24 CFR 5.609(c)(8)(i)] are excluded from annual income. Eligible sources of funding for the training include operating subsidy, Section 8 administrative fees, and modernization, Community Development Block Grant (CDBG), HOME program, and other grant funds received from HUD.</w:t>
      </w:r>
    </w:p>
    <w:p w:rsidR="004E13A5" w:rsidRDefault="00681463">
      <w:pPr>
        <w:pStyle w:val="BodyText"/>
        <w:ind w:left="820"/>
      </w:pPr>
      <w:r>
        <w:rPr>
          <w:u w:val="single"/>
        </w:rPr>
        <w:t>PHA Policy</w:t>
      </w:r>
    </w:p>
    <w:p w:rsidR="004E13A5" w:rsidRDefault="00681463">
      <w:pPr>
        <w:pStyle w:val="BodyText"/>
        <w:ind w:left="820" w:right="808"/>
      </w:pPr>
      <w:r>
        <w:t xml:space="preserve">To qualify as a training program, the program must meet the definition of </w:t>
      </w:r>
      <w:r>
        <w:rPr>
          <w:i/>
        </w:rPr>
        <w:t xml:space="preserve">training program </w:t>
      </w:r>
      <w:r>
        <w:t>provided above for state and local employment training programs.</w:t>
      </w:r>
    </w:p>
    <w:p w:rsidR="004E13A5" w:rsidRDefault="00681463">
      <w:pPr>
        <w:pStyle w:val="Heading5"/>
      </w:pPr>
      <w:r>
        <w:t>Earned Income Tax Credit</w:t>
      </w:r>
    </w:p>
    <w:p w:rsidR="004E13A5" w:rsidRDefault="00681463">
      <w:pPr>
        <w:pStyle w:val="BodyText"/>
      </w:pPr>
      <w:r>
        <w:t>Earned income tax credit (EITC) refund payments received on or after January 1, 1991 (26</w:t>
      </w:r>
    </w:p>
    <w:p w:rsidR="004E13A5" w:rsidRDefault="00681463">
      <w:pPr>
        <w:pStyle w:val="BodyText"/>
        <w:spacing w:before="0"/>
        <w:ind w:right="142"/>
      </w:pPr>
      <w:r>
        <w:t>U.S.C. 32(j)), are excluded from annual income [24 CFR 5.609(c)(17)]. Although many families receive the EITC annually when they file taxes, an EITC can also be received throughout the year. The prorated share of the annual EITC is included in the employee’s payroll check.</w:t>
      </w:r>
    </w:p>
    <w:p w:rsidR="004E13A5" w:rsidRDefault="00681463">
      <w:pPr>
        <w:pStyle w:val="Heading5"/>
        <w:spacing w:before="120"/>
      </w:pPr>
      <w:r>
        <w:t>Earned Income Disallowance</w:t>
      </w:r>
    </w:p>
    <w:p w:rsidR="004E13A5" w:rsidRDefault="00681463">
      <w:pPr>
        <w:pStyle w:val="BodyText"/>
        <w:spacing w:before="120"/>
      </w:pPr>
      <w:r>
        <w:t>The earned income disallowance for persons with disabilities is discussed in section 6-I.E below.</w:t>
      </w:r>
    </w:p>
    <w:p w:rsidR="004E13A5" w:rsidRDefault="004E13A5">
      <w:pPr>
        <w:pStyle w:val="BodyText"/>
        <w:spacing w:before="10"/>
        <w:ind w:left="0"/>
        <w:rPr>
          <w:sz w:val="20"/>
        </w:rPr>
      </w:pPr>
    </w:p>
    <w:p w:rsidR="004E13A5" w:rsidRDefault="00681463">
      <w:pPr>
        <w:pStyle w:val="Heading4"/>
      </w:pPr>
      <w:r>
        <w:t>6-I.E. EARNED INCOME DISALLOWANCE FOR PERSONS WITH DISABILITIES</w:t>
      </w:r>
    </w:p>
    <w:p w:rsidR="004E13A5" w:rsidRDefault="00681463">
      <w:pPr>
        <w:ind w:left="100"/>
        <w:rPr>
          <w:b/>
          <w:sz w:val="24"/>
        </w:rPr>
      </w:pPr>
      <w:r>
        <w:rPr>
          <w:b/>
          <w:sz w:val="24"/>
        </w:rPr>
        <w:t>[24 CFR 5.617; Streamlining Final Rule (SFR) Federal Register 3/8/16]</w:t>
      </w:r>
    </w:p>
    <w:p w:rsidR="002C2785" w:rsidRDefault="002C2785">
      <w:pPr>
        <w:ind w:left="100"/>
        <w:rPr>
          <w:b/>
          <w:sz w:val="24"/>
        </w:rPr>
      </w:pPr>
    </w:p>
    <w:p w:rsidR="002C2785" w:rsidRPr="00B54141" w:rsidRDefault="002C2785" w:rsidP="002C2785">
      <w:pPr>
        <w:keepNext/>
      </w:pPr>
      <w:bookmarkStart w:id="14" w:name="_Hlk135043968"/>
      <w:r w:rsidRPr="00B54141">
        <w:t xml:space="preserve">HOTMA removed the statutory authority for the EID. The EID is available only to families that are eligible for and participating on the program as of December 31, 2023, or before; no new families may be added on or after January 1, 2024. If a family is receiving the EID prior to or on the effective date of the HOTMA final rule, they are entitled to the full amount of the benefit for a full 24-month period. The policies below are applicable only to such families. </w:t>
      </w:r>
      <w:bookmarkStart w:id="15" w:name="_Hlk144816753"/>
      <w:r w:rsidRPr="00B54141">
        <w:t xml:space="preserve">The EID will sunset on January 1, 2026, and the PHA policies below will no longer be applicable as of that date or when the last qualifying family exhausts their exclusion period, whichever is sooner. </w:t>
      </w:r>
      <w:bookmarkEnd w:id="15"/>
    </w:p>
    <w:bookmarkEnd w:id="14"/>
    <w:p w:rsidR="002C2785" w:rsidRDefault="002C2785">
      <w:pPr>
        <w:ind w:left="100"/>
        <w:rPr>
          <w:b/>
          <w:sz w:val="24"/>
        </w:rPr>
      </w:pPr>
    </w:p>
    <w:p w:rsidR="004E13A5" w:rsidRDefault="00681463">
      <w:pPr>
        <w:pStyle w:val="BodyText"/>
        <w:spacing w:before="120"/>
        <w:ind w:right="208"/>
      </w:pPr>
      <w:r>
        <w:t>The earned income disallowance (EID) encourages people with disabilities to enter the work force by not including the full value of increases in earned income for a period of time. The full text of 24 CFR 5.617 is included as Exhibit 6-4 at the end of this chapter. Eligibility criteria and limitations on the disallowance are summarized below.</w:t>
      </w:r>
    </w:p>
    <w:p w:rsidR="004E13A5" w:rsidRDefault="00681463">
      <w:pPr>
        <w:pStyle w:val="Heading4"/>
        <w:spacing w:before="120"/>
      </w:pPr>
      <w:r>
        <w:t>Eligibility</w:t>
      </w:r>
    </w:p>
    <w:p w:rsidR="004E13A5" w:rsidRDefault="00681463">
      <w:pPr>
        <w:pStyle w:val="BodyText"/>
        <w:spacing w:before="120"/>
        <w:ind w:right="772"/>
        <w:jc w:val="both"/>
      </w:pPr>
      <w:r>
        <w:t>This disallowance applies only to individuals in families already participating in the HCV program (not at initial examination). To qualify, the family must experience an increase</w:t>
      </w:r>
      <w:r>
        <w:rPr>
          <w:spacing w:val="-18"/>
        </w:rPr>
        <w:t xml:space="preserve"> </w:t>
      </w:r>
      <w:r>
        <w:t>in annual income that is the result of one of the following</w:t>
      </w:r>
      <w:r>
        <w:rPr>
          <w:spacing w:val="-8"/>
        </w:rPr>
        <w:t xml:space="preserve"> </w:t>
      </w:r>
      <w:r>
        <w:t>events:</w:t>
      </w:r>
    </w:p>
    <w:p w:rsidR="004E13A5" w:rsidRDefault="00681463">
      <w:pPr>
        <w:pStyle w:val="ListParagraph"/>
        <w:numPr>
          <w:ilvl w:val="0"/>
          <w:numId w:val="93"/>
        </w:numPr>
        <w:tabs>
          <w:tab w:val="left" w:pos="460"/>
          <w:tab w:val="left" w:pos="461"/>
        </w:tabs>
        <w:ind w:right="235"/>
        <w:rPr>
          <w:rFonts w:ascii="Symbol"/>
          <w:sz w:val="24"/>
        </w:rPr>
      </w:pPr>
      <w:r>
        <w:rPr>
          <w:sz w:val="24"/>
        </w:rPr>
        <w:t xml:space="preserve">Employment of a family member who is a person with disabilities and who was previously unemployed for one or more years prior to employment. </w:t>
      </w:r>
      <w:r>
        <w:rPr>
          <w:i/>
          <w:sz w:val="24"/>
        </w:rPr>
        <w:t xml:space="preserve">Previously unemployed </w:t>
      </w:r>
      <w:r>
        <w:rPr>
          <w:sz w:val="24"/>
        </w:rPr>
        <w:t xml:space="preserve">includes a </w:t>
      </w:r>
      <w:r>
        <w:rPr>
          <w:sz w:val="24"/>
        </w:rPr>
        <w:lastRenderedPageBreak/>
        <w:t>person who annually has earned not more than the minimum wage applicable to the community multiplied by 500 hours. The applicable minimum wage is the federal</w:t>
      </w:r>
      <w:r>
        <w:rPr>
          <w:spacing w:val="-15"/>
          <w:sz w:val="24"/>
        </w:rPr>
        <w:t xml:space="preserve"> </w:t>
      </w:r>
      <w:r>
        <w:rPr>
          <w:sz w:val="24"/>
        </w:rPr>
        <w:t>minimum wage unless there is a higher state or local minimum</w:t>
      </w:r>
      <w:r>
        <w:rPr>
          <w:spacing w:val="-12"/>
          <w:sz w:val="24"/>
        </w:rPr>
        <w:t xml:space="preserve"> </w:t>
      </w:r>
      <w:r>
        <w:rPr>
          <w:sz w:val="24"/>
        </w:rPr>
        <w:t>wage.</w:t>
      </w:r>
    </w:p>
    <w:p w:rsidR="004E13A5" w:rsidRDefault="00681463">
      <w:pPr>
        <w:pStyle w:val="ListParagraph"/>
        <w:numPr>
          <w:ilvl w:val="0"/>
          <w:numId w:val="93"/>
        </w:numPr>
        <w:tabs>
          <w:tab w:val="left" w:pos="461"/>
        </w:tabs>
        <w:ind w:right="147"/>
        <w:jc w:val="both"/>
        <w:rPr>
          <w:rFonts w:ascii="Symbol"/>
          <w:sz w:val="24"/>
        </w:rPr>
      </w:pPr>
      <w:r>
        <w:rPr>
          <w:sz w:val="24"/>
        </w:rPr>
        <w:t>Increased earnings by a family member who is a person with disabilities and whose earnings increase during participation in an economic self-sufficiency or job-training program. A self- sufficiency program includes a program designed to encourage, assist, train, or facilitate</w:t>
      </w:r>
      <w:r>
        <w:rPr>
          <w:spacing w:val="-19"/>
          <w:sz w:val="24"/>
        </w:rPr>
        <w:t xml:space="preserve"> </w:t>
      </w:r>
      <w:r>
        <w:rPr>
          <w:sz w:val="24"/>
        </w:rPr>
        <w:t>the</w:t>
      </w:r>
    </w:p>
    <w:p w:rsidR="004E13A5" w:rsidRDefault="004E13A5">
      <w:pPr>
        <w:jc w:val="both"/>
        <w:rPr>
          <w:rFonts w:ascii="Symbol"/>
          <w:sz w:val="24"/>
        </w:rPr>
        <w:sectPr w:rsidR="004E13A5">
          <w:pgSz w:w="12240" w:h="15840"/>
          <w:pgMar w:top="1360" w:right="1360" w:bottom="640" w:left="1340" w:header="0" w:footer="441" w:gutter="0"/>
          <w:cols w:space="720"/>
        </w:sectPr>
      </w:pPr>
    </w:p>
    <w:p w:rsidR="004E13A5" w:rsidRDefault="00681463">
      <w:pPr>
        <w:pStyle w:val="BodyText"/>
        <w:spacing w:before="79"/>
        <w:ind w:left="460" w:right="455"/>
      </w:pPr>
      <w:r>
        <w:lastRenderedPageBreak/>
        <w:t>economic independence of HUD-assisted families or to provide work to such families [24 CFR 5.603(b)].</w:t>
      </w:r>
    </w:p>
    <w:p w:rsidR="004E13A5" w:rsidRDefault="00681463">
      <w:pPr>
        <w:pStyle w:val="ListParagraph"/>
        <w:numPr>
          <w:ilvl w:val="0"/>
          <w:numId w:val="93"/>
        </w:numPr>
        <w:tabs>
          <w:tab w:val="left" w:pos="460"/>
          <w:tab w:val="left" w:pos="461"/>
        </w:tabs>
        <w:ind w:right="100"/>
        <w:rPr>
          <w:rFonts w:ascii="Symbol"/>
          <w:sz w:val="24"/>
        </w:rPr>
      </w:pPr>
      <w:r>
        <w:rPr>
          <w:sz w:val="24"/>
        </w:rPr>
        <w:t xml:space="preserve">New employment or increased earnings by a family member who is a person with disabilities and who has received benefits or services under Temporary Assistance for Needy Families (TANF) or any other state program funded under Part A of Title IV of the Social Security Act within the past six months. </w:t>
      </w:r>
      <w:r>
        <w:rPr>
          <w:spacing w:val="-3"/>
          <w:sz w:val="24"/>
        </w:rPr>
        <w:t xml:space="preserve">If </w:t>
      </w:r>
      <w:r>
        <w:rPr>
          <w:sz w:val="24"/>
        </w:rPr>
        <w:t>the benefits are received in the form of monthly maintenance, there is no minimum amount. If the benefits or services are received in a form other than monthly maintenance, such as one-time payments, wage subsidies, or transportation assistance, the total amount received over the six-month period must be at</w:t>
      </w:r>
      <w:r>
        <w:rPr>
          <w:spacing w:val="-12"/>
          <w:sz w:val="24"/>
        </w:rPr>
        <w:t xml:space="preserve"> </w:t>
      </w:r>
      <w:r>
        <w:rPr>
          <w:sz w:val="24"/>
        </w:rPr>
        <w:t>least</w:t>
      </w:r>
    </w:p>
    <w:p w:rsidR="004E13A5" w:rsidRDefault="00681463">
      <w:pPr>
        <w:pStyle w:val="BodyText"/>
        <w:spacing w:before="0"/>
        <w:ind w:left="460"/>
      </w:pPr>
      <w:r>
        <w:t>$500.</w:t>
      </w:r>
    </w:p>
    <w:p w:rsidR="004E13A5" w:rsidRDefault="00681463">
      <w:pPr>
        <w:pStyle w:val="Heading4"/>
        <w:spacing w:before="120"/>
      </w:pPr>
      <w:r>
        <w:t>Calculation of the Disallowance</w:t>
      </w:r>
    </w:p>
    <w:p w:rsidR="004E13A5" w:rsidRDefault="00681463">
      <w:pPr>
        <w:pStyle w:val="BodyText"/>
        <w:spacing w:before="0"/>
        <w:ind w:right="262"/>
      </w:pPr>
      <w:r>
        <w:t>Calculation of the earned income disallowance for an eligible member of a qualified family begins with a comparison of the member’s current income with their “baseline income.” The family member’s baseline income is their income immediately prior to qualifying for the EID. The family member’s baseline income remains constant throughout the period that they</w:t>
      </w:r>
      <w:r w:rsidR="002C2785">
        <w:t xml:space="preserve"> are </w:t>
      </w:r>
      <w:r>
        <w:t>participating in the EID.</w:t>
      </w:r>
    </w:p>
    <w:p w:rsidR="004E13A5" w:rsidRDefault="004E13A5">
      <w:pPr>
        <w:pStyle w:val="BodyText"/>
        <w:spacing w:before="0"/>
        <w:ind w:left="0"/>
      </w:pPr>
    </w:p>
    <w:p w:rsidR="004E13A5" w:rsidRDefault="00681463">
      <w:pPr>
        <w:pStyle w:val="Heading4"/>
      </w:pPr>
      <w:r>
        <w:t>Calculation Method</w:t>
      </w:r>
    </w:p>
    <w:p w:rsidR="004E13A5" w:rsidRDefault="00681463">
      <w:pPr>
        <w:pStyle w:val="Heading5"/>
        <w:spacing w:before="0"/>
      </w:pPr>
      <w:r>
        <w:t>Initial 12-Month Exclusion</w:t>
      </w:r>
    </w:p>
    <w:p w:rsidR="004E13A5" w:rsidRDefault="00681463">
      <w:pPr>
        <w:pStyle w:val="BodyText"/>
        <w:spacing w:before="0"/>
        <w:ind w:right="262"/>
      </w:pPr>
      <w:r>
        <w:t>During the initial exclusion period of 12 consecutive months, the full amount (100 percent) of any increase in income attributable to new employment or increased earnings is excluded.</w:t>
      </w:r>
    </w:p>
    <w:p w:rsidR="002C2785" w:rsidRDefault="002C2785">
      <w:pPr>
        <w:pStyle w:val="BodyText"/>
        <w:spacing w:before="0"/>
        <w:ind w:right="262"/>
      </w:pPr>
    </w:p>
    <w:p w:rsidR="002C2785" w:rsidRPr="00B54141" w:rsidRDefault="002C2785" w:rsidP="002C2785">
      <w:r w:rsidRPr="00B54141">
        <w:t>The EID regulations state that the initial 12-month exclusion period begins “on the date a member who is a person with disabilities of a qualified family is first employed or the family first experiences an increase in annual income attributable to employment” [24 CFR 5.617(c)(1)]. However, in frequently asked questions on the EID, HUD has stated that, for tracking and administrative purposes, a PHA may begin the EID on the first day of the month following new employment or an increase in earnings.</w:t>
      </w:r>
    </w:p>
    <w:p w:rsidR="002C2785" w:rsidRDefault="002C2785">
      <w:pPr>
        <w:pStyle w:val="BodyText"/>
        <w:spacing w:before="0"/>
        <w:ind w:right="262"/>
      </w:pPr>
    </w:p>
    <w:p w:rsidR="002C2785" w:rsidRDefault="002C2785">
      <w:pPr>
        <w:pStyle w:val="BodyText"/>
        <w:spacing w:before="0"/>
        <w:ind w:right="262"/>
      </w:pPr>
    </w:p>
    <w:p w:rsidR="004E13A5" w:rsidRDefault="00681463">
      <w:pPr>
        <w:pStyle w:val="BodyText"/>
        <w:spacing w:before="0"/>
        <w:ind w:left="820"/>
        <w:jc w:val="both"/>
      </w:pPr>
      <w:r>
        <w:rPr>
          <w:u w:val="single"/>
        </w:rPr>
        <w:t>PHA Policy</w:t>
      </w:r>
    </w:p>
    <w:p w:rsidR="004E13A5" w:rsidRDefault="00681463">
      <w:pPr>
        <w:pStyle w:val="BodyText"/>
        <w:spacing w:before="0"/>
        <w:ind w:left="820" w:right="131"/>
        <w:jc w:val="both"/>
      </w:pPr>
      <w:r>
        <w:t>The initial EID exclusion period will begin on the first of the month following the date</w:t>
      </w:r>
      <w:r>
        <w:rPr>
          <w:spacing w:val="-16"/>
        </w:rPr>
        <w:t xml:space="preserve"> </w:t>
      </w:r>
      <w:r>
        <w:t>an eligible member of a qualified family is first employed or first experiences an increase in earnings.</w:t>
      </w:r>
    </w:p>
    <w:p w:rsidR="004E13A5" w:rsidRDefault="004E13A5">
      <w:pPr>
        <w:pStyle w:val="BodyText"/>
        <w:spacing w:before="11"/>
        <w:ind w:left="0"/>
        <w:rPr>
          <w:sz w:val="23"/>
        </w:rPr>
      </w:pPr>
    </w:p>
    <w:p w:rsidR="004E13A5" w:rsidRDefault="00681463">
      <w:pPr>
        <w:pStyle w:val="Heading5"/>
        <w:spacing w:before="0"/>
      </w:pPr>
      <w:r>
        <w:t>Second 12-Month Exclusion</w:t>
      </w:r>
    </w:p>
    <w:p w:rsidR="004E13A5" w:rsidRDefault="00681463">
      <w:pPr>
        <w:pStyle w:val="BodyText"/>
        <w:spacing w:before="0"/>
      </w:pPr>
      <w:r>
        <w:t>During the second exclusion period of 12 consecutive months, the PHA must exclude at least 50 percent of any increase in income attributable to employment or increased earnings.</w:t>
      </w:r>
    </w:p>
    <w:p w:rsidR="004E13A5" w:rsidRDefault="00681463">
      <w:pPr>
        <w:pStyle w:val="BodyText"/>
        <w:spacing w:before="0"/>
        <w:ind w:left="820"/>
        <w:jc w:val="both"/>
      </w:pPr>
      <w:r>
        <w:rPr>
          <w:u w:val="single"/>
        </w:rPr>
        <w:t>PHA Policy</w:t>
      </w:r>
    </w:p>
    <w:p w:rsidR="00FF564D" w:rsidRPr="00FF564D" w:rsidRDefault="00FF564D" w:rsidP="00FF564D">
      <w:pPr>
        <w:ind w:left="820"/>
        <w:rPr>
          <w:sz w:val="24"/>
          <w:szCs w:val="24"/>
        </w:rPr>
      </w:pPr>
      <w:r w:rsidRPr="00FF564D">
        <w:rPr>
          <w:sz w:val="24"/>
          <w:szCs w:val="24"/>
        </w:rPr>
        <w:t>During the second 12-month exclusion period, the PHA will exclude 100 percent of any increase in income attributable to new employment or increased earnings.</w:t>
      </w:r>
    </w:p>
    <w:p w:rsidR="004E13A5" w:rsidRDefault="004E13A5">
      <w:pPr>
        <w:pStyle w:val="BodyText"/>
        <w:spacing w:before="0"/>
        <w:ind w:left="0"/>
      </w:pPr>
    </w:p>
    <w:p w:rsidR="004E13A5" w:rsidRDefault="00681463">
      <w:pPr>
        <w:pStyle w:val="Heading5"/>
        <w:spacing w:before="0"/>
      </w:pPr>
      <w:r>
        <w:t>Lifetime Limitation</w:t>
      </w:r>
    </w:p>
    <w:p w:rsidR="004E13A5" w:rsidRDefault="00681463">
      <w:pPr>
        <w:pStyle w:val="BodyText"/>
        <w:spacing w:before="0"/>
        <w:ind w:right="149"/>
      </w:pPr>
      <w:r>
        <w:t>The EID has a two-year (24-month) lifetime maximum. The two-year eligibility period begins at the same time that the initial exclusion period begins and ends 24 months later. During the 24- month period, an individual remains eligible for EID even if they begin to receive assistance from a different housing agency, move between public housing and Section 8 assistance, or have breaks in assistance.</w:t>
      </w:r>
    </w:p>
    <w:p w:rsidR="004E13A5" w:rsidRDefault="004E13A5">
      <w:pPr>
        <w:pStyle w:val="BodyText"/>
        <w:spacing w:before="0"/>
        <w:ind w:left="0"/>
      </w:pPr>
    </w:p>
    <w:p w:rsidR="00E967B5" w:rsidRPr="00E967B5" w:rsidRDefault="00E967B5">
      <w:pPr>
        <w:pStyle w:val="BodyText"/>
        <w:rPr>
          <w:b/>
        </w:rPr>
      </w:pPr>
      <w:r w:rsidRPr="00E967B5">
        <w:rPr>
          <w:b/>
        </w:rPr>
        <w:lastRenderedPageBreak/>
        <w:t>6-I.F. BUSINESS INCOME AND SELF-EMPLOYMENT INCOME [24 CFR 5.609(b)(28);</w:t>
      </w:r>
      <w:r w:rsidRPr="00E967B5">
        <w:rPr>
          <w:b/>
          <w:bCs/>
        </w:rPr>
        <w:t xml:space="preserve"> </w:t>
      </w:r>
      <w:r w:rsidRPr="00E967B5">
        <w:rPr>
          <w:b/>
        </w:rPr>
        <w:t>Notice PIH 2023-27]</w:t>
      </w:r>
    </w:p>
    <w:p w:rsidR="004E13A5" w:rsidRDefault="00681463">
      <w:pPr>
        <w:pStyle w:val="BodyText"/>
      </w:pPr>
      <w:r>
        <w:t>Annual income includes “the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pPr>
      <w:r>
        <w:lastRenderedPageBreak/>
        <w:t>or profession will be included in income, except to the extent the withdrawal is reimbursement of cash or assets invested in the operation by the family” [24 CFR 5.609(b)(2)].</w:t>
      </w:r>
    </w:p>
    <w:p w:rsidR="004E13A5" w:rsidRDefault="00681463">
      <w:pPr>
        <w:pStyle w:val="Heading4"/>
        <w:spacing w:before="119"/>
      </w:pPr>
      <w:r>
        <w:t>Business Expenses</w:t>
      </w:r>
    </w:p>
    <w:p w:rsidR="004E13A5" w:rsidRDefault="00681463">
      <w:pPr>
        <w:pStyle w:val="BodyText"/>
      </w:pPr>
      <w:r>
        <w:t>Net income is “gross income less business expense” [HCV GB, p. 5-19].</w:t>
      </w:r>
    </w:p>
    <w:p w:rsidR="004E13A5" w:rsidRDefault="00681463">
      <w:pPr>
        <w:pStyle w:val="BodyText"/>
        <w:ind w:left="820"/>
      </w:pPr>
      <w:r>
        <w:rPr>
          <w:u w:val="single"/>
        </w:rPr>
        <w:t>PHA Policy</w:t>
      </w:r>
    </w:p>
    <w:p w:rsidR="004E13A5" w:rsidRDefault="00681463">
      <w:pPr>
        <w:pStyle w:val="BodyText"/>
        <w:ind w:left="820" w:right="62"/>
      </w:pPr>
      <w:r>
        <w:t>To determine business expenses that may be deducted from gross income, the PHA will use current applicable Internal Revenue Service (IRS) rules for determining allowable business expenses [see IRS Publication 535], unless a topic is addressed by HUD regulations or guidance as described below.</w:t>
      </w:r>
    </w:p>
    <w:p w:rsidR="004E13A5" w:rsidRDefault="00681463">
      <w:pPr>
        <w:pStyle w:val="Heading4"/>
        <w:spacing w:before="119"/>
      </w:pPr>
      <w:r>
        <w:t>Business Expansion</w:t>
      </w:r>
    </w:p>
    <w:p w:rsidR="004E13A5" w:rsidRDefault="00681463">
      <w:pPr>
        <w:pStyle w:val="BodyText"/>
        <w:spacing w:before="120"/>
        <w:ind w:right="62"/>
      </w:pPr>
      <w:r>
        <w:t>HUD regulations do not permit the PHA to deduct from gross income expenses for business expansion.</w:t>
      </w:r>
    </w:p>
    <w:p w:rsidR="004E13A5" w:rsidRDefault="00681463">
      <w:pPr>
        <w:pStyle w:val="BodyText"/>
        <w:spacing w:before="120"/>
        <w:ind w:left="820"/>
      </w:pPr>
      <w:r>
        <w:rPr>
          <w:u w:val="single"/>
        </w:rPr>
        <w:t>PHA Policy</w:t>
      </w:r>
    </w:p>
    <w:p w:rsidR="004E13A5" w:rsidRDefault="00681463">
      <w:pPr>
        <w:pStyle w:val="BodyText"/>
        <w:spacing w:before="120"/>
        <w:ind w:left="820" w:right="149"/>
      </w:pPr>
      <w:r>
        <w:rPr>
          <w:i/>
        </w:rPr>
        <w:t xml:space="preserve">Business expansion </w:t>
      </w:r>
      <w:r>
        <w:t>is defined as any capital expenditures made to add new business activities, to expand current facilities, or to operate the business in additional locations. For example, purchase of a street sweeper by a construction business for the purpose of adding street cleaning to the services offered by the business would be considered a business expansion. Similarly, the purchase of a property by a hair care business to open at a second location would be considered a business expansion.</w:t>
      </w:r>
    </w:p>
    <w:p w:rsidR="004E13A5" w:rsidRDefault="00681463">
      <w:pPr>
        <w:pStyle w:val="Heading4"/>
        <w:spacing w:before="120"/>
      </w:pPr>
      <w:r>
        <w:t>Capital Indebtedness</w:t>
      </w:r>
    </w:p>
    <w:p w:rsidR="004E13A5" w:rsidRDefault="00681463">
      <w:pPr>
        <w:pStyle w:val="BodyText"/>
        <w:spacing w:before="120"/>
        <w:ind w:right="135"/>
      </w:pPr>
      <w:r>
        <w:t>HUD regulations do not permit the PHA to deduct from gross income the amortization of capital indebtedness.</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rPr>
          <w:i/>
        </w:rPr>
        <w:t xml:space="preserve">Capital indebtedness </w:t>
      </w:r>
      <w:r>
        <w:t>is defined as the principal portion of the payment on a capital asset such as land, buildings, and machinery. This means the PHA will allow as a business expense interest, but not principal, paid on capital indebtedness.</w:t>
      </w:r>
    </w:p>
    <w:p w:rsidR="004E13A5" w:rsidRDefault="00681463">
      <w:pPr>
        <w:pStyle w:val="Heading4"/>
        <w:spacing w:before="120"/>
      </w:pPr>
      <w:r>
        <w:t>Negative Business Income</w:t>
      </w:r>
    </w:p>
    <w:p w:rsidR="004E13A5" w:rsidRDefault="00681463">
      <w:pPr>
        <w:pStyle w:val="BodyText"/>
        <w:spacing w:before="120"/>
        <w:ind w:right="62"/>
      </w:pPr>
      <w:r>
        <w:t>If the net income from a business is negative, no business income will be included in annual income; a negative amount will not be used to offset other family income.</w:t>
      </w:r>
    </w:p>
    <w:p w:rsidR="004E13A5" w:rsidRDefault="00681463">
      <w:pPr>
        <w:pStyle w:val="Heading4"/>
        <w:spacing w:before="120"/>
      </w:pPr>
      <w:r>
        <w:t>Withdrawal of Cash or Assets from a Business</w:t>
      </w:r>
    </w:p>
    <w:p w:rsidR="004E13A5" w:rsidRDefault="00681463">
      <w:pPr>
        <w:pStyle w:val="BodyText"/>
        <w:spacing w:before="120"/>
        <w:ind w:right="182"/>
      </w:pPr>
      <w:r>
        <w:t>HUD regulations require the PHA to include in annual income the withdrawal of cash or assets from the operation of a business or profession unless the withdrawal reimburses a family member for cash or assets invested in the business by the family.</w:t>
      </w:r>
    </w:p>
    <w:p w:rsidR="004E13A5" w:rsidRDefault="00681463">
      <w:pPr>
        <w:pStyle w:val="BodyText"/>
        <w:spacing w:before="120"/>
        <w:ind w:left="820"/>
      </w:pPr>
      <w:r>
        <w:rPr>
          <w:u w:val="single"/>
        </w:rPr>
        <w:t>PHA Policy</w:t>
      </w:r>
    </w:p>
    <w:p w:rsidR="004E13A5" w:rsidRDefault="00681463">
      <w:pPr>
        <w:pStyle w:val="BodyText"/>
        <w:spacing w:before="120"/>
        <w:ind w:left="820" w:right="262"/>
      </w:pPr>
      <w:r>
        <w:t>Acceptable investments in a business include cash loans and contributions of assets or equipment. For example, if a member of an assisted family provided an up-front loan of</w:t>
      </w:r>
    </w:p>
    <w:p w:rsidR="004E13A5" w:rsidRDefault="00681463">
      <w:pPr>
        <w:pStyle w:val="BodyText"/>
        <w:spacing w:before="0"/>
        <w:ind w:left="820" w:right="214"/>
      </w:pPr>
      <w:r>
        <w:t>$2,000 to help a business get started, the PHA will not count as income any withdrawals from the business up to the amount of this loan until the loan has been repaid.</w:t>
      </w:r>
    </w:p>
    <w:p w:rsidR="004E13A5" w:rsidRDefault="00681463">
      <w:pPr>
        <w:pStyle w:val="BodyText"/>
        <w:spacing w:before="0"/>
        <w:ind w:left="820" w:right="941"/>
      </w:pPr>
      <w:r>
        <w:t>Investments do not include the value of labor contributed to the business without compensation.</w:t>
      </w:r>
    </w:p>
    <w:p w:rsidR="004E13A5" w:rsidRDefault="004E13A5">
      <w:pPr>
        <w:sectPr w:rsidR="004E13A5">
          <w:pgSz w:w="12240" w:h="15840"/>
          <w:pgMar w:top="1360" w:right="1360" w:bottom="640" w:left="1340" w:header="0" w:footer="441" w:gutter="0"/>
          <w:cols w:space="720"/>
        </w:sectPr>
      </w:pPr>
    </w:p>
    <w:p w:rsidR="004E13A5" w:rsidRDefault="00681463">
      <w:pPr>
        <w:pStyle w:val="Heading4"/>
        <w:spacing w:before="79"/>
      </w:pPr>
      <w:r>
        <w:lastRenderedPageBreak/>
        <w:t>Co-owned Businesses</w:t>
      </w:r>
    </w:p>
    <w:p w:rsidR="004E13A5" w:rsidRDefault="00681463">
      <w:pPr>
        <w:pStyle w:val="BodyText"/>
        <w:ind w:left="820"/>
      </w:pPr>
      <w:r>
        <w:rPr>
          <w:u w:val="single"/>
        </w:rPr>
        <w:t>PHA Policy</w:t>
      </w:r>
    </w:p>
    <w:p w:rsidR="004E13A5" w:rsidRDefault="00681463">
      <w:pPr>
        <w:pStyle w:val="BodyText"/>
        <w:ind w:left="820" w:right="134"/>
        <w:jc w:val="both"/>
      </w:pPr>
      <w:r>
        <w:t>If a business is co-owned with someone outside the family, the family must document the share of the business it owns. If the family’s share of the income is lower than its share of ownership, the family must document the reasons for the difference.</w:t>
      </w:r>
    </w:p>
    <w:p w:rsidR="005E5D3D" w:rsidRDefault="005E5D3D">
      <w:pPr>
        <w:pStyle w:val="BodyText"/>
        <w:ind w:left="820" w:right="134"/>
        <w:jc w:val="both"/>
      </w:pPr>
    </w:p>
    <w:p w:rsidR="005E5D3D" w:rsidRPr="005E5D3D" w:rsidRDefault="005E5D3D" w:rsidP="005E5D3D">
      <w:pPr>
        <w:pStyle w:val="BodyText"/>
        <w:ind w:right="134"/>
        <w:jc w:val="both"/>
        <w:rPr>
          <w:b/>
          <w:bCs/>
        </w:rPr>
      </w:pPr>
      <w:r w:rsidRPr="005E5D3D">
        <w:rPr>
          <w:b/>
          <w:bCs/>
        </w:rPr>
        <w:t>6-I.G. STUDENT FINANCIAL ASSISTANCE [24 CFR 5.609(b)(9)]</w:t>
      </w:r>
    </w:p>
    <w:p w:rsidR="002C2785" w:rsidRDefault="002C2785" w:rsidP="002C2785">
      <w:pPr>
        <w:pStyle w:val="BodyText"/>
        <w:spacing w:before="120"/>
      </w:pPr>
      <w:r>
        <w:t>In 2005, Congress passed a law (for Section 8 programs only) requiring that certain student financial assistance be included in annual income. Prior to that, the full amount of student financial assistance was excluded. For some students, the full exclusion still applies.</w:t>
      </w:r>
    </w:p>
    <w:p w:rsidR="005E5D3D" w:rsidRPr="005E5D3D" w:rsidRDefault="005E5D3D" w:rsidP="005E5D3D">
      <w:pPr>
        <w:pStyle w:val="BodyText"/>
        <w:ind w:right="134"/>
        <w:jc w:val="both"/>
      </w:pPr>
      <w:r w:rsidRPr="005E5D3D">
        <w:t>.</w:t>
      </w:r>
    </w:p>
    <w:p w:rsidR="005E5D3D" w:rsidRPr="005E5D3D" w:rsidRDefault="005E5D3D" w:rsidP="005E5D3D">
      <w:pPr>
        <w:pStyle w:val="BodyText"/>
        <w:ind w:right="134"/>
        <w:jc w:val="both"/>
        <w:rPr>
          <w:b/>
        </w:rPr>
      </w:pPr>
      <w:r w:rsidRPr="005E5D3D">
        <w:rPr>
          <w:b/>
        </w:rPr>
        <w:t>Pre-HOTMA Section 8 Student Financial Assistance Limitation [FR 4/10/06; Notice PIH 2015-21]</w:t>
      </w:r>
    </w:p>
    <w:p w:rsidR="002C2785" w:rsidRDefault="002C2785" w:rsidP="002C2785">
      <w:pPr>
        <w:pStyle w:val="Heading4"/>
        <w:spacing w:before="120"/>
        <w:ind w:right="146"/>
      </w:pPr>
      <w:r>
        <w:t xml:space="preserve">Student Financial Assistance </w:t>
      </w:r>
      <w:r>
        <w:rPr>
          <w:u w:val="thick"/>
        </w:rPr>
        <w:t xml:space="preserve">Included </w:t>
      </w:r>
      <w:r>
        <w:t>in Annual Income [24 CFR 5.609(b)(9); FR 4/10/06; Notice PIH 2015-21]</w:t>
      </w:r>
    </w:p>
    <w:p w:rsidR="002C2785" w:rsidRDefault="002C2785" w:rsidP="002C2785">
      <w:pPr>
        <w:pStyle w:val="BodyText"/>
        <w:spacing w:before="120"/>
        <w:ind w:right="642"/>
      </w:pPr>
      <w:r>
        <w:t>The regulation requiring the inclusion of certain student financial assistance applies only to students who satisfy all of the following conditions:</w:t>
      </w:r>
    </w:p>
    <w:p w:rsidR="002C2785" w:rsidRDefault="002C2785" w:rsidP="002C2785">
      <w:pPr>
        <w:sectPr w:rsidR="002C2785">
          <w:pgSz w:w="12240" w:h="15840"/>
          <w:pgMar w:top="1360" w:right="1380" w:bottom="640" w:left="1340" w:header="0" w:footer="441" w:gutter="0"/>
          <w:cols w:space="720"/>
        </w:sectPr>
      </w:pPr>
    </w:p>
    <w:p w:rsidR="002C2785" w:rsidRDefault="002C2785" w:rsidP="002C2785">
      <w:pPr>
        <w:pStyle w:val="ListParagraph"/>
        <w:numPr>
          <w:ilvl w:val="0"/>
          <w:numId w:val="93"/>
        </w:numPr>
        <w:tabs>
          <w:tab w:val="left" w:pos="460"/>
          <w:tab w:val="left" w:pos="461"/>
        </w:tabs>
        <w:spacing w:before="79"/>
        <w:ind w:right="1131"/>
        <w:rPr>
          <w:rFonts w:ascii="Symbol"/>
          <w:sz w:val="24"/>
        </w:rPr>
      </w:pPr>
      <w:r>
        <w:rPr>
          <w:sz w:val="24"/>
        </w:rPr>
        <w:lastRenderedPageBreak/>
        <w:t>They are enrolled in an institution of higher education, as defined under the</w:t>
      </w:r>
      <w:r>
        <w:rPr>
          <w:spacing w:val="-14"/>
          <w:sz w:val="24"/>
        </w:rPr>
        <w:t xml:space="preserve"> </w:t>
      </w:r>
      <w:r>
        <w:rPr>
          <w:sz w:val="24"/>
        </w:rPr>
        <w:t>Higher Education Act (HEA) of</w:t>
      </w:r>
      <w:r>
        <w:rPr>
          <w:spacing w:val="-7"/>
          <w:sz w:val="24"/>
        </w:rPr>
        <w:t xml:space="preserve"> </w:t>
      </w:r>
      <w:r>
        <w:rPr>
          <w:sz w:val="24"/>
        </w:rPr>
        <w:t>1965.</w:t>
      </w:r>
    </w:p>
    <w:p w:rsidR="002C2785" w:rsidRDefault="002C2785" w:rsidP="002C2785">
      <w:pPr>
        <w:pStyle w:val="ListParagraph"/>
        <w:numPr>
          <w:ilvl w:val="0"/>
          <w:numId w:val="93"/>
        </w:numPr>
        <w:tabs>
          <w:tab w:val="left" w:pos="461"/>
        </w:tabs>
        <w:ind w:right="529"/>
        <w:jc w:val="both"/>
        <w:rPr>
          <w:rFonts w:ascii="Symbol" w:hAnsi="Symbol"/>
          <w:sz w:val="24"/>
        </w:rPr>
      </w:pPr>
      <w:r>
        <w:rPr>
          <w:sz w:val="24"/>
        </w:rPr>
        <w:t>They are seeking or receiving Section 8 assistance on their own—that is, apart from their parents—through the HCV program, the project-based voucher program, or the</w:t>
      </w:r>
      <w:r>
        <w:rPr>
          <w:spacing w:val="-16"/>
          <w:sz w:val="24"/>
        </w:rPr>
        <w:t xml:space="preserve"> </w:t>
      </w:r>
      <w:r>
        <w:rPr>
          <w:sz w:val="24"/>
        </w:rPr>
        <w:t>moderate rehabilitation</w:t>
      </w:r>
      <w:r>
        <w:rPr>
          <w:spacing w:val="-8"/>
          <w:sz w:val="24"/>
        </w:rPr>
        <w:t xml:space="preserve"> </w:t>
      </w:r>
      <w:r>
        <w:rPr>
          <w:sz w:val="24"/>
        </w:rPr>
        <w:t>program.</w:t>
      </w:r>
    </w:p>
    <w:p w:rsidR="002C2785" w:rsidRDefault="002C2785" w:rsidP="002C2785">
      <w:pPr>
        <w:pStyle w:val="ListParagraph"/>
        <w:numPr>
          <w:ilvl w:val="0"/>
          <w:numId w:val="93"/>
        </w:numPr>
        <w:tabs>
          <w:tab w:val="left" w:pos="460"/>
          <w:tab w:val="left" w:pos="461"/>
        </w:tabs>
        <w:rPr>
          <w:rFonts w:ascii="Symbol"/>
          <w:sz w:val="24"/>
        </w:rPr>
      </w:pPr>
      <w:r>
        <w:rPr>
          <w:sz w:val="24"/>
        </w:rPr>
        <w:t xml:space="preserve">They are under 24 years of age </w:t>
      </w:r>
      <w:r>
        <w:rPr>
          <w:b/>
          <w:sz w:val="24"/>
        </w:rPr>
        <w:t xml:space="preserve">OR </w:t>
      </w:r>
      <w:r>
        <w:rPr>
          <w:sz w:val="24"/>
        </w:rPr>
        <w:t>they have no dependent</w:t>
      </w:r>
      <w:r>
        <w:rPr>
          <w:spacing w:val="-11"/>
          <w:sz w:val="24"/>
        </w:rPr>
        <w:t xml:space="preserve"> </w:t>
      </w:r>
      <w:r>
        <w:rPr>
          <w:sz w:val="24"/>
        </w:rPr>
        <w:t>children.</w:t>
      </w:r>
    </w:p>
    <w:p w:rsidR="002C2785" w:rsidRDefault="002C2785" w:rsidP="002C2785">
      <w:pPr>
        <w:pStyle w:val="BodyText"/>
        <w:ind w:right="95"/>
      </w:pPr>
      <w:r>
        <w:t>For students who satisfy these three conditions, any financial assistance in excess of tuition and any other required fees and charges received: (1) under the 1965 HEA, (2) from a private source, or (3) from an institution of higher education, as defined under the 1965 HEA, must be included in annual income.</w:t>
      </w:r>
    </w:p>
    <w:p w:rsidR="002C2785" w:rsidRDefault="002C2785" w:rsidP="002C2785">
      <w:pPr>
        <w:spacing w:before="120"/>
        <w:ind w:left="100" w:right="396"/>
        <w:rPr>
          <w:sz w:val="24"/>
        </w:rPr>
      </w:pPr>
      <w:r>
        <w:rPr>
          <w:sz w:val="24"/>
        </w:rPr>
        <w:t xml:space="preserve">To determine annual income in accordance with the above requirements, the PHA will use the definitions of </w:t>
      </w:r>
      <w:r>
        <w:rPr>
          <w:i/>
          <w:sz w:val="24"/>
        </w:rPr>
        <w:t xml:space="preserve">dependent child, institution of higher education, </w:t>
      </w:r>
      <w:r>
        <w:rPr>
          <w:sz w:val="24"/>
        </w:rPr>
        <w:t xml:space="preserve">and </w:t>
      </w:r>
      <w:r>
        <w:rPr>
          <w:i/>
          <w:sz w:val="24"/>
        </w:rPr>
        <w:t xml:space="preserve">parents </w:t>
      </w:r>
      <w:r>
        <w:rPr>
          <w:sz w:val="24"/>
        </w:rPr>
        <w:t>in section 3-II.E, along with the following definitions [FR 4/10/06, pp. 18148-18150]:</w:t>
      </w:r>
    </w:p>
    <w:p w:rsidR="002C2785" w:rsidRDefault="002C2785" w:rsidP="002C2785">
      <w:pPr>
        <w:pStyle w:val="ListParagraph"/>
        <w:numPr>
          <w:ilvl w:val="0"/>
          <w:numId w:val="93"/>
        </w:numPr>
        <w:tabs>
          <w:tab w:val="left" w:pos="460"/>
          <w:tab w:val="left" w:pos="461"/>
        </w:tabs>
        <w:ind w:right="122"/>
        <w:rPr>
          <w:rFonts w:ascii="Symbol"/>
          <w:sz w:val="24"/>
        </w:rPr>
      </w:pPr>
      <w:r>
        <w:rPr>
          <w:i/>
          <w:sz w:val="24"/>
        </w:rPr>
        <w:t xml:space="preserve">Assistance under the Higher Education Act of 1965 </w:t>
      </w:r>
      <w:r>
        <w:rPr>
          <w:sz w:val="24"/>
        </w:rPr>
        <w:t>includes Pell Grants, Federal</w:t>
      </w:r>
      <w:r>
        <w:rPr>
          <w:spacing w:val="-14"/>
          <w:sz w:val="24"/>
        </w:rPr>
        <w:t xml:space="preserve"> </w:t>
      </w:r>
      <w:r>
        <w:rPr>
          <w:sz w:val="24"/>
        </w:rPr>
        <w:t>Supplement Educational Opportunity Grants, Academic Achievement Incentive Scholarships, State Assistance under the Leveraging Educational Assistance Partnership Program, the Robert G. Byrd Honors Scholarship Program, and Federal Work Study</w:t>
      </w:r>
      <w:r>
        <w:rPr>
          <w:spacing w:val="-17"/>
          <w:sz w:val="24"/>
        </w:rPr>
        <w:t xml:space="preserve"> </w:t>
      </w:r>
      <w:r>
        <w:rPr>
          <w:sz w:val="24"/>
        </w:rPr>
        <w:t>programs.</w:t>
      </w:r>
    </w:p>
    <w:p w:rsidR="002C2785" w:rsidRDefault="002C2785" w:rsidP="002C2785">
      <w:pPr>
        <w:pStyle w:val="ListParagraph"/>
        <w:numPr>
          <w:ilvl w:val="0"/>
          <w:numId w:val="93"/>
        </w:numPr>
        <w:tabs>
          <w:tab w:val="left" w:pos="460"/>
          <w:tab w:val="left" w:pos="461"/>
        </w:tabs>
        <w:ind w:right="273"/>
        <w:rPr>
          <w:rFonts w:ascii="Symbol"/>
          <w:sz w:val="24"/>
        </w:rPr>
      </w:pPr>
      <w:r>
        <w:rPr>
          <w:i/>
          <w:sz w:val="24"/>
        </w:rPr>
        <w:t xml:space="preserve">Assistance from private sources </w:t>
      </w:r>
      <w:r>
        <w:rPr>
          <w:sz w:val="24"/>
        </w:rPr>
        <w:t>means assistance from nongovernmental sources, including parents, guardians, and other persons not residing with the student in an HCV assisted</w:t>
      </w:r>
      <w:r>
        <w:rPr>
          <w:spacing w:val="-12"/>
          <w:sz w:val="24"/>
        </w:rPr>
        <w:t xml:space="preserve"> </w:t>
      </w:r>
      <w:r>
        <w:rPr>
          <w:sz w:val="24"/>
        </w:rPr>
        <w:t>unit.</w:t>
      </w:r>
    </w:p>
    <w:p w:rsidR="002C2785" w:rsidRDefault="002C2785" w:rsidP="002C2785">
      <w:pPr>
        <w:pStyle w:val="ListParagraph"/>
        <w:numPr>
          <w:ilvl w:val="0"/>
          <w:numId w:val="93"/>
        </w:numPr>
        <w:tabs>
          <w:tab w:val="left" w:pos="460"/>
          <w:tab w:val="left" w:pos="461"/>
        </w:tabs>
        <w:ind w:right="754"/>
        <w:rPr>
          <w:rFonts w:ascii="Symbol"/>
          <w:sz w:val="24"/>
        </w:rPr>
      </w:pPr>
      <w:r>
        <w:rPr>
          <w:i/>
          <w:sz w:val="24"/>
        </w:rPr>
        <w:t xml:space="preserve">Tuition and fees </w:t>
      </w:r>
      <w:r>
        <w:rPr>
          <w:sz w:val="24"/>
        </w:rPr>
        <w:t>are defined in the same manner in which the Department of</w:t>
      </w:r>
      <w:r>
        <w:rPr>
          <w:spacing w:val="-13"/>
          <w:sz w:val="24"/>
        </w:rPr>
        <w:t xml:space="preserve"> </w:t>
      </w:r>
      <w:r>
        <w:rPr>
          <w:sz w:val="24"/>
        </w:rPr>
        <w:t xml:space="preserve">Education defines </w:t>
      </w:r>
      <w:r>
        <w:rPr>
          <w:i/>
          <w:sz w:val="24"/>
        </w:rPr>
        <w:t xml:space="preserve">tuition and fees </w:t>
      </w:r>
      <w:r>
        <w:rPr>
          <w:sz w:val="24"/>
        </w:rPr>
        <w:t>[Notice PIH</w:t>
      </w:r>
      <w:r>
        <w:rPr>
          <w:spacing w:val="-7"/>
          <w:sz w:val="24"/>
        </w:rPr>
        <w:t xml:space="preserve"> </w:t>
      </w:r>
      <w:r>
        <w:rPr>
          <w:sz w:val="24"/>
        </w:rPr>
        <w:t>2015-21].</w:t>
      </w:r>
    </w:p>
    <w:p w:rsidR="002C2785" w:rsidRDefault="002C2785" w:rsidP="002C2785">
      <w:pPr>
        <w:pStyle w:val="ListParagraph"/>
        <w:numPr>
          <w:ilvl w:val="1"/>
          <w:numId w:val="93"/>
        </w:numPr>
        <w:tabs>
          <w:tab w:val="left" w:pos="607"/>
        </w:tabs>
        <w:spacing w:before="0"/>
        <w:ind w:left="460" w:right="1089" w:firstLine="0"/>
        <w:rPr>
          <w:sz w:val="24"/>
        </w:rPr>
      </w:pPr>
      <w:r>
        <w:rPr>
          <w:sz w:val="24"/>
        </w:rPr>
        <w:t>This is the amount of tuition and required fees covering a full academic year</w:t>
      </w:r>
      <w:r>
        <w:rPr>
          <w:spacing w:val="-15"/>
          <w:sz w:val="24"/>
        </w:rPr>
        <w:t xml:space="preserve"> </w:t>
      </w:r>
      <w:r>
        <w:rPr>
          <w:sz w:val="24"/>
        </w:rPr>
        <w:t>most frequently charged to</w:t>
      </w:r>
      <w:r>
        <w:rPr>
          <w:spacing w:val="-7"/>
          <w:sz w:val="24"/>
        </w:rPr>
        <w:t xml:space="preserve"> </w:t>
      </w:r>
      <w:r>
        <w:rPr>
          <w:sz w:val="24"/>
        </w:rPr>
        <w:t>students.</w:t>
      </w:r>
    </w:p>
    <w:p w:rsidR="002C2785" w:rsidRDefault="002C2785" w:rsidP="002C2785">
      <w:pPr>
        <w:pStyle w:val="ListParagraph"/>
        <w:numPr>
          <w:ilvl w:val="1"/>
          <w:numId w:val="93"/>
        </w:numPr>
        <w:tabs>
          <w:tab w:val="left" w:pos="607"/>
        </w:tabs>
        <w:spacing w:before="0"/>
        <w:ind w:left="460" w:right="402" w:firstLine="0"/>
        <w:rPr>
          <w:sz w:val="24"/>
        </w:rPr>
      </w:pPr>
      <w:r>
        <w:rPr>
          <w:sz w:val="24"/>
        </w:rPr>
        <w:t>The amount represents what a typical student would be charged and may not be the</w:t>
      </w:r>
      <w:r>
        <w:rPr>
          <w:spacing w:val="-12"/>
          <w:sz w:val="24"/>
        </w:rPr>
        <w:t xml:space="preserve"> </w:t>
      </w:r>
      <w:r>
        <w:rPr>
          <w:sz w:val="24"/>
        </w:rPr>
        <w:t>same for all students at an</w:t>
      </w:r>
      <w:r>
        <w:rPr>
          <w:spacing w:val="-4"/>
          <w:sz w:val="24"/>
        </w:rPr>
        <w:t xml:space="preserve"> </w:t>
      </w:r>
      <w:r>
        <w:rPr>
          <w:sz w:val="24"/>
        </w:rPr>
        <w:t>institution.</w:t>
      </w:r>
    </w:p>
    <w:p w:rsidR="002C2785" w:rsidRDefault="002C2785" w:rsidP="002C2785">
      <w:pPr>
        <w:pStyle w:val="ListParagraph"/>
        <w:numPr>
          <w:ilvl w:val="1"/>
          <w:numId w:val="93"/>
        </w:numPr>
        <w:tabs>
          <w:tab w:val="left" w:pos="610"/>
        </w:tabs>
        <w:spacing w:before="6" w:line="274" w:lineRule="exact"/>
        <w:ind w:left="460" w:right="224" w:firstLine="0"/>
        <w:rPr>
          <w:sz w:val="24"/>
        </w:rPr>
      </w:pPr>
      <w:r>
        <w:rPr>
          <w:sz w:val="24"/>
        </w:rPr>
        <w:t>If tuition is charged on a per-credit-hour basis, the average full-time credit hour load for</w:t>
      </w:r>
      <w:r>
        <w:rPr>
          <w:spacing w:val="-21"/>
          <w:sz w:val="24"/>
        </w:rPr>
        <w:t xml:space="preserve"> </w:t>
      </w:r>
      <w:r>
        <w:rPr>
          <w:sz w:val="24"/>
        </w:rPr>
        <w:t>an academic year is used to estimate average</w:t>
      </w:r>
      <w:r>
        <w:rPr>
          <w:spacing w:val="-11"/>
          <w:sz w:val="24"/>
        </w:rPr>
        <w:t xml:space="preserve"> </w:t>
      </w:r>
      <w:r>
        <w:rPr>
          <w:sz w:val="24"/>
        </w:rPr>
        <w:t>tuition.</w:t>
      </w:r>
    </w:p>
    <w:p w:rsidR="002C2785" w:rsidRDefault="002C2785" w:rsidP="002C2785">
      <w:pPr>
        <w:pStyle w:val="ListParagraph"/>
        <w:numPr>
          <w:ilvl w:val="1"/>
          <w:numId w:val="93"/>
        </w:numPr>
        <w:tabs>
          <w:tab w:val="left" w:pos="607"/>
        </w:tabs>
        <w:spacing w:before="0"/>
        <w:ind w:left="460" w:right="444" w:firstLine="0"/>
        <w:rPr>
          <w:sz w:val="24"/>
        </w:rPr>
      </w:pPr>
      <w:r>
        <w:rPr>
          <w:sz w:val="24"/>
        </w:rPr>
        <w:t>Required fees include all fixed -sum charges that are required of a large proportion of</w:t>
      </w:r>
      <w:r>
        <w:rPr>
          <w:spacing w:val="-14"/>
          <w:sz w:val="24"/>
        </w:rPr>
        <w:t xml:space="preserve"> </w:t>
      </w:r>
      <w:r>
        <w:rPr>
          <w:sz w:val="24"/>
        </w:rPr>
        <w:t>all students. Examples include, but are not limited to, writing and science lab fees and fees specific to the student’s major or program (i.e., nursing</w:t>
      </w:r>
      <w:r>
        <w:rPr>
          <w:spacing w:val="-10"/>
          <w:sz w:val="24"/>
        </w:rPr>
        <w:t xml:space="preserve"> </w:t>
      </w:r>
      <w:r>
        <w:rPr>
          <w:sz w:val="24"/>
        </w:rPr>
        <w:t>program).</w:t>
      </w:r>
    </w:p>
    <w:p w:rsidR="005E5D3D" w:rsidRPr="005E5D3D" w:rsidRDefault="002C2785" w:rsidP="005E5D3D">
      <w:pPr>
        <w:pStyle w:val="BodyText"/>
        <w:ind w:right="134"/>
        <w:jc w:val="both"/>
        <w:rPr>
          <w:b/>
        </w:rPr>
      </w:pPr>
      <w:r>
        <w:t xml:space="preserve">Expenses related to attending an institution of higher education must </w:t>
      </w:r>
      <w:r>
        <w:rPr>
          <w:b/>
        </w:rPr>
        <w:t xml:space="preserve">not </w:t>
      </w:r>
      <w:r>
        <w:t xml:space="preserve">be included as tuition. Examples include, but are not limited to, room and board, books, supplies, meal plans, transportation and parking, student health insurance plans, and other non-fixed-sum </w:t>
      </w:r>
      <w:r w:rsidR="005E5D3D" w:rsidRPr="005E5D3D">
        <w:rPr>
          <w:b/>
        </w:rPr>
        <w:t>HOTMA Student Financial Assistance Requirements [</w:t>
      </w:r>
      <w:r w:rsidR="005E5D3D" w:rsidRPr="005E5D3D">
        <w:rPr>
          <w:b/>
          <w:bCs/>
        </w:rPr>
        <w:t>24 CFR 5.609(b)(9)]</w:t>
      </w:r>
      <w:r w:rsidR="005E5D3D" w:rsidRPr="005E5D3D">
        <w:rPr>
          <w:b/>
        </w:rPr>
        <w:t>]</w:t>
      </w:r>
    </w:p>
    <w:p w:rsidR="005E5D3D" w:rsidRPr="005E5D3D" w:rsidRDefault="005E5D3D" w:rsidP="005E5D3D">
      <w:pPr>
        <w:pStyle w:val="BodyText"/>
        <w:ind w:right="134"/>
        <w:jc w:val="both"/>
        <w:rPr>
          <w:b/>
          <w:bCs/>
        </w:rPr>
      </w:pPr>
      <w:r w:rsidRPr="005E5D3D">
        <w:t xml:space="preserve">The regulations under HOTMA distinguish between two categories of student financial assistance paid to both full-time and part-time students. </w:t>
      </w:r>
      <w:r w:rsidRPr="005E5D3D">
        <w:rPr>
          <w:b/>
          <w:bCs/>
        </w:rPr>
        <w:t>No PHA policy decisions are required.</w:t>
      </w:r>
    </w:p>
    <w:p w:rsidR="005E5D3D" w:rsidRPr="005E5D3D" w:rsidRDefault="005E5D3D" w:rsidP="005E5D3D">
      <w:pPr>
        <w:pStyle w:val="BodyText"/>
        <w:ind w:right="134"/>
        <w:jc w:val="both"/>
        <w:rPr>
          <w:b/>
          <w:bCs/>
        </w:rPr>
      </w:pPr>
      <w:r w:rsidRPr="005E5D3D">
        <w:rPr>
          <w:b/>
          <w:bCs/>
        </w:rPr>
        <w:t>Types of Assistance</w:t>
      </w:r>
    </w:p>
    <w:p w:rsidR="005E5D3D" w:rsidRPr="005E5D3D" w:rsidRDefault="005E5D3D" w:rsidP="005E5D3D">
      <w:pPr>
        <w:pStyle w:val="BodyText"/>
        <w:ind w:right="134"/>
        <w:jc w:val="both"/>
      </w:pPr>
      <w:r w:rsidRPr="005E5D3D">
        <w:t xml:space="preserve">The regulations under HOTMA distinguish between two categories of student financial assistance paid to both full-time and part-time students: Title IV HEA Assistance and other Student Financial Assistance. The full amount of assistance under Title IV of the HEA is excluded, and may include the amounts that exceed the actual covered costs of the student for other types of financial assistance.  </w:t>
      </w:r>
      <w:r w:rsidRPr="005E5D3D">
        <w:rPr>
          <w:b/>
          <w:bCs/>
        </w:rPr>
        <w:t>No PHA policy decisions are required.</w:t>
      </w:r>
    </w:p>
    <w:p w:rsidR="005E5D3D" w:rsidRPr="005E5D3D" w:rsidRDefault="005E5D3D" w:rsidP="005E5D3D">
      <w:pPr>
        <w:pStyle w:val="BodyText"/>
        <w:ind w:right="134"/>
        <w:jc w:val="both"/>
        <w:rPr>
          <w:b/>
          <w:bCs/>
        </w:rPr>
      </w:pPr>
      <w:r w:rsidRPr="005E5D3D">
        <w:rPr>
          <w:b/>
          <w:bCs/>
        </w:rPr>
        <w:t>Calculating Income from Student Financial Assistance [HOTMA Student Financial Assistance Resource Sheet; Notice PIH 2023-27]</w:t>
      </w:r>
    </w:p>
    <w:p w:rsidR="005E5D3D" w:rsidRPr="005E5D3D" w:rsidRDefault="005E5D3D" w:rsidP="005E5D3D">
      <w:pPr>
        <w:pStyle w:val="BodyText"/>
        <w:ind w:right="134"/>
        <w:jc w:val="both"/>
      </w:pPr>
      <w:r w:rsidRPr="005E5D3D">
        <w:lastRenderedPageBreak/>
        <w:t>When a student receives assistance from both Title IV of the HEA and from other sources, the assistance received under Title IV of the HEA must be applied to the student’s actual covered costs first and then other student financial assistance is applied to any remaining actual covered costs. Once actual costs are covered, any remaining student financial assistance is considered income.</w:t>
      </w:r>
    </w:p>
    <w:p w:rsidR="005E5D3D" w:rsidRPr="00067449" w:rsidRDefault="005E5D3D" w:rsidP="005E5D3D">
      <w:pPr>
        <w:pStyle w:val="BodyText"/>
        <w:ind w:right="134"/>
        <w:jc w:val="both"/>
        <w:rPr>
          <w:b/>
          <w:u w:val="single"/>
        </w:rPr>
      </w:pPr>
      <w:r>
        <w:tab/>
      </w:r>
      <w:r w:rsidRPr="00067449">
        <w:rPr>
          <w:b/>
          <w:u w:val="single"/>
        </w:rPr>
        <w:t xml:space="preserve">PHA Policy </w:t>
      </w:r>
    </w:p>
    <w:p w:rsidR="005E5D3D" w:rsidRPr="005E5D3D" w:rsidRDefault="005E5D3D" w:rsidP="005E5D3D">
      <w:pPr>
        <w:pStyle w:val="BodyText"/>
        <w:ind w:right="134"/>
        <w:jc w:val="both"/>
        <w:rPr>
          <w:u w:val="single"/>
        </w:rPr>
      </w:pPr>
      <w:r w:rsidRPr="005E5D3D">
        <w:t xml:space="preserve">If a student only receives financial assistance under Title IV of the HEA and does not receive any other student financial assistance, the PHA will exclude the full amount of the assistance received under Title IV from the family’s annual income. The PHA will not calculate actual covered costs in this case. </w:t>
      </w:r>
    </w:p>
    <w:p w:rsidR="005E5D3D" w:rsidRDefault="005E5D3D" w:rsidP="005E5D3D">
      <w:pPr>
        <w:pStyle w:val="BodyText"/>
        <w:ind w:right="134"/>
        <w:jc w:val="both"/>
      </w:pPr>
      <w:r w:rsidRPr="005E5D3D">
        <w:t>If the student does not receive any assistance under Title IV of the HEA but does receive assistance from another source, the PHA will first calculate the actual covered costs to the student in accordance with 24 CFR 5.609(b)(ii). The PHA will then subtract the total amount of the student’s financial assistance from the student’s actual covered costs. The PHA will include any amount of financial assistance in excess of the student’s actual covered costs in the family’s annual income.</w:t>
      </w:r>
    </w:p>
    <w:p w:rsidR="005E5D3D" w:rsidRDefault="005E5D3D" w:rsidP="005E5D3D">
      <w:pPr>
        <w:pStyle w:val="BodyText"/>
        <w:ind w:right="134"/>
        <w:jc w:val="both"/>
      </w:pPr>
    </w:p>
    <w:p w:rsidR="005E5D3D" w:rsidRDefault="005E5D3D" w:rsidP="005E5D3D">
      <w:pPr>
        <w:pStyle w:val="BodyText"/>
        <w:ind w:right="134"/>
        <w:jc w:val="both"/>
      </w:pPr>
    </w:p>
    <w:p w:rsidR="005E5D3D" w:rsidRPr="005E5D3D" w:rsidRDefault="005E5D3D" w:rsidP="005E5D3D">
      <w:pPr>
        <w:pStyle w:val="BodyText"/>
        <w:ind w:right="134"/>
        <w:jc w:val="both"/>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5E5D3D" w:rsidRPr="005E5D3D" w:rsidTr="005E5D3D">
        <w:tc>
          <w:tcPr>
            <w:tcW w:w="7308" w:type="dxa"/>
            <w:shd w:val="clear" w:color="auto" w:fill="auto"/>
          </w:tcPr>
          <w:p w:rsidR="005E5D3D" w:rsidRPr="005E5D3D" w:rsidRDefault="005E5D3D" w:rsidP="005E5D3D">
            <w:pPr>
              <w:pStyle w:val="BodyText"/>
              <w:ind w:right="134"/>
              <w:jc w:val="both"/>
              <w:rPr>
                <w:b/>
                <w:bCs/>
              </w:rPr>
            </w:pPr>
            <w:r w:rsidRPr="005E5D3D">
              <w:rPr>
                <w:b/>
                <w:bCs/>
              </w:rPr>
              <w:t>Example 1</w:t>
            </w:r>
          </w:p>
          <w:p w:rsidR="005E5D3D" w:rsidRPr="005E5D3D" w:rsidRDefault="005E5D3D" w:rsidP="005E5D3D">
            <w:pPr>
              <w:pStyle w:val="BodyText"/>
              <w:numPr>
                <w:ilvl w:val="0"/>
                <w:numId w:val="94"/>
              </w:numPr>
              <w:ind w:right="134"/>
              <w:jc w:val="both"/>
            </w:pPr>
            <w:r w:rsidRPr="005E5D3D">
              <w:t>Actual covered costs: $20,000</w:t>
            </w:r>
          </w:p>
          <w:p w:rsidR="005E5D3D" w:rsidRPr="005E5D3D" w:rsidRDefault="005E5D3D" w:rsidP="005E5D3D">
            <w:pPr>
              <w:pStyle w:val="BodyText"/>
              <w:numPr>
                <w:ilvl w:val="0"/>
                <w:numId w:val="94"/>
              </w:numPr>
              <w:ind w:right="134"/>
              <w:jc w:val="both"/>
            </w:pPr>
            <w:r w:rsidRPr="005E5D3D">
              <w:t>Other student financial assistance: $25,000</w:t>
            </w:r>
          </w:p>
          <w:p w:rsidR="005E5D3D" w:rsidRPr="005E5D3D" w:rsidRDefault="005E5D3D" w:rsidP="005E5D3D">
            <w:pPr>
              <w:pStyle w:val="BodyText"/>
              <w:numPr>
                <w:ilvl w:val="0"/>
                <w:numId w:val="94"/>
              </w:numPr>
              <w:ind w:right="134"/>
              <w:jc w:val="both"/>
            </w:pPr>
            <w:r w:rsidRPr="005E5D3D">
              <w:t xml:space="preserve">Excluded income:  $20,000 ($25,000 in financial assistance - </w:t>
            </w:r>
            <w:r w:rsidRPr="005E5D3D">
              <w:br/>
              <w:t>$20,000 in actual covered costs)</w:t>
            </w:r>
          </w:p>
          <w:p w:rsidR="005E5D3D" w:rsidRPr="005E5D3D" w:rsidRDefault="005E5D3D" w:rsidP="005E5D3D">
            <w:pPr>
              <w:pStyle w:val="BodyText"/>
              <w:numPr>
                <w:ilvl w:val="0"/>
                <w:numId w:val="94"/>
              </w:numPr>
              <w:ind w:right="134"/>
              <w:jc w:val="both"/>
            </w:pPr>
            <w:r w:rsidRPr="005E5D3D">
              <w:t>Included income: $5,000</w:t>
            </w:r>
          </w:p>
        </w:tc>
      </w:tr>
    </w:tbl>
    <w:p w:rsidR="005E5D3D" w:rsidRPr="005E5D3D" w:rsidRDefault="005E5D3D" w:rsidP="005E5D3D">
      <w:pPr>
        <w:pStyle w:val="BodyText"/>
        <w:ind w:right="134"/>
        <w:jc w:val="both"/>
      </w:pPr>
      <w:r w:rsidRPr="005E5D3D">
        <w:t>When a student receives assistance from both Title IV of the HEA and from other sources, the PHA will first calculate the actual covered costs to the student in accordance with 24 CFR 5.609(b)(ii). The assistance received under Title IV of the HEA will be applied to the student’s actual covered costs first and then the other student financial assistance will be applied to any remaining actual covered costs.</w:t>
      </w:r>
    </w:p>
    <w:p w:rsidR="005E5D3D" w:rsidRPr="005E5D3D" w:rsidRDefault="005E5D3D" w:rsidP="005E5D3D">
      <w:pPr>
        <w:pStyle w:val="BodyText"/>
        <w:ind w:left="0" w:right="134"/>
        <w:jc w:val="both"/>
      </w:pPr>
      <w:r w:rsidRPr="005E5D3D">
        <w:t>If the amount of assistance excluded under Title IV of the HEA equals or exceeds the actual covered costs, the full amount of the other financial assistance will be included in the family’s annual income.</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5E5D3D" w:rsidRPr="005E5D3D" w:rsidTr="005E5D3D">
        <w:tc>
          <w:tcPr>
            <w:tcW w:w="7308" w:type="dxa"/>
            <w:shd w:val="clear" w:color="auto" w:fill="auto"/>
          </w:tcPr>
          <w:p w:rsidR="005E5D3D" w:rsidRPr="005E5D3D" w:rsidRDefault="005E5D3D" w:rsidP="005E5D3D">
            <w:pPr>
              <w:pStyle w:val="BodyText"/>
              <w:ind w:right="134"/>
              <w:jc w:val="both"/>
              <w:rPr>
                <w:b/>
                <w:bCs/>
              </w:rPr>
            </w:pPr>
            <w:r w:rsidRPr="005E5D3D">
              <w:rPr>
                <w:b/>
                <w:bCs/>
              </w:rPr>
              <w:t>Example 2</w:t>
            </w:r>
          </w:p>
          <w:p w:rsidR="005E5D3D" w:rsidRPr="005E5D3D" w:rsidRDefault="005E5D3D" w:rsidP="005E5D3D">
            <w:pPr>
              <w:pStyle w:val="BodyText"/>
              <w:numPr>
                <w:ilvl w:val="0"/>
                <w:numId w:val="94"/>
              </w:numPr>
              <w:ind w:right="134"/>
              <w:jc w:val="both"/>
            </w:pPr>
            <w:r w:rsidRPr="005E5D3D">
              <w:t>Actual covered costs: $25,000</w:t>
            </w:r>
          </w:p>
          <w:p w:rsidR="005E5D3D" w:rsidRPr="005E5D3D" w:rsidRDefault="005E5D3D" w:rsidP="005E5D3D">
            <w:pPr>
              <w:pStyle w:val="BodyText"/>
              <w:numPr>
                <w:ilvl w:val="0"/>
                <w:numId w:val="94"/>
              </w:numPr>
              <w:ind w:right="134"/>
              <w:jc w:val="both"/>
            </w:pPr>
            <w:r w:rsidRPr="005E5D3D">
              <w:t>Title IV HEA assistance: $26,000</w:t>
            </w:r>
          </w:p>
          <w:p w:rsidR="005E5D3D" w:rsidRPr="005E5D3D" w:rsidRDefault="005E5D3D" w:rsidP="005E5D3D">
            <w:pPr>
              <w:pStyle w:val="BodyText"/>
              <w:numPr>
                <w:ilvl w:val="0"/>
                <w:numId w:val="94"/>
              </w:numPr>
              <w:ind w:right="134"/>
              <w:jc w:val="both"/>
            </w:pPr>
            <w:r w:rsidRPr="005E5D3D">
              <w:t>Title IV HEA assistance covers the students entire actual covered costs.</w:t>
            </w:r>
          </w:p>
          <w:p w:rsidR="005E5D3D" w:rsidRPr="005E5D3D" w:rsidRDefault="005E5D3D" w:rsidP="005E5D3D">
            <w:pPr>
              <w:pStyle w:val="BodyText"/>
              <w:numPr>
                <w:ilvl w:val="0"/>
                <w:numId w:val="94"/>
              </w:numPr>
              <w:ind w:right="134"/>
              <w:jc w:val="both"/>
            </w:pPr>
            <w:r w:rsidRPr="005E5D3D">
              <w:t>Other Student Financial Assistance: $5,000</w:t>
            </w:r>
          </w:p>
          <w:p w:rsidR="005E5D3D" w:rsidRPr="005E5D3D" w:rsidRDefault="005E5D3D" w:rsidP="005E5D3D">
            <w:pPr>
              <w:pStyle w:val="BodyText"/>
              <w:numPr>
                <w:ilvl w:val="0"/>
                <w:numId w:val="94"/>
              </w:numPr>
              <w:ind w:right="134"/>
              <w:jc w:val="both"/>
            </w:pPr>
            <w:r w:rsidRPr="005E5D3D">
              <w:t>Excluded income: The entire Title IV HEA assistance of $26,000</w:t>
            </w:r>
          </w:p>
          <w:p w:rsidR="005E5D3D" w:rsidRPr="005E5D3D" w:rsidRDefault="005E5D3D" w:rsidP="005E5D3D">
            <w:pPr>
              <w:pStyle w:val="BodyText"/>
              <w:numPr>
                <w:ilvl w:val="0"/>
                <w:numId w:val="94"/>
              </w:numPr>
              <w:ind w:right="134"/>
              <w:jc w:val="both"/>
            </w:pPr>
            <w:r w:rsidRPr="005E5D3D">
              <w:lastRenderedPageBreak/>
              <w:t xml:space="preserve">Included income: All other financial assistance of $5,000 </w:t>
            </w:r>
          </w:p>
        </w:tc>
      </w:tr>
    </w:tbl>
    <w:p w:rsidR="005E5D3D" w:rsidRPr="005E5D3D" w:rsidRDefault="005E5D3D" w:rsidP="005E5D3D">
      <w:pPr>
        <w:pStyle w:val="BodyText"/>
        <w:ind w:right="134"/>
        <w:jc w:val="both"/>
      </w:pPr>
      <w:r w:rsidRPr="005E5D3D">
        <w:lastRenderedPageBreak/>
        <w:t>If the amount of assistance excluded under Title IV of the HEA is less than the actual covered costs, the PHA will exclude the amount of other student financial assistance up to the amount of the remaining actual covered costs</w:t>
      </w:r>
      <w:bookmarkStart w:id="16" w:name="_Hlk145695135"/>
      <w:r w:rsidRPr="005E5D3D">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5E5D3D" w:rsidRPr="005E5D3D" w:rsidTr="005E5D3D">
        <w:tc>
          <w:tcPr>
            <w:tcW w:w="7308" w:type="dxa"/>
            <w:shd w:val="clear" w:color="auto" w:fill="auto"/>
          </w:tcPr>
          <w:p w:rsidR="005E5D3D" w:rsidRPr="005E5D3D" w:rsidRDefault="005E5D3D" w:rsidP="005E5D3D">
            <w:pPr>
              <w:pStyle w:val="BodyText"/>
              <w:ind w:right="134"/>
              <w:jc w:val="both"/>
              <w:rPr>
                <w:b/>
                <w:bCs/>
              </w:rPr>
            </w:pPr>
            <w:r w:rsidRPr="005E5D3D">
              <w:rPr>
                <w:b/>
                <w:bCs/>
              </w:rPr>
              <w:t>Example 3</w:t>
            </w:r>
          </w:p>
          <w:p w:rsidR="005E5D3D" w:rsidRPr="005E5D3D" w:rsidRDefault="005E5D3D" w:rsidP="005E5D3D">
            <w:pPr>
              <w:pStyle w:val="BodyText"/>
              <w:numPr>
                <w:ilvl w:val="0"/>
                <w:numId w:val="94"/>
              </w:numPr>
              <w:ind w:right="134"/>
              <w:jc w:val="both"/>
            </w:pPr>
            <w:r w:rsidRPr="005E5D3D">
              <w:t>Actual covered costs: $22,000</w:t>
            </w:r>
          </w:p>
          <w:p w:rsidR="005E5D3D" w:rsidRPr="005E5D3D" w:rsidRDefault="005E5D3D" w:rsidP="005E5D3D">
            <w:pPr>
              <w:pStyle w:val="BodyText"/>
              <w:numPr>
                <w:ilvl w:val="0"/>
                <w:numId w:val="94"/>
              </w:numPr>
              <w:ind w:right="134"/>
              <w:jc w:val="both"/>
            </w:pPr>
            <w:r w:rsidRPr="005E5D3D">
              <w:t>Title IV HEA assistance: $15,000</w:t>
            </w:r>
          </w:p>
          <w:p w:rsidR="005E5D3D" w:rsidRPr="005E5D3D" w:rsidRDefault="005E5D3D" w:rsidP="005E5D3D">
            <w:pPr>
              <w:pStyle w:val="BodyText"/>
              <w:numPr>
                <w:ilvl w:val="0"/>
                <w:numId w:val="94"/>
              </w:numPr>
              <w:ind w:right="134"/>
              <w:jc w:val="both"/>
            </w:pPr>
            <w:r w:rsidRPr="005E5D3D">
              <w:t>The remaining amount not covered by Title IV HEA assistance is $7,000 ($22,000 in actual covered costs - $15,000 in Title IV HEA assistance).</w:t>
            </w:r>
          </w:p>
          <w:p w:rsidR="005E5D3D" w:rsidRPr="005E5D3D" w:rsidRDefault="005E5D3D" w:rsidP="005E5D3D">
            <w:pPr>
              <w:pStyle w:val="BodyText"/>
              <w:numPr>
                <w:ilvl w:val="0"/>
                <w:numId w:val="94"/>
              </w:numPr>
              <w:ind w:right="134"/>
              <w:jc w:val="both"/>
            </w:pPr>
            <w:r w:rsidRPr="005E5D3D">
              <w:t>Other Student Financial Assistance: $5,000</w:t>
            </w:r>
          </w:p>
          <w:p w:rsidR="005E5D3D" w:rsidRPr="005E5D3D" w:rsidRDefault="005E5D3D" w:rsidP="005E5D3D">
            <w:pPr>
              <w:pStyle w:val="BodyText"/>
              <w:numPr>
                <w:ilvl w:val="0"/>
                <w:numId w:val="94"/>
              </w:numPr>
              <w:ind w:right="134"/>
              <w:jc w:val="both"/>
            </w:pPr>
            <w:r w:rsidRPr="005E5D3D">
              <w:t>$7,000 in remaining actual covered costs - $5,000 in other financial assistance</w:t>
            </w:r>
          </w:p>
          <w:p w:rsidR="005E5D3D" w:rsidRPr="005E5D3D" w:rsidRDefault="005E5D3D" w:rsidP="005E5D3D">
            <w:pPr>
              <w:pStyle w:val="BodyText"/>
              <w:numPr>
                <w:ilvl w:val="0"/>
                <w:numId w:val="94"/>
              </w:numPr>
              <w:ind w:right="134"/>
              <w:jc w:val="both"/>
            </w:pPr>
            <w:r w:rsidRPr="005E5D3D">
              <w:t>Excluded income: $15,000 entire amount of the Title IV HEA Assistance + $5,000 in other financial assistance</w:t>
            </w:r>
          </w:p>
          <w:p w:rsidR="005E5D3D" w:rsidRPr="005E5D3D" w:rsidRDefault="005E5D3D" w:rsidP="005E5D3D">
            <w:pPr>
              <w:pStyle w:val="BodyText"/>
              <w:numPr>
                <w:ilvl w:val="0"/>
                <w:numId w:val="94"/>
              </w:numPr>
              <w:ind w:right="134"/>
              <w:jc w:val="both"/>
            </w:pPr>
            <w:r w:rsidRPr="005E5D3D">
              <w:t>Included income: $0</w:t>
            </w:r>
          </w:p>
        </w:tc>
      </w:tr>
    </w:tbl>
    <w:tbl>
      <w:tblPr>
        <w:tblpPr w:leftFromText="180" w:rightFromText="180" w:vertAnchor="text" w:horzAnchor="margin" w:tblpXSpec="right" w:tblpY="7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5E5D3D" w:rsidRPr="005E5D3D" w:rsidTr="005E5D3D">
        <w:tc>
          <w:tcPr>
            <w:tcW w:w="7308" w:type="dxa"/>
            <w:shd w:val="clear" w:color="auto" w:fill="auto"/>
          </w:tcPr>
          <w:bookmarkEnd w:id="16"/>
          <w:p w:rsidR="005E5D3D" w:rsidRPr="005E5D3D" w:rsidRDefault="005E5D3D" w:rsidP="005E5D3D">
            <w:pPr>
              <w:pStyle w:val="BodyText"/>
              <w:ind w:right="134"/>
              <w:jc w:val="both"/>
              <w:rPr>
                <w:b/>
                <w:bCs/>
              </w:rPr>
            </w:pPr>
            <w:r w:rsidRPr="005E5D3D">
              <w:rPr>
                <w:b/>
                <w:bCs/>
              </w:rPr>
              <w:t>Example 4</w:t>
            </w:r>
          </w:p>
          <w:p w:rsidR="005E5D3D" w:rsidRPr="005E5D3D" w:rsidRDefault="005E5D3D" w:rsidP="005E5D3D">
            <w:pPr>
              <w:pStyle w:val="BodyText"/>
              <w:numPr>
                <w:ilvl w:val="0"/>
                <w:numId w:val="94"/>
              </w:numPr>
              <w:ind w:right="134"/>
              <w:jc w:val="both"/>
            </w:pPr>
            <w:r w:rsidRPr="005E5D3D">
              <w:t xml:space="preserve">Actual covered costs: $18,000 </w:t>
            </w:r>
          </w:p>
          <w:p w:rsidR="005E5D3D" w:rsidRPr="005E5D3D" w:rsidRDefault="005E5D3D" w:rsidP="005E5D3D">
            <w:pPr>
              <w:pStyle w:val="BodyText"/>
              <w:numPr>
                <w:ilvl w:val="0"/>
                <w:numId w:val="94"/>
              </w:numPr>
              <w:ind w:right="134"/>
              <w:jc w:val="both"/>
            </w:pPr>
            <w:r w:rsidRPr="005E5D3D">
              <w:t xml:space="preserve">Title IV HEA Assistance: $15,000 </w:t>
            </w:r>
          </w:p>
          <w:p w:rsidR="005E5D3D" w:rsidRPr="005E5D3D" w:rsidRDefault="005E5D3D" w:rsidP="005E5D3D">
            <w:pPr>
              <w:pStyle w:val="BodyText"/>
              <w:numPr>
                <w:ilvl w:val="0"/>
                <w:numId w:val="94"/>
              </w:numPr>
              <w:ind w:right="134"/>
              <w:jc w:val="both"/>
            </w:pPr>
            <w:r w:rsidRPr="005E5D3D">
              <w:t>The remaining amount not covered by Title IV HEA assistance is $3,000 ($18,000 in actual covered costs - $15,000 in Title IV HEA Assistance)</w:t>
            </w:r>
          </w:p>
          <w:p w:rsidR="005E5D3D" w:rsidRPr="005E5D3D" w:rsidRDefault="005E5D3D" w:rsidP="005E5D3D">
            <w:pPr>
              <w:pStyle w:val="BodyText"/>
              <w:numPr>
                <w:ilvl w:val="0"/>
                <w:numId w:val="94"/>
              </w:numPr>
              <w:ind w:right="134"/>
              <w:jc w:val="both"/>
            </w:pPr>
            <w:r w:rsidRPr="005E5D3D">
              <w:t>Other student Financial Assistance: $5,000</w:t>
            </w:r>
          </w:p>
          <w:p w:rsidR="005E5D3D" w:rsidRPr="005E5D3D" w:rsidRDefault="005E5D3D" w:rsidP="005E5D3D">
            <w:pPr>
              <w:pStyle w:val="BodyText"/>
              <w:numPr>
                <w:ilvl w:val="0"/>
                <w:numId w:val="94"/>
              </w:numPr>
              <w:ind w:right="134"/>
              <w:jc w:val="both"/>
            </w:pPr>
            <w:r w:rsidRPr="005E5D3D">
              <w:t>When other student financial assistance is applied, financial assistance exceeds actual covered costs by $2,000 ($3,000 in actual covered costs - $5,000 in other financial assistance).</w:t>
            </w:r>
          </w:p>
          <w:p w:rsidR="005E5D3D" w:rsidRPr="005E5D3D" w:rsidRDefault="005E5D3D" w:rsidP="005E5D3D">
            <w:pPr>
              <w:pStyle w:val="BodyText"/>
              <w:numPr>
                <w:ilvl w:val="0"/>
                <w:numId w:val="94"/>
              </w:numPr>
              <w:ind w:right="134"/>
              <w:jc w:val="both"/>
            </w:pPr>
            <w:r w:rsidRPr="005E5D3D">
              <w:t>Included income: $2,000 (the amount by which the financial aid exceeds the student's actual covered costs.</w:t>
            </w:r>
          </w:p>
        </w:tc>
      </w:tr>
    </w:tbl>
    <w:p w:rsidR="005E5D3D" w:rsidRDefault="005E5D3D" w:rsidP="005E5D3D">
      <w:pPr>
        <w:pStyle w:val="BodyText"/>
        <w:ind w:left="0" w:right="134"/>
        <w:jc w:val="both"/>
        <w:rPr>
          <w:b/>
          <w:bCs/>
        </w:rPr>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jc w:val="both"/>
      </w:pPr>
    </w:p>
    <w:p w:rsidR="005E5D3D" w:rsidRDefault="005E5D3D" w:rsidP="005E5D3D">
      <w:pPr>
        <w:pStyle w:val="BodyText"/>
        <w:ind w:left="0" w:right="134"/>
      </w:pPr>
    </w:p>
    <w:p w:rsidR="005E5D3D" w:rsidRPr="005E5D3D" w:rsidRDefault="005E5D3D" w:rsidP="005E5D3D">
      <w:pPr>
        <w:pStyle w:val="BodyText"/>
        <w:ind w:right="134"/>
        <w:rPr>
          <w:b/>
          <w:bCs/>
        </w:rPr>
      </w:pPr>
      <w:r w:rsidRPr="005E5D3D">
        <w:rPr>
          <w:b/>
          <w:bCs/>
        </w:rPr>
        <w:t>6-I.H. PERIODIC PAYMENTS</w:t>
      </w:r>
    </w:p>
    <w:p w:rsidR="005E5D3D" w:rsidRPr="005E5D3D" w:rsidRDefault="005E5D3D" w:rsidP="005E5D3D">
      <w:pPr>
        <w:pStyle w:val="BodyText"/>
        <w:ind w:right="134"/>
        <w:rPr>
          <w:bCs/>
        </w:rPr>
      </w:pPr>
      <w:r w:rsidRPr="005E5D3D">
        <w:rPr>
          <w:bCs/>
        </w:rPr>
        <w:t xml:space="preserve">HUD regulations specify periodic payments that are not included in annual income. </w:t>
      </w:r>
    </w:p>
    <w:p w:rsidR="005E5D3D" w:rsidRPr="00BF2931" w:rsidRDefault="005E5D3D" w:rsidP="005E5D3D">
      <w:pPr>
        <w:pStyle w:val="BodyText"/>
        <w:ind w:right="134"/>
        <w:rPr>
          <w:b/>
          <w:bCs/>
        </w:rPr>
      </w:pPr>
      <w:r w:rsidRPr="00BF2931">
        <w:rPr>
          <w:b/>
          <w:bCs/>
        </w:rPr>
        <w:t>Lump-Sum Payments for the Delayed Start of a Periodic Payment [24 CFR 5.609(b)(16)]</w:t>
      </w:r>
    </w:p>
    <w:p w:rsidR="005E5D3D" w:rsidRPr="005E5D3D" w:rsidRDefault="005E5D3D" w:rsidP="005E5D3D">
      <w:pPr>
        <w:pStyle w:val="BodyText"/>
        <w:ind w:right="134"/>
        <w:rPr>
          <w:bCs/>
        </w:rPr>
      </w:pPr>
      <w:r w:rsidRPr="005E5D3D">
        <w:rPr>
          <w:bCs/>
        </w:rPr>
        <w:t xml:space="preserve">HUD requires that PHAs include in annual income most lump-sums and prospective amounts </w:t>
      </w:r>
      <w:r w:rsidRPr="005E5D3D">
        <w:rPr>
          <w:bCs/>
        </w:rPr>
        <w:lastRenderedPageBreak/>
        <w:t>that are received as the result of delays in the processing of ongoing forms of periodic income. However, the regulation specifically exempts deferred Social Security and SSI lump-sum payments, and deferred disability benefits from the Department of Veterans Affairs from this requirement. Deferred lump-sum payments from these sources are not counted as income whether they are paid in a single lump-sum or in prospective monthly amounts [24 CFR 5.609(b)(16)].</w:t>
      </w:r>
    </w:p>
    <w:p w:rsidR="005E5D3D" w:rsidRPr="005E5D3D" w:rsidRDefault="005E5D3D" w:rsidP="005E5D3D">
      <w:pPr>
        <w:pStyle w:val="BodyText"/>
        <w:ind w:right="134"/>
        <w:rPr>
          <w:bCs/>
        </w:rPr>
      </w:pPr>
      <w:r w:rsidRPr="005E5D3D">
        <w:rPr>
          <w:bCs/>
        </w:rPr>
        <w:t>There are three issues the PHA must address related to lump-sums received as a result of the delayed start of a periodic payment:</w:t>
      </w:r>
    </w:p>
    <w:p w:rsidR="005E5D3D" w:rsidRPr="005E5D3D" w:rsidRDefault="005E5D3D" w:rsidP="005E5D3D">
      <w:pPr>
        <w:pStyle w:val="BodyText"/>
        <w:numPr>
          <w:ilvl w:val="0"/>
          <w:numId w:val="95"/>
        </w:numPr>
        <w:ind w:right="134"/>
        <w:rPr>
          <w:bCs/>
        </w:rPr>
      </w:pPr>
      <w:r w:rsidRPr="005E5D3D">
        <w:rPr>
          <w:bCs/>
        </w:rPr>
        <w:t>When must the family report receipt of the payments?</w:t>
      </w:r>
    </w:p>
    <w:p w:rsidR="005E5D3D" w:rsidRPr="005E5D3D" w:rsidRDefault="005E5D3D" w:rsidP="005E5D3D">
      <w:pPr>
        <w:pStyle w:val="BodyText"/>
        <w:numPr>
          <w:ilvl w:val="0"/>
          <w:numId w:val="95"/>
        </w:numPr>
        <w:ind w:right="134"/>
        <w:rPr>
          <w:bCs/>
        </w:rPr>
      </w:pPr>
      <w:r w:rsidRPr="005E5D3D">
        <w:rPr>
          <w:bCs/>
        </w:rPr>
        <w:t>When the lump-sum is reported, will the PHA make a retroactive adjustment of the family’s share or include the amount in prospective rent calculations?</w:t>
      </w:r>
    </w:p>
    <w:p w:rsidR="005E5D3D" w:rsidRPr="005E5D3D" w:rsidRDefault="005E5D3D" w:rsidP="005E5D3D">
      <w:pPr>
        <w:pStyle w:val="BodyText"/>
        <w:numPr>
          <w:ilvl w:val="0"/>
          <w:numId w:val="95"/>
        </w:numPr>
        <w:ind w:right="134"/>
        <w:rPr>
          <w:bCs/>
        </w:rPr>
      </w:pPr>
      <w:r w:rsidRPr="005E5D3D">
        <w:rPr>
          <w:bCs/>
        </w:rPr>
        <w:t>If the family owes the PHA as a result of a retroactive calculation, under what circumstances will the PHA offer a repayment agreement?</w:t>
      </w:r>
    </w:p>
    <w:p w:rsidR="005E5D3D" w:rsidRPr="00067449" w:rsidRDefault="006223EC" w:rsidP="006223EC">
      <w:pPr>
        <w:pStyle w:val="BodyText"/>
        <w:ind w:left="0" w:right="134" w:firstLine="360"/>
        <w:rPr>
          <w:b/>
          <w:bCs/>
          <w:u w:val="single"/>
        </w:rPr>
      </w:pPr>
      <w:r w:rsidRPr="00067449">
        <w:rPr>
          <w:b/>
          <w:bCs/>
          <w:u w:val="single"/>
        </w:rPr>
        <w:t>PHA Policy</w:t>
      </w:r>
    </w:p>
    <w:p w:rsidR="006223EC" w:rsidRPr="006223EC" w:rsidRDefault="006223EC" w:rsidP="006223EC">
      <w:pPr>
        <w:pStyle w:val="BodyText"/>
        <w:ind w:left="0" w:right="134"/>
        <w:rPr>
          <w:bCs/>
        </w:rPr>
      </w:pPr>
      <w:r w:rsidRPr="006223EC">
        <w:rPr>
          <w:bCs/>
        </w:rPr>
        <w:t xml:space="preserve">The PHA will include in annual income </w:t>
      </w:r>
      <w:bookmarkStart w:id="17" w:name="_Hlk147395595"/>
      <w:r w:rsidRPr="006223EC">
        <w:rPr>
          <w:bCs/>
        </w:rPr>
        <w:t xml:space="preserve">lump </w:t>
      </w:r>
      <w:bookmarkEnd w:id="17"/>
      <w:r w:rsidRPr="006223EC">
        <w:rPr>
          <w:bCs/>
        </w:rPr>
        <w:t>sums received as a result of delays in processing periodic payments (other than those specifically excluded by the regulation), such as unemployment or welfare assistance.</w:t>
      </w:r>
    </w:p>
    <w:p w:rsidR="006223EC" w:rsidRPr="006223EC" w:rsidRDefault="006223EC" w:rsidP="006223EC">
      <w:pPr>
        <w:pStyle w:val="BodyText"/>
        <w:ind w:left="0" w:right="134"/>
        <w:rPr>
          <w:bCs/>
        </w:rPr>
      </w:pPr>
      <w:r w:rsidRPr="006223EC">
        <w:rPr>
          <w:bCs/>
        </w:rPr>
        <w:t>When a delayed-start payment is received that is to be included and the family reports during the period in which the PHA is processing an annual reexamination, the PHA will adjust the family’s rent retroactively for the period the payment was intended to cover. The family may pay in full any amount due or request to enter into a repayment agreement with the PHA.</w:t>
      </w:r>
    </w:p>
    <w:p w:rsidR="006223EC" w:rsidRDefault="006223EC" w:rsidP="006223EC">
      <w:pPr>
        <w:pStyle w:val="BodyText"/>
        <w:ind w:left="0" w:right="134"/>
        <w:rPr>
          <w:bCs/>
        </w:rPr>
      </w:pPr>
      <w:r w:rsidRPr="006223EC">
        <w:rPr>
          <w:bCs/>
        </w:rPr>
        <w:t>If the delayed-start payment is received outside of the time the PHA is processing an annual reexamination, then the PHA will consider whether the amount meets the threshold to conduct an interim reexamination. If so, the PHA will conduct an interim in accordance with PHA policies in Chapter 11. If not, the PHA will consider the amount when processing the family’s next annual recertification.</w:t>
      </w:r>
    </w:p>
    <w:p w:rsidR="00526F67" w:rsidRDefault="00526F67" w:rsidP="00526F67">
      <w:pPr>
        <w:pStyle w:val="Heading4"/>
        <w:spacing w:before="120"/>
      </w:pPr>
      <w:bookmarkStart w:id="18" w:name="_Hlk135044562"/>
      <w:r>
        <w:t xml:space="preserve">Periodic Payments </w:t>
      </w:r>
      <w:r>
        <w:rPr>
          <w:u w:val="thick"/>
        </w:rPr>
        <w:t xml:space="preserve">Excluded </w:t>
      </w:r>
      <w:r>
        <w:t>from Annual Income</w:t>
      </w:r>
    </w:p>
    <w:p w:rsidR="00526F67" w:rsidRDefault="00526F67" w:rsidP="00526F67">
      <w:pPr>
        <w:pStyle w:val="ListParagraph"/>
        <w:numPr>
          <w:ilvl w:val="0"/>
          <w:numId w:val="93"/>
        </w:numPr>
        <w:tabs>
          <w:tab w:val="left" w:pos="460"/>
          <w:tab w:val="left" w:pos="461"/>
        </w:tabs>
        <w:spacing w:before="120"/>
        <w:ind w:right="812"/>
        <w:rPr>
          <w:rFonts w:ascii="Symbol"/>
          <w:sz w:val="24"/>
        </w:rPr>
      </w:pPr>
      <w:r>
        <w:rPr>
          <w:sz w:val="24"/>
        </w:rPr>
        <w:t xml:space="preserve">Payments received for the </w:t>
      </w:r>
      <w:r>
        <w:rPr>
          <w:sz w:val="24"/>
          <w:u w:val="single"/>
        </w:rPr>
        <w:t xml:space="preserve">care of foster children or foster adults </w:t>
      </w:r>
      <w:r>
        <w:rPr>
          <w:sz w:val="24"/>
        </w:rPr>
        <w:t>(usually persons with disabilities, unrelated to the assisted family, who are unable to live alone) [24 CFR 5.609(c)(2)]. Kinship guardianship assistance payments (Kin-GAP) and other similar guardianship payments are treated the same as foster care payments and are likewise excluded from annual income [Notice PIH</w:t>
      </w:r>
      <w:r>
        <w:rPr>
          <w:spacing w:val="-6"/>
          <w:sz w:val="24"/>
        </w:rPr>
        <w:t xml:space="preserve"> </w:t>
      </w:r>
      <w:r>
        <w:rPr>
          <w:sz w:val="24"/>
        </w:rPr>
        <w:t>2012-1].</w:t>
      </w:r>
    </w:p>
    <w:p w:rsidR="00526F67" w:rsidRDefault="00526F67" w:rsidP="00526F67">
      <w:pPr>
        <w:pStyle w:val="BodyText"/>
        <w:spacing w:before="120"/>
        <w:ind w:left="820"/>
      </w:pPr>
      <w:r>
        <w:rPr>
          <w:u w:val="single"/>
        </w:rPr>
        <w:t>PHA Policy</w:t>
      </w:r>
    </w:p>
    <w:p w:rsidR="00526F67" w:rsidRDefault="00526F67" w:rsidP="00526F67">
      <w:pPr>
        <w:pStyle w:val="BodyText"/>
        <w:spacing w:before="120"/>
        <w:ind w:left="820" w:right="402"/>
        <w:jc w:val="both"/>
      </w:pPr>
      <w:r>
        <w:t>The PHA will exclude payments for the care of foster children and foster adults only if the care is provided through an official arrangement with a local welfare agency [HCV GB, p. 5-18].</w:t>
      </w:r>
    </w:p>
    <w:p w:rsidR="00526F67" w:rsidRDefault="00526F67" w:rsidP="00526F67">
      <w:pPr>
        <w:pStyle w:val="ListParagraph"/>
        <w:numPr>
          <w:ilvl w:val="0"/>
          <w:numId w:val="93"/>
        </w:numPr>
        <w:tabs>
          <w:tab w:val="left" w:pos="460"/>
          <w:tab w:val="left" w:pos="461"/>
        </w:tabs>
        <w:ind w:right="408"/>
        <w:rPr>
          <w:rFonts w:ascii="Symbol"/>
          <w:sz w:val="24"/>
        </w:rPr>
      </w:pPr>
      <w:r>
        <w:rPr>
          <w:sz w:val="24"/>
        </w:rPr>
        <w:t xml:space="preserve">Amounts paid by a state agency to a family with a </w:t>
      </w:r>
      <w:r>
        <w:rPr>
          <w:sz w:val="24"/>
          <w:u w:val="single"/>
        </w:rPr>
        <w:t xml:space="preserve">member who has a developmental disability and is living at home </w:t>
      </w:r>
      <w:r>
        <w:rPr>
          <w:sz w:val="24"/>
        </w:rPr>
        <w:t>to offset the cost of services and equipment needed to</w:t>
      </w:r>
      <w:r>
        <w:rPr>
          <w:spacing w:val="-12"/>
          <w:sz w:val="24"/>
        </w:rPr>
        <w:t xml:space="preserve"> </w:t>
      </w:r>
      <w:r>
        <w:rPr>
          <w:sz w:val="24"/>
        </w:rPr>
        <w:t>keep the developmentally disabled family member at home [24 CFR</w:t>
      </w:r>
      <w:r>
        <w:rPr>
          <w:spacing w:val="-11"/>
          <w:sz w:val="24"/>
        </w:rPr>
        <w:t xml:space="preserve"> </w:t>
      </w:r>
      <w:r>
        <w:rPr>
          <w:sz w:val="24"/>
        </w:rPr>
        <w:t>5.609(c)(16)].</w:t>
      </w:r>
    </w:p>
    <w:p w:rsidR="00526F67" w:rsidRDefault="00526F67" w:rsidP="00526F67">
      <w:pPr>
        <w:pStyle w:val="ListParagraph"/>
        <w:numPr>
          <w:ilvl w:val="0"/>
          <w:numId w:val="93"/>
        </w:numPr>
        <w:tabs>
          <w:tab w:val="left" w:pos="460"/>
          <w:tab w:val="left" w:pos="461"/>
        </w:tabs>
        <w:ind w:right="624"/>
        <w:rPr>
          <w:rFonts w:ascii="Symbol"/>
          <w:sz w:val="24"/>
        </w:rPr>
      </w:pPr>
      <w:r>
        <w:rPr>
          <w:sz w:val="24"/>
        </w:rPr>
        <w:t xml:space="preserve">Amounts received under the </w:t>
      </w:r>
      <w:r>
        <w:rPr>
          <w:sz w:val="24"/>
          <w:u w:val="single"/>
        </w:rPr>
        <w:t xml:space="preserve">Low-Income Home Energy Assistance Program </w:t>
      </w:r>
      <w:r>
        <w:rPr>
          <w:sz w:val="24"/>
        </w:rPr>
        <w:t>(42 U.S.C. 1626(c)) [24 CFR</w:t>
      </w:r>
      <w:r>
        <w:rPr>
          <w:spacing w:val="-7"/>
          <w:sz w:val="24"/>
        </w:rPr>
        <w:t xml:space="preserve"> </w:t>
      </w:r>
      <w:r>
        <w:rPr>
          <w:sz w:val="24"/>
        </w:rPr>
        <w:t>5.609(c)(17)].</w:t>
      </w:r>
    </w:p>
    <w:p w:rsidR="00526F67" w:rsidRDefault="00526F67" w:rsidP="00526F67">
      <w:pPr>
        <w:pStyle w:val="ListParagraph"/>
        <w:numPr>
          <w:ilvl w:val="0"/>
          <w:numId w:val="93"/>
        </w:numPr>
        <w:tabs>
          <w:tab w:val="left" w:pos="460"/>
          <w:tab w:val="left" w:pos="461"/>
        </w:tabs>
        <w:ind w:right="692"/>
        <w:rPr>
          <w:rFonts w:ascii="Symbol"/>
          <w:sz w:val="24"/>
        </w:rPr>
      </w:pPr>
      <w:r>
        <w:rPr>
          <w:sz w:val="24"/>
        </w:rPr>
        <w:t xml:space="preserve">Amounts received under the </w:t>
      </w:r>
      <w:r>
        <w:rPr>
          <w:sz w:val="24"/>
          <w:u w:val="single"/>
        </w:rPr>
        <w:t xml:space="preserve">Child Care and Development Block Grant Act of 1990 </w:t>
      </w:r>
      <w:r>
        <w:rPr>
          <w:sz w:val="24"/>
        </w:rPr>
        <w:t>(42 U.S.C. 9858q) [24 CFR</w:t>
      </w:r>
      <w:r>
        <w:rPr>
          <w:spacing w:val="-7"/>
          <w:sz w:val="24"/>
        </w:rPr>
        <w:t xml:space="preserve"> </w:t>
      </w:r>
      <w:r>
        <w:rPr>
          <w:sz w:val="24"/>
        </w:rPr>
        <w:t>5.609(c)(17)].</w:t>
      </w:r>
    </w:p>
    <w:p w:rsidR="00526F67" w:rsidRDefault="00526F67" w:rsidP="00526F67">
      <w:pPr>
        <w:pStyle w:val="ListParagraph"/>
        <w:numPr>
          <w:ilvl w:val="0"/>
          <w:numId w:val="93"/>
        </w:numPr>
        <w:tabs>
          <w:tab w:val="left" w:pos="461"/>
        </w:tabs>
        <w:ind w:right="134"/>
        <w:jc w:val="both"/>
        <w:rPr>
          <w:rFonts w:ascii="Symbol"/>
          <w:sz w:val="24"/>
        </w:rPr>
      </w:pPr>
      <w:r>
        <w:rPr>
          <w:sz w:val="24"/>
          <w:u w:val="single"/>
        </w:rPr>
        <w:lastRenderedPageBreak/>
        <w:t xml:space="preserve">Earned Income Tax Credit (EITC) </w:t>
      </w:r>
      <w:r>
        <w:rPr>
          <w:sz w:val="24"/>
        </w:rPr>
        <w:t>refund payments (26 U.S.C. 32(j)) [24 CFR</w:t>
      </w:r>
      <w:r>
        <w:rPr>
          <w:spacing w:val="-15"/>
          <w:sz w:val="24"/>
        </w:rPr>
        <w:t xml:space="preserve"> </w:t>
      </w:r>
      <w:r>
        <w:rPr>
          <w:sz w:val="24"/>
        </w:rPr>
        <w:t xml:space="preserve">5.609(c)(17)]. </w:t>
      </w:r>
      <w:r>
        <w:rPr>
          <w:i/>
          <w:sz w:val="24"/>
        </w:rPr>
        <w:t xml:space="preserve">Note: </w:t>
      </w:r>
      <w:r>
        <w:rPr>
          <w:sz w:val="24"/>
        </w:rPr>
        <w:t>EITC may be paid periodically if the family elects to receive the amount due as part of payroll payments from an</w:t>
      </w:r>
      <w:r>
        <w:rPr>
          <w:spacing w:val="-11"/>
          <w:sz w:val="24"/>
        </w:rPr>
        <w:t xml:space="preserve"> </w:t>
      </w:r>
      <w:r>
        <w:rPr>
          <w:sz w:val="24"/>
        </w:rPr>
        <w:t>employer.</w:t>
      </w:r>
    </w:p>
    <w:p w:rsidR="00526F67" w:rsidRDefault="00526F67" w:rsidP="00526F67">
      <w:pPr>
        <w:jc w:val="both"/>
        <w:rPr>
          <w:rFonts w:ascii="Symbol"/>
          <w:sz w:val="24"/>
        </w:rPr>
        <w:sectPr w:rsidR="00526F67">
          <w:pgSz w:w="12240" w:h="15840"/>
          <w:pgMar w:top="1360" w:right="1340" w:bottom="640" w:left="1340" w:header="0" w:footer="441" w:gutter="0"/>
          <w:cols w:space="720"/>
        </w:sectPr>
      </w:pPr>
    </w:p>
    <w:p w:rsidR="00526F67" w:rsidRDefault="00526F67" w:rsidP="00526F67">
      <w:pPr>
        <w:pStyle w:val="ListParagraph"/>
        <w:numPr>
          <w:ilvl w:val="0"/>
          <w:numId w:val="93"/>
        </w:numPr>
        <w:tabs>
          <w:tab w:val="left" w:pos="460"/>
          <w:tab w:val="left" w:pos="461"/>
        </w:tabs>
        <w:spacing w:before="79"/>
        <w:ind w:right="441"/>
        <w:rPr>
          <w:rFonts w:ascii="Symbol"/>
          <w:sz w:val="24"/>
        </w:rPr>
      </w:pPr>
      <w:r>
        <w:rPr>
          <w:sz w:val="24"/>
        </w:rPr>
        <w:lastRenderedPageBreak/>
        <w:t xml:space="preserve">Lump-sums received as a result of </w:t>
      </w:r>
      <w:r>
        <w:rPr>
          <w:sz w:val="24"/>
          <w:u w:val="single"/>
        </w:rPr>
        <w:t>delays in processing Social Security and SSI</w:t>
      </w:r>
      <w:r>
        <w:rPr>
          <w:spacing w:val="-15"/>
          <w:sz w:val="24"/>
          <w:u w:val="single"/>
        </w:rPr>
        <w:t xml:space="preserve"> </w:t>
      </w:r>
      <w:r>
        <w:rPr>
          <w:sz w:val="24"/>
          <w:u w:val="single"/>
        </w:rPr>
        <w:t xml:space="preserve">payments </w:t>
      </w:r>
      <w:r>
        <w:rPr>
          <w:sz w:val="24"/>
        </w:rPr>
        <w:t>(see section 6-I.H.) [24 CFR</w:t>
      </w:r>
      <w:r>
        <w:rPr>
          <w:spacing w:val="-12"/>
          <w:sz w:val="24"/>
        </w:rPr>
        <w:t xml:space="preserve"> </w:t>
      </w:r>
      <w:r>
        <w:rPr>
          <w:sz w:val="24"/>
        </w:rPr>
        <w:t>5.609(c)(14)].</w:t>
      </w:r>
    </w:p>
    <w:p w:rsidR="00526F67" w:rsidRDefault="00526F67" w:rsidP="00526F67">
      <w:pPr>
        <w:pStyle w:val="ListParagraph"/>
        <w:numPr>
          <w:ilvl w:val="0"/>
          <w:numId w:val="93"/>
        </w:numPr>
        <w:tabs>
          <w:tab w:val="left" w:pos="460"/>
          <w:tab w:val="left" w:pos="461"/>
        </w:tabs>
        <w:ind w:right="107"/>
        <w:rPr>
          <w:rFonts w:ascii="Symbol"/>
          <w:sz w:val="24"/>
        </w:rPr>
      </w:pPr>
      <w:r>
        <w:rPr>
          <w:sz w:val="24"/>
        </w:rPr>
        <w:t xml:space="preserve">Lump-sums or prospective monthly amounts received as deferred </w:t>
      </w:r>
      <w:r>
        <w:rPr>
          <w:sz w:val="24"/>
          <w:u w:val="single"/>
        </w:rPr>
        <w:t xml:space="preserve">disability benefits from the Department of Veterans Affairs (VA) </w:t>
      </w:r>
      <w:r>
        <w:rPr>
          <w:sz w:val="24"/>
        </w:rPr>
        <w:t>[24 CFR</w:t>
      </w:r>
      <w:r>
        <w:rPr>
          <w:spacing w:val="-9"/>
          <w:sz w:val="24"/>
        </w:rPr>
        <w:t xml:space="preserve"> </w:t>
      </w:r>
      <w:r>
        <w:rPr>
          <w:sz w:val="24"/>
        </w:rPr>
        <w:t>5.609(c)(14)].</w:t>
      </w:r>
    </w:p>
    <w:p w:rsidR="006223EC" w:rsidRDefault="006223EC" w:rsidP="006223EC">
      <w:pPr>
        <w:pStyle w:val="BodyText"/>
        <w:ind w:right="134"/>
        <w:rPr>
          <w:b/>
          <w:bCs/>
        </w:rPr>
      </w:pPr>
    </w:p>
    <w:p w:rsidR="006223EC" w:rsidRPr="006223EC" w:rsidRDefault="006223EC" w:rsidP="006223EC">
      <w:pPr>
        <w:pStyle w:val="BodyText"/>
        <w:ind w:right="134"/>
        <w:rPr>
          <w:b/>
          <w:bCs/>
        </w:rPr>
      </w:pPr>
      <w:r w:rsidRPr="006223EC">
        <w:rPr>
          <w:b/>
          <w:bCs/>
        </w:rPr>
        <w:t>Retirement Accounts [24 CFR 5.609(b)(26); Notice PIH 2023-27]</w:t>
      </w:r>
    </w:p>
    <w:bookmarkEnd w:id="18"/>
    <w:p w:rsidR="00757038" w:rsidRDefault="00757038" w:rsidP="00757038">
      <w:pPr>
        <w:pStyle w:val="BodyText"/>
        <w:ind w:left="820"/>
      </w:pPr>
      <w:r>
        <w:rPr>
          <w:u w:val="single"/>
        </w:rPr>
        <w:t>PHA Policy</w:t>
      </w:r>
    </w:p>
    <w:p w:rsidR="00757038" w:rsidRDefault="00757038" w:rsidP="00757038">
      <w:pPr>
        <w:pStyle w:val="BodyText"/>
        <w:ind w:left="820" w:right="489"/>
      </w:pPr>
      <w:r>
        <w:t>The PHA will accept written third-party documents supplied by the family as evidence of the status of retirement accounts.</w:t>
      </w:r>
    </w:p>
    <w:p w:rsidR="00757038" w:rsidRDefault="00757038" w:rsidP="00757038">
      <w:pPr>
        <w:pStyle w:val="BodyText"/>
        <w:ind w:left="820"/>
      </w:pPr>
      <w:r>
        <w:t>The type of original document that will be accepted depends upon the family member’s retirement status.</w:t>
      </w:r>
    </w:p>
    <w:p w:rsidR="00757038" w:rsidRDefault="00757038" w:rsidP="00757038">
      <w:pPr>
        <w:pStyle w:val="BodyText"/>
        <w:ind w:left="1540" w:right="235"/>
      </w:pPr>
      <w:r>
        <w:rPr>
          <w:i/>
        </w:rPr>
        <w:t xml:space="preserve">Before </w:t>
      </w:r>
      <w:r>
        <w:t>retirement, the PHA will accept an original document from the entity holding the account with a date that shows it is the most recently scheduled statement for the account but in no case earlier than 6 months from the effective date of the examination.</w:t>
      </w:r>
    </w:p>
    <w:p w:rsidR="00757038" w:rsidRDefault="00757038" w:rsidP="00757038">
      <w:pPr>
        <w:pStyle w:val="BodyText"/>
        <w:ind w:left="1540" w:right="342"/>
      </w:pPr>
      <w:r>
        <w:rPr>
          <w:i/>
        </w:rPr>
        <w:t xml:space="preserve">Upon </w:t>
      </w:r>
      <w:r>
        <w:t>retirement, the PHA will accept an original document from the entity holding the account that reflects any distributions of the account balance, any lump sums taken and any regular payments.</w:t>
      </w:r>
    </w:p>
    <w:p w:rsidR="00757038" w:rsidRDefault="00757038" w:rsidP="00757038">
      <w:pPr>
        <w:pStyle w:val="BodyText"/>
        <w:ind w:left="1540" w:right="399"/>
        <w:jc w:val="both"/>
      </w:pPr>
      <w:r>
        <w:rPr>
          <w:i/>
        </w:rPr>
        <w:t xml:space="preserve">After </w:t>
      </w:r>
      <w:r>
        <w:t>retirement, the PHA will accept an original document from the entity holding the account dated no earlier than 12 months before that reflects any distributions of the account balance, any lump sums taken and any regular payments.</w:t>
      </w:r>
    </w:p>
    <w:p w:rsidR="006223EC" w:rsidRPr="006223EC" w:rsidRDefault="006223EC" w:rsidP="006223EC">
      <w:pPr>
        <w:pStyle w:val="BodyText"/>
        <w:ind w:right="134"/>
        <w:rPr>
          <w:bCs/>
        </w:rPr>
      </w:pPr>
    </w:p>
    <w:p w:rsidR="006223EC" w:rsidRPr="006223EC" w:rsidRDefault="006223EC" w:rsidP="006223EC">
      <w:pPr>
        <w:pStyle w:val="BodyText"/>
        <w:ind w:right="134"/>
        <w:rPr>
          <w:b/>
          <w:bCs/>
        </w:rPr>
      </w:pPr>
      <w:r w:rsidRPr="006223EC">
        <w:rPr>
          <w:b/>
          <w:bCs/>
        </w:rPr>
        <w:t>Social Security Benefits [Notice PIH 2018-24]</w:t>
      </w:r>
    </w:p>
    <w:p w:rsidR="006223EC" w:rsidRPr="006223EC" w:rsidRDefault="006223EC" w:rsidP="006223EC">
      <w:pPr>
        <w:pStyle w:val="BodyText"/>
        <w:ind w:right="134"/>
        <w:rPr>
          <w:bCs/>
        </w:rPr>
      </w:pPr>
      <w:r w:rsidRPr="006223EC">
        <w:rPr>
          <w:bCs/>
        </w:rPr>
        <w:t xml:space="preserve">The regulations do not address overpayments by the Social Security Administration. </w:t>
      </w:r>
    </w:p>
    <w:p w:rsidR="006223EC" w:rsidRPr="00067449" w:rsidRDefault="006223EC" w:rsidP="006223EC">
      <w:pPr>
        <w:pStyle w:val="BodyText"/>
        <w:ind w:left="0" w:right="134" w:firstLine="720"/>
        <w:rPr>
          <w:b/>
          <w:bCs/>
          <w:u w:val="single"/>
        </w:rPr>
      </w:pPr>
      <w:r w:rsidRPr="00067449">
        <w:rPr>
          <w:b/>
          <w:bCs/>
          <w:u w:val="single"/>
        </w:rPr>
        <w:t>PHA Policy</w:t>
      </w:r>
    </w:p>
    <w:p w:rsidR="006223EC" w:rsidRDefault="006223EC" w:rsidP="006223EC">
      <w:pPr>
        <w:pStyle w:val="BodyText"/>
        <w:ind w:right="134"/>
        <w:rPr>
          <w:bCs/>
        </w:rPr>
      </w:pPr>
      <w:r w:rsidRPr="006223EC">
        <w:rPr>
          <w:bCs/>
        </w:rPr>
        <w:t xml:space="preserve">Annual income includes “all amounts received,” not the amount that a family may be legally entitled to receive but which they do not receive. When the SSA overpays an individual, resulting in a withholding or deduction from their benefit amount until the overpayment is paid in full, the PHA will use the reduced benefit amount after deducting only the amount of the overpayment withholding from the gross benefit amount. </w:t>
      </w:r>
    </w:p>
    <w:p w:rsidR="0063306B" w:rsidRDefault="0063306B" w:rsidP="0063306B">
      <w:pPr>
        <w:pStyle w:val="Heading4"/>
        <w:spacing w:before="120"/>
      </w:pPr>
      <w:r>
        <w:t>Treatment of Overpayment Deductions from Social Security Benefits</w:t>
      </w:r>
    </w:p>
    <w:p w:rsidR="0063306B" w:rsidRDefault="0063306B" w:rsidP="0063306B">
      <w:pPr>
        <w:pStyle w:val="BodyText"/>
        <w:spacing w:before="120"/>
        <w:ind w:right="121"/>
      </w:pPr>
      <w:r>
        <w:t>The PHA must make a special calculation of annual income when the Social Security Administration (SSA) overpays an individual, resulting in a withholding or deduction from their benefit amount until the overpayment is paid in full. The amount and duration of the withholding will vary depending on the amount of the overpayment and the percent of the benefit rate withheld. Regardless of the amount withheld or the length of the withholding period, the PHA must use the reduced benefit amount after deducting only the amount of the overpayment withholding from the gross benefit amount [Notice PIH 2018-24].</w:t>
      </w:r>
    </w:p>
    <w:p w:rsidR="0063306B" w:rsidRDefault="0063306B" w:rsidP="006223EC">
      <w:pPr>
        <w:pStyle w:val="BodyText"/>
        <w:ind w:right="134"/>
        <w:rPr>
          <w:bCs/>
        </w:rPr>
      </w:pPr>
    </w:p>
    <w:p w:rsidR="00F90E34" w:rsidRPr="006223EC" w:rsidRDefault="00F90E34" w:rsidP="006223EC">
      <w:pPr>
        <w:pStyle w:val="BodyText"/>
        <w:ind w:right="134"/>
        <w:rPr>
          <w:bCs/>
        </w:rPr>
      </w:pPr>
    </w:p>
    <w:p w:rsidR="006223EC" w:rsidRPr="006223EC" w:rsidRDefault="006223EC" w:rsidP="006223EC">
      <w:pPr>
        <w:pStyle w:val="BodyText"/>
        <w:ind w:right="134"/>
        <w:rPr>
          <w:b/>
          <w:bCs/>
        </w:rPr>
      </w:pPr>
      <w:r w:rsidRPr="006223EC">
        <w:rPr>
          <w:b/>
          <w:bCs/>
        </w:rPr>
        <w:lastRenderedPageBreak/>
        <w:t>Alimony and Child Support</w:t>
      </w:r>
    </w:p>
    <w:p w:rsidR="006223EC" w:rsidRPr="006223EC" w:rsidRDefault="006223EC" w:rsidP="006223EC">
      <w:pPr>
        <w:pStyle w:val="BodyText"/>
        <w:ind w:right="134"/>
        <w:rPr>
          <w:bCs/>
        </w:rPr>
      </w:pPr>
      <w:r w:rsidRPr="006223EC">
        <w:rPr>
          <w:bCs/>
        </w:rPr>
        <w:t>Annual income includes “all amounts received,” not the amount that a family may be legally entitled to receive but which they do not receive [Notice PIH 2023-27].</w:t>
      </w:r>
    </w:p>
    <w:p w:rsidR="006223EC" w:rsidRPr="00067449" w:rsidRDefault="006223EC" w:rsidP="006223EC">
      <w:pPr>
        <w:pStyle w:val="BodyText"/>
        <w:ind w:right="134" w:firstLine="620"/>
        <w:rPr>
          <w:b/>
          <w:bCs/>
          <w:u w:val="single"/>
        </w:rPr>
      </w:pPr>
      <w:r w:rsidRPr="00067449">
        <w:rPr>
          <w:b/>
          <w:bCs/>
          <w:u w:val="single"/>
        </w:rPr>
        <w:t>PHA Policy</w:t>
      </w:r>
    </w:p>
    <w:p w:rsidR="006223EC" w:rsidRPr="006223EC" w:rsidRDefault="006223EC" w:rsidP="006223EC">
      <w:pPr>
        <w:pStyle w:val="BodyText"/>
        <w:ind w:right="134"/>
        <w:rPr>
          <w:bCs/>
        </w:rPr>
      </w:pPr>
      <w:bookmarkStart w:id="19" w:name="_Hlk134786398"/>
      <w:r w:rsidRPr="006223EC">
        <w:rPr>
          <w:bCs/>
        </w:rPr>
        <w:t>The PHA will count all regular payments of alimony or child support awarded as part of a divorce or separation agreement.</w:t>
      </w:r>
    </w:p>
    <w:p w:rsidR="006223EC" w:rsidRPr="006223EC" w:rsidRDefault="006223EC" w:rsidP="006223EC">
      <w:pPr>
        <w:pStyle w:val="BodyText"/>
        <w:ind w:right="134"/>
        <w:rPr>
          <w:bCs/>
        </w:rPr>
      </w:pPr>
      <w:r w:rsidRPr="006223EC">
        <w:rPr>
          <w:bCs/>
        </w:rPr>
        <w:t>The PHA will count court-awarded amounts for alimony and child support unless the family certifies and the PHA verifies that the payments are not being made.</w:t>
      </w:r>
    </w:p>
    <w:p w:rsidR="006223EC" w:rsidRPr="006223EC" w:rsidRDefault="006223EC" w:rsidP="006223EC">
      <w:pPr>
        <w:pStyle w:val="BodyText"/>
        <w:ind w:right="134"/>
        <w:rPr>
          <w:bCs/>
        </w:rPr>
      </w:pPr>
      <w:r w:rsidRPr="006223EC">
        <w:rPr>
          <w:bCs/>
        </w:rPr>
        <w:t>In order to verify that payments are not being made, the PHA will review child support payments over the last three months.</w:t>
      </w:r>
    </w:p>
    <w:p w:rsidR="006223EC" w:rsidRPr="006223EC" w:rsidRDefault="006223EC" w:rsidP="006223EC">
      <w:pPr>
        <w:pStyle w:val="BodyText"/>
        <w:ind w:left="1440" w:right="134"/>
        <w:rPr>
          <w:bCs/>
        </w:rPr>
      </w:pPr>
      <w:r w:rsidRPr="006223EC">
        <w:rPr>
          <w:bCs/>
        </w:rPr>
        <w:t>If payments are being made regularly, the PHA will use the amount received during the last 12 months (excluding any lump sums received). If payments have been made for a period less than 12 months, the PHA will average all payments that have been made.</w:t>
      </w:r>
    </w:p>
    <w:p w:rsidR="006223EC" w:rsidRPr="006223EC" w:rsidRDefault="006223EC" w:rsidP="006223EC">
      <w:pPr>
        <w:pStyle w:val="BodyText"/>
        <w:ind w:left="1440" w:right="134"/>
        <w:rPr>
          <w:bCs/>
        </w:rPr>
      </w:pPr>
      <w:bookmarkStart w:id="20" w:name="_Hlk144818011"/>
      <w:r w:rsidRPr="006223EC">
        <w:rPr>
          <w:bCs/>
        </w:rPr>
        <w:t>At new admission or interim recertification, if any lump sum payments were made in the past 12 months, the PHA will determine the likelihood of the family receiving another similar payment(s) within the next 12 months before deciding whether or not this amount will be included in the calculation of annual income.</w:t>
      </w:r>
    </w:p>
    <w:p w:rsidR="006223EC" w:rsidRPr="006223EC" w:rsidRDefault="006223EC" w:rsidP="006223EC">
      <w:pPr>
        <w:pStyle w:val="BodyText"/>
        <w:ind w:left="2160" w:right="134"/>
        <w:rPr>
          <w:bCs/>
        </w:rPr>
      </w:pPr>
      <w:bookmarkStart w:id="21" w:name="_Hlk144818046"/>
      <w:bookmarkEnd w:id="20"/>
      <w:r w:rsidRPr="006223EC">
        <w:rPr>
          <w:bCs/>
        </w:rPr>
        <w:t>If the PHA determines and can appropriately verify that the family in all likelihood will not receive a similar payment, then the amount will not be considered when projecting annual income.</w:t>
      </w:r>
    </w:p>
    <w:p w:rsidR="006223EC" w:rsidRPr="006223EC" w:rsidRDefault="006223EC" w:rsidP="006223EC">
      <w:pPr>
        <w:pStyle w:val="BodyText"/>
        <w:ind w:left="2160" w:right="134"/>
        <w:rPr>
          <w:bCs/>
        </w:rPr>
      </w:pPr>
      <w:r w:rsidRPr="006223EC">
        <w:rPr>
          <w:bCs/>
        </w:rPr>
        <w:t>If the PHA determines that it is likely that the family will receive a similar payment and can appropriately verify it, the amount will be included when projecting annual income.</w:t>
      </w:r>
    </w:p>
    <w:bookmarkEnd w:id="21"/>
    <w:p w:rsidR="006223EC" w:rsidRDefault="006223EC" w:rsidP="006223EC">
      <w:pPr>
        <w:pStyle w:val="BodyText"/>
        <w:ind w:left="720" w:right="134"/>
        <w:rPr>
          <w:bCs/>
        </w:rPr>
      </w:pPr>
      <w:r w:rsidRPr="006223EC">
        <w:rPr>
          <w:bCs/>
        </w:rPr>
        <w:t>If no payments have been made in the past three months and there are no lump sums, the PHA will not include alimony or child support in annual income.</w:t>
      </w:r>
    </w:p>
    <w:p w:rsidR="006223EC" w:rsidRDefault="006223EC" w:rsidP="006223EC">
      <w:pPr>
        <w:pStyle w:val="BodyText"/>
        <w:ind w:right="134"/>
        <w:rPr>
          <w:bCs/>
        </w:rPr>
      </w:pPr>
    </w:p>
    <w:p w:rsidR="006223EC" w:rsidRPr="006223EC" w:rsidRDefault="006223EC" w:rsidP="006223EC">
      <w:pPr>
        <w:pStyle w:val="BodyText"/>
        <w:ind w:right="134"/>
        <w:rPr>
          <w:b/>
          <w:bCs/>
        </w:rPr>
      </w:pPr>
      <w:r w:rsidRPr="006223EC">
        <w:rPr>
          <w:b/>
          <w:bCs/>
        </w:rPr>
        <w:t>6-I.I. NONRECURRING INCOME [24 CFR 5.609(b)(24) and Notice PIH 2023-27]</w:t>
      </w:r>
    </w:p>
    <w:p w:rsidR="006223EC" w:rsidRDefault="006223EC" w:rsidP="006223EC">
      <w:pPr>
        <w:pStyle w:val="BodyText"/>
        <w:ind w:right="134"/>
        <w:rPr>
          <w:b/>
          <w:bCs/>
        </w:rPr>
      </w:pPr>
      <w:r w:rsidRPr="006223EC">
        <w:rPr>
          <w:bCs/>
        </w:rPr>
        <w:t xml:space="preserve">The regulations define nonrecurring income as income that will not be repeated in the coming year based on information provided by the family, is excluded from annual income. 24 CFR 5.609(b)(24) provides a list of income that is excluded as temporary, nonrecurring or sporadic. </w:t>
      </w:r>
      <w:r w:rsidRPr="006223EC">
        <w:rPr>
          <w:b/>
          <w:bCs/>
        </w:rPr>
        <w:t>No PHA policy decisions are required.</w:t>
      </w:r>
    </w:p>
    <w:p w:rsidR="00B14282" w:rsidRDefault="00B14282" w:rsidP="00B14282">
      <w:pPr>
        <w:spacing w:before="119"/>
        <w:ind w:left="100"/>
        <w:rPr>
          <w:b/>
          <w:sz w:val="24"/>
        </w:rPr>
      </w:pPr>
      <w:r>
        <w:rPr>
          <w:b/>
          <w:i/>
          <w:sz w:val="24"/>
        </w:rPr>
        <w:t xml:space="preserve">Temporary, Nonrecurring, or Sporadic Income </w:t>
      </w:r>
      <w:r>
        <w:rPr>
          <w:b/>
          <w:sz w:val="24"/>
        </w:rPr>
        <w:t>[24 CFR 5.609(c)(9)]</w:t>
      </w:r>
    </w:p>
    <w:p w:rsidR="00B14282" w:rsidRDefault="00B14282" w:rsidP="00B14282">
      <w:pPr>
        <w:pStyle w:val="BodyText"/>
        <w:ind w:right="95"/>
      </w:pPr>
      <w:r>
        <w:t>This type of income (including gifts) is not included in annual income. Sporadic income includes temporary payments from the U.S. Census Bureau for employment lasting no longer than</w:t>
      </w:r>
    </w:p>
    <w:p w:rsidR="00B14282" w:rsidRDefault="00B14282" w:rsidP="00B14282">
      <w:pPr>
        <w:pStyle w:val="BodyText"/>
        <w:spacing w:before="0"/>
      </w:pPr>
      <w:r>
        <w:t>180 days [Notice PIH 2009-19].</w:t>
      </w:r>
    </w:p>
    <w:p w:rsidR="00B14282" w:rsidRDefault="00B14282" w:rsidP="00B14282">
      <w:pPr>
        <w:pStyle w:val="BodyText"/>
        <w:spacing w:before="120"/>
        <w:ind w:left="820"/>
      </w:pPr>
      <w:r>
        <w:rPr>
          <w:u w:val="single"/>
        </w:rPr>
        <w:t>PHA Policy</w:t>
      </w:r>
    </w:p>
    <w:p w:rsidR="00B14282" w:rsidRDefault="00B14282" w:rsidP="00B14282">
      <w:pPr>
        <w:pStyle w:val="BodyText"/>
        <w:ind w:left="820" w:right="322"/>
      </w:pPr>
      <w:r>
        <w:t>Sporadic income is income that is not received periodically and cannot be reliably predicted. For example, the income of an individual who works occasionally as a handyman would be considered sporadic if future work could not be anticipated and no historic, stable pattern of income existed.</w:t>
      </w:r>
    </w:p>
    <w:p w:rsidR="00B14282" w:rsidRPr="006223EC" w:rsidRDefault="00B14282" w:rsidP="006223EC">
      <w:pPr>
        <w:pStyle w:val="BodyText"/>
        <w:ind w:right="134"/>
        <w:rPr>
          <w:bCs/>
        </w:rPr>
      </w:pPr>
    </w:p>
    <w:p w:rsidR="006223EC" w:rsidRPr="006223EC" w:rsidRDefault="006223EC" w:rsidP="006223EC">
      <w:pPr>
        <w:pStyle w:val="BodyText"/>
        <w:ind w:right="134"/>
        <w:rPr>
          <w:b/>
          <w:bCs/>
        </w:rPr>
      </w:pPr>
      <w:r w:rsidRPr="006223EC">
        <w:rPr>
          <w:b/>
          <w:bCs/>
        </w:rPr>
        <w:lastRenderedPageBreak/>
        <w:t>6-I.J. WELFARE ASSISTANCE</w:t>
      </w:r>
    </w:p>
    <w:p w:rsidR="00E04DEF" w:rsidRDefault="00E04DEF" w:rsidP="00E04DEF">
      <w:pPr>
        <w:pStyle w:val="BodyText"/>
        <w:spacing w:before="9"/>
        <w:ind w:left="0"/>
        <w:rPr>
          <w:sz w:val="20"/>
        </w:rPr>
      </w:pPr>
    </w:p>
    <w:p w:rsidR="00E04DEF" w:rsidRDefault="00E04DEF" w:rsidP="00E04DEF">
      <w:pPr>
        <w:pStyle w:val="Heading4"/>
      </w:pPr>
      <w:r>
        <w:t>6-I.J. WELFARE ASSISTANCE</w:t>
      </w:r>
    </w:p>
    <w:p w:rsidR="00E04DEF" w:rsidRDefault="00E04DEF" w:rsidP="00E04DEF">
      <w:pPr>
        <w:spacing w:before="119"/>
        <w:ind w:left="100"/>
        <w:rPr>
          <w:b/>
          <w:sz w:val="24"/>
        </w:rPr>
      </w:pPr>
      <w:r>
        <w:rPr>
          <w:b/>
          <w:sz w:val="24"/>
        </w:rPr>
        <w:t>Overview</w:t>
      </w:r>
    </w:p>
    <w:p w:rsidR="00E04DEF" w:rsidRDefault="00E04DEF" w:rsidP="00E04DEF">
      <w:pPr>
        <w:pStyle w:val="BodyText"/>
        <w:ind w:right="448"/>
      </w:pPr>
      <w:r>
        <w:t>Welfare assistance is counted in annual income. Welfare assistance includes Temporary Assistance for Needy Families (TANF) and any payments to individuals or families based on need that are made under programs funded separately or jointly by federal, state, or local governments [24 CFR 5.603(b)].</w:t>
      </w:r>
    </w:p>
    <w:p w:rsidR="00E04DEF" w:rsidRDefault="00E04DEF" w:rsidP="00E04DEF">
      <w:pPr>
        <w:pStyle w:val="Heading4"/>
        <w:spacing w:before="119"/>
      </w:pPr>
      <w:r>
        <w:t>Sanctions Resulting in the Reduction of Welfare Benefits [24 CFR 5.615]</w:t>
      </w:r>
    </w:p>
    <w:p w:rsidR="00E04DEF" w:rsidRDefault="00E04DEF" w:rsidP="00E04DEF">
      <w:pPr>
        <w:pStyle w:val="BodyText"/>
        <w:ind w:right="215"/>
      </w:pPr>
      <w:r>
        <w:t>The PHA must make a special calculation of annual income when the welfare agency imposes certain sanctions on certain families. The full text of the regulation at 24 CFR 5.615 is provided as Exhibit 6-5. The requirements are summarized below. This rule applies only if a family was receiving HCV assistance at the time the sanction was imposed.</w:t>
      </w:r>
    </w:p>
    <w:p w:rsidR="00E04DEF" w:rsidRDefault="00E04DEF" w:rsidP="00E04DEF">
      <w:pPr>
        <w:pStyle w:val="Heading5"/>
      </w:pPr>
      <w:r>
        <w:t>Covered Families</w:t>
      </w:r>
    </w:p>
    <w:p w:rsidR="00E04DEF" w:rsidRDefault="00E04DEF" w:rsidP="00E04DEF">
      <w:pPr>
        <w:pStyle w:val="BodyText"/>
        <w:ind w:right="136"/>
      </w:pPr>
      <w:r>
        <w:t>The families covered by 24 CFR 5.615 are those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 [24 CFR 5.615(b)]</w:t>
      </w:r>
    </w:p>
    <w:p w:rsidR="00E04DEF" w:rsidRDefault="00E04DEF" w:rsidP="00E04DEF">
      <w:pPr>
        <w:pStyle w:val="Heading5"/>
      </w:pPr>
      <w:r>
        <w:t>Imputed Income</w:t>
      </w:r>
    </w:p>
    <w:p w:rsidR="00E04DEF" w:rsidRDefault="00E04DEF" w:rsidP="00E04DEF">
      <w:pPr>
        <w:pStyle w:val="BodyText"/>
        <w:ind w:right="109"/>
      </w:pPr>
      <w:r>
        <w:t>When a welfare agency imposes a sanction that reduces a family’s welfare income because the family commits fraud or fails to comply with the agency’s economic self-sufficiency program or work activities requirement, the PHA must include in annual income “imputed” welfare income. The PHA must request that the welfare agency provide the reason for the reduction of benefits and the amount of the reduction of benefits. The imputed welfare income is the amount that the benefits were reduced as a result of the sanction.</w:t>
      </w:r>
    </w:p>
    <w:p w:rsidR="00E04DEF" w:rsidRDefault="00E04DEF" w:rsidP="00E04DEF">
      <w:pPr>
        <w:pStyle w:val="BodyText"/>
        <w:ind w:right="109"/>
      </w:pPr>
      <w:r>
        <w:t>This requirement does not apply to reductions in welfare benefits: (1) at the expiration of the lifetime or other time limit on the payment of welfare benefits, (2) if a family member is unable to find employment even though the family member has complied with the welfare agency economic self-sufficiency or work activities requirements, or (3) because a family member has not complied with other welfare agency requirements [24 CFR 5.615(b)(2)].</w:t>
      </w:r>
    </w:p>
    <w:p w:rsidR="00E04DEF" w:rsidRDefault="00E04DEF" w:rsidP="00E04DEF">
      <w:pPr>
        <w:sectPr w:rsidR="00E04DEF">
          <w:pgSz w:w="12240" w:h="15840"/>
          <w:pgMar w:top="1360" w:right="1380" w:bottom="640" w:left="1340" w:header="0" w:footer="441" w:gutter="0"/>
          <w:cols w:space="720"/>
        </w:sectPr>
      </w:pPr>
    </w:p>
    <w:p w:rsidR="00E04DEF" w:rsidRDefault="00E04DEF" w:rsidP="00E04DEF">
      <w:pPr>
        <w:pStyle w:val="Heading5"/>
        <w:spacing w:before="79"/>
      </w:pPr>
      <w:r>
        <w:lastRenderedPageBreak/>
        <w:t>Offsets</w:t>
      </w:r>
    </w:p>
    <w:p w:rsidR="00E04DEF" w:rsidRDefault="00E04DEF" w:rsidP="00E04DEF">
      <w:pPr>
        <w:pStyle w:val="BodyText"/>
        <w:ind w:right="109"/>
      </w:pPr>
      <w:r>
        <w:t>The amount of the imputed welfare income is offset by the amount of additional income the family begins to receive after the sanction is imposed. When the additional income equals or exceeds the imputed welfare income, the imputed income is reduced to zero [24 CFR 5.615(c)(4)].</w:t>
      </w:r>
    </w:p>
    <w:p w:rsidR="006223EC" w:rsidRPr="006223EC" w:rsidRDefault="006223EC" w:rsidP="006223EC">
      <w:pPr>
        <w:pStyle w:val="BodyText"/>
        <w:ind w:right="134"/>
        <w:rPr>
          <w:b/>
          <w:bCs/>
        </w:rPr>
      </w:pPr>
      <w:r w:rsidRPr="006223EC">
        <w:rPr>
          <w:b/>
          <w:bCs/>
        </w:rPr>
        <w:t>6-I.K. STATE PAYMENTS TO ALLOW INDIVIDUALS WITH DISABILITIES TO LIVE AT HOME [24 CFR 5.609(b)(19)]</w:t>
      </w:r>
    </w:p>
    <w:p w:rsidR="006223EC" w:rsidRPr="006223EC" w:rsidRDefault="006223EC" w:rsidP="006223EC">
      <w:pPr>
        <w:pStyle w:val="BodyText"/>
        <w:ind w:right="134"/>
        <w:rPr>
          <w:bCs/>
        </w:rPr>
      </w:pPr>
      <w:r w:rsidRPr="006223EC">
        <w:rPr>
          <w:bCs/>
        </w:rPr>
        <w:t>No PHA policy decisions are required.</w:t>
      </w:r>
    </w:p>
    <w:p w:rsidR="006223EC" w:rsidRPr="006223EC" w:rsidRDefault="006223EC" w:rsidP="006223EC">
      <w:pPr>
        <w:pStyle w:val="BodyText"/>
        <w:ind w:right="134"/>
        <w:rPr>
          <w:b/>
          <w:bCs/>
        </w:rPr>
      </w:pPr>
      <w:r w:rsidRPr="006223EC">
        <w:rPr>
          <w:b/>
          <w:bCs/>
        </w:rPr>
        <w:t>6-I.L. CIVIL RIGHTS SETTLEMENTS [24 CFR 5.609(b)(25); FR Notice 2/14/23]</w:t>
      </w:r>
    </w:p>
    <w:p w:rsidR="006223EC" w:rsidRPr="006223EC" w:rsidRDefault="006223EC" w:rsidP="006223EC">
      <w:pPr>
        <w:pStyle w:val="BodyText"/>
        <w:ind w:right="134"/>
        <w:rPr>
          <w:bCs/>
        </w:rPr>
      </w:pPr>
      <w:r w:rsidRPr="006223EC">
        <w:rPr>
          <w:bCs/>
        </w:rPr>
        <w:t>No PHA policy decisions are required.</w:t>
      </w:r>
    </w:p>
    <w:p w:rsidR="00816541" w:rsidRDefault="00816541" w:rsidP="006223EC">
      <w:pPr>
        <w:pStyle w:val="BodyText"/>
        <w:ind w:right="134"/>
        <w:rPr>
          <w:bCs/>
        </w:rPr>
      </w:pPr>
    </w:p>
    <w:p w:rsidR="00816541" w:rsidRPr="00816541" w:rsidRDefault="00816541" w:rsidP="00816541">
      <w:pPr>
        <w:pStyle w:val="BodyText"/>
        <w:ind w:right="134"/>
        <w:rPr>
          <w:b/>
          <w:bCs/>
        </w:rPr>
      </w:pPr>
      <w:r w:rsidRPr="00816541">
        <w:rPr>
          <w:b/>
          <w:bCs/>
        </w:rPr>
        <w:t>6-I.M. ADDITIONAL EXCLUSIONS FROM ANNUAL INCOME</w:t>
      </w:r>
    </w:p>
    <w:p w:rsidR="00816541" w:rsidRPr="00816541" w:rsidRDefault="00816541" w:rsidP="00816541">
      <w:pPr>
        <w:pStyle w:val="BodyText"/>
        <w:ind w:right="134"/>
        <w:rPr>
          <w:bCs/>
        </w:rPr>
      </w:pPr>
      <w:r w:rsidRPr="00816541">
        <w:rPr>
          <w:bCs/>
        </w:rPr>
        <w:t>Other exclusions contained in 24 CFR 5.609(b) that have not been discussed earlier in this chapter are listed here.</w:t>
      </w:r>
    </w:p>
    <w:p w:rsidR="00816541" w:rsidRPr="00816541" w:rsidRDefault="00816541" w:rsidP="00816541">
      <w:pPr>
        <w:pStyle w:val="BodyText"/>
        <w:ind w:right="134"/>
        <w:rPr>
          <w:bCs/>
          <w:i/>
        </w:rPr>
      </w:pPr>
      <w:r w:rsidRPr="00816541">
        <w:rPr>
          <w:b/>
          <w:bCs/>
          <w:i/>
        </w:rPr>
        <w:t>State and Local Employment Training Programs [24 CFR 5.609(b)(12)(iv)]</w:t>
      </w:r>
    </w:p>
    <w:p w:rsidR="00816541" w:rsidRDefault="00816541" w:rsidP="00933BC6">
      <w:pPr>
        <w:pStyle w:val="BodyText"/>
        <w:ind w:right="134"/>
        <w:rPr>
          <w:bCs/>
        </w:rPr>
      </w:pPr>
      <w:r w:rsidRPr="00816541">
        <w:rPr>
          <w:bCs/>
        </w:rPr>
        <w:t>Incremental earnings and benefits to any family member resulting from participation in qualifying state or local employment training programs (including training programs not affiliated with a local government) and training of a family member as resident management staff are excluded from annual income. Amounts excluded by this provision must be received under employment training programs with clearly defined goals and objectives and are excluded only for the period during which the family member participates in the training program.</w:t>
      </w:r>
    </w:p>
    <w:p w:rsidR="00816541" w:rsidRPr="00067449" w:rsidRDefault="00816541" w:rsidP="00816541">
      <w:pPr>
        <w:pStyle w:val="BodyText"/>
        <w:ind w:right="134" w:firstLine="620"/>
        <w:rPr>
          <w:b/>
          <w:bCs/>
          <w:u w:val="single"/>
        </w:rPr>
      </w:pPr>
      <w:r w:rsidRPr="00067449">
        <w:rPr>
          <w:b/>
          <w:bCs/>
          <w:u w:val="single"/>
        </w:rPr>
        <w:t>PHA Policy</w:t>
      </w:r>
    </w:p>
    <w:p w:rsidR="00816541" w:rsidRDefault="00816541" w:rsidP="00816541">
      <w:pPr>
        <w:pStyle w:val="BodyText"/>
        <w:ind w:right="134" w:firstLine="620"/>
        <w:rPr>
          <w:bCs/>
        </w:rPr>
      </w:pPr>
    </w:p>
    <w:p w:rsidR="00816541" w:rsidRPr="00816541" w:rsidRDefault="00816541" w:rsidP="00933BC6">
      <w:pPr>
        <w:pStyle w:val="BodyText"/>
        <w:ind w:right="134"/>
        <w:rPr>
          <w:bCs/>
        </w:rPr>
      </w:pPr>
      <w:r w:rsidRPr="00816541">
        <w:rPr>
          <w:bCs/>
        </w:rPr>
        <w:t xml:space="preserve">The PHA defines </w:t>
      </w:r>
      <w:r w:rsidRPr="00816541">
        <w:rPr>
          <w:bCs/>
          <w:i/>
        </w:rPr>
        <w:t>training program</w:t>
      </w:r>
      <w:r w:rsidRPr="00816541">
        <w:rPr>
          <w:bCs/>
        </w:rPr>
        <w:t xml:space="preserve"> as “a learning process with goals and objectives, generally having a variety of components, and taking place in a series of sessions over a period of time.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w:t>
      </w:r>
    </w:p>
    <w:p w:rsidR="00816541" w:rsidRPr="00816541" w:rsidRDefault="00816541" w:rsidP="00816541">
      <w:pPr>
        <w:pStyle w:val="BodyText"/>
        <w:ind w:right="134" w:firstLine="620"/>
        <w:rPr>
          <w:bCs/>
        </w:rPr>
      </w:pPr>
      <w:r w:rsidRPr="00816541">
        <w:rPr>
          <w:bCs/>
        </w:rPr>
        <w:t xml:space="preserve">The PHA defines </w:t>
      </w:r>
      <w:r w:rsidRPr="00816541">
        <w:rPr>
          <w:bCs/>
          <w:i/>
        </w:rPr>
        <w:t>incremental earnings and benefits</w:t>
      </w:r>
      <w:r w:rsidRPr="00816541">
        <w:rPr>
          <w:bCs/>
        </w:rPr>
        <w:t xml:space="preserve"> as the difference between (1) the total amount of welfare assistance and earnings of a family member prior to enrollment in a training program and (2) the total amount of welfare assistance and earnings of the family member after enrollment in the program [expired Notice PIH 98-2, pp. 3–4].</w:t>
      </w:r>
    </w:p>
    <w:p w:rsidR="00816541" w:rsidRPr="00816541" w:rsidRDefault="00816541" w:rsidP="00816541">
      <w:pPr>
        <w:pStyle w:val="BodyText"/>
        <w:ind w:right="134" w:firstLine="620"/>
        <w:rPr>
          <w:bCs/>
        </w:rPr>
      </w:pPr>
      <w:r w:rsidRPr="00816541">
        <w:rPr>
          <w:bCs/>
        </w:rPr>
        <w:t>In calculating the incremental difference, the PHA will use as the pre-enrollment income the total annualized amount of the family member’s welfare assistance and earnings reported on the family’s most recently completed HUD-50058.</w:t>
      </w:r>
    </w:p>
    <w:p w:rsidR="00816541" w:rsidRPr="00816541" w:rsidRDefault="00816541" w:rsidP="00816541">
      <w:pPr>
        <w:pStyle w:val="BodyText"/>
        <w:ind w:right="134" w:firstLine="620"/>
        <w:rPr>
          <w:bCs/>
        </w:rPr>
      </w:pPr>
      <w:r w:rsidRPr="00816541">
        <w:rPr>
          <w:bCs/>
        </w:rPr>
        <w:t>End of participation in a training program must be reported in accordance with the PHA's interim reporting requirements.</w:t>
      </w:r>
    </w:p>
    <w:p w:rsidR="006223EC" w:rsidRDefault="006223EC" w:rsidP="00816541">
      <w:pPr>
        <w:pStyle w:val="BodyText"/>
        <w:ind w:right="134" w:firstLine="620"/>
        <w:rPr>
          <w:bCs/>
        </w:rPr>
      </w:pPr>
      <w:r w:rsidRPr="006223EC">
        <w:rPr>
          <w:bCs/>
        </w:rPr>
        <w:br w:type="page"/>
      </w:r>
    </w:p>
    <w:p w:rsidR="00F35976" w:rsidRDefault="00F35976" w:rsidP="00F35976">
      <w:pPr>
        <w:pStyle w:val="Heading4"/>
      </w:pPr>
      <w:r>
        <w:lastRenderedPageBreak/>
        <w:t>6-I.N. PAYMENTS IN LIEU OF EARNINGS</w:t>
      </w:r>
    </w:p>
    <w:p w:rsidR="00F35976" w:rsidRDefault="00F35976" w:rsidP="00F35976">
      <w:pPr>
        <w:pStyle w:val="BodyText"/>
        <w:ind w:right="140"/>
      </w:pPr>
      <w:r>
        <w:t>Payments in lieu of earnings, such as unemployment and disability compensation, worker’s compensation, and severance pay, are counted as income [24 CFR 5.609(b)(5)] if they are received either in the form of periodic payments or in the form of a lump-sum amount or prospective monthly amounts for the delayed start of a periodic payment. If they are received in a one-time lump sum (as a settlement, for instance), they are treated as lump-sum receipts [24 CFR 5.609(c)(3)]. (See also the discussion of periodic payments in section 6-I.H and the discussion of lump-sum receipts in section 6-I.G.)</w:t>
      </w:r>
    </w:p>
    <w:p w:rsidR="00F35976" w:rsidRPr="006223EC" w:rsidRDefault="00F35976" w:rsidP="00816541">
      <w:pPr>
        <w:pStyle w:val="BodyText"/>
        <w:ind w:right="134" w:firstLine="620"/>
        <w:rPr>
          <w:bCs/>
        </w:rPr>
      </w:pPr>
    </w:p>
    <w:bookmarkEnd w:id="19"/>
    <w:p w:rsidR="006223EC" w:rsidRPr="006223EC" w:rsidRDefault="006223EC" w:rsidP="006223EC">
      <w:pPr>
        <w:pStyle w:val="BodyText"/>
        <w:ind w:right="134"/>
        <w:rPr>
          <w:bCs/>
        </w:rPr>
      </w:pPr>
    </w:p>
    <w:p w:rsidR="006223EC" w:rsidRPr="006223EC" w:rsidRDefault="006223EC" w:rsidP="006223EC">
      <w:pPr>
        <w:pStyle w:val="BodyText"/>
        <w:ind w:left="0" w:right="134" w:firstLine="360"/>
        <w:rPr>
          <w:bCs/>
        </w:rPr>
      </w:pPr>
    </w:p>
    <w:p w:rsidR="005E5D3D" w:rsidRDefault="005E5D3D" w:rsidP="005E5D3D">
      <w:pPr>
        <w:pStyle w:val="BodyText"/>
        <w:ind w:left="0" w:right="134"/>
        <w:jc w:val="center"/>
        <w:rPr>
          <w:b/>
          <w:bCs/>
        </w:rPr>
      </w:pPr>
      <w:r w:rsidRPr="00B54141">
        <w:rPr>
          <w:b/>
          <w:bCs/>
        </w:rPr>
        <w:t>PART II: ASSETS</w:t>
      </w:r>
    </w:p>
    <w:p w:rsidR="005E5D3D" w:rsidRDefault="005E5D3D" w:rsidP="005E5D3D">
      <w:pPr>
        <w:pStyle w:val="BodyText"/>
        <w:ind w:left="0" w:right="134"/>
        <w:jc w:val="center"/>
        <w:rPr>
          <w:b/>
        </w:rPr>
      </w:pPr>
    </w:p>
    <w:p w:rsidR="004E13A5" w:rsidRPr="005E5D3D" w:rsidRDefault="00681463" w:rsidP="005E5D3D">
      <w:pPr>
        <w:pStyle w:val="BodyText"/>
        <w:ind w:left="0" w:right="134"/>
        <w:jc w:val="both"/>
        <w:rPr>
          <w:b/>
          <w:bCs/>
        </w:rPr>
      </w:pPr>
      <w:bookmarkStart w:id="22" w:name="_Hlk176343564"/>
      <w:r w:rsidRPr="005E5D3D">
        <w:rPr>
          <w:b/>
        </w:rPr>
        <w:t>6-I</w:t>
      </w:r>
      <w:r w:rsidR="005E5D3D">
        <w:rPr>
          <w:b/>
        </w:rPr>
        <w:t xml:space="preserve">I.A. </w:t>
      </w:r>
      <w:r w:rsidRPr="005E5D3D">
        <w:rPr>
          <w:b/>
        </w:rPr>
        <w:t xml:space="preserve"> ASSETS </w:t>
      </w:r>
      <w:bookmarkEnd w:id="22"/>
      <w:r w:rsidRPr="005E5D3D">
        <w:rPr>
          <w:b/>
        </w:rPr>
        <w:t>[24 CFR 5.609(b)(3); 24 CFR 5.603(b)]</w:t>
      </w:r>
    </w:p>
    <w:p w:rsidR="004E13A5" w:rsidRDefault="00681463">
      <w:pPr>
        <w:spacing w:before="119"/>
        <w:ind w:left="100"/>
        <w:rPr>
          <w:b/>
          <w:sz w:val="24"/>
        </w:rPr>
      </w:pPr>
      <w:r>
        <w:rPr>
          <w:b/>
          <w:sz w:val="24"/>
        </w:rPr>
        <w:t>Overview</w:t>
      </w:r>
    </w:p>
    <w:p w:rsidR="004E13A5" w:rsidRDefault="00681463">
      <w:pPr>
        <w:pStyle w:val="BodyText"/>
        <w:ind w:right="262"/>
      </w:pPr>
      <w:r>
        <w:t>There is no asset limitation for participation in the HCV program. However, HUD requires that the PHA include in annual income the anticipated “interest, dividends, and other net income of any kind from real or personal property” [24 CFR 5.609(b)(3)]. This section discusses how the income from various types of assets is determined. For most types of assets, the PHA must determine the value of the asset in order to compute income from the asset. Therefore, for each asset type, this section discusses:</w:t>
      </w:r>
    </w:p>
    <w:p w:rsidR="004E13A5" w:rsidRDefault="00681463">
      <w:pPr>
        <w:pStyle w:val="ListParagraph"/>
        <w:numPr>
          <w:ilvl w:val="0"/>
          <w:numId w:val="93"/>
        </w:numPr>
        <w:tabs>
          <w:tab w:val="left" w:pos="460"/>
          <w:tab w:val="left" w:pos="461"/>
        </w:tabs>
        <w:rPr>
          <w:rFonts w:ascii="Symbol"/>
          <w:sz w:val="24"/>
        </w:rPr>
      </w:pPr>
      <w:r>
        <w:rPr>
          <w:sz w:val="24"/>
        </w:rPr>
        <w:t>How the value of the asset will be</w:t>
      </w:r>
      <w:r>
        <w:rPr>
          <w:spacing w:val="-10"/>
          <w:sz w:val="24"/>
        </w:rPr>
        <w:t xml:space="preserve"> </w:t>
      </w:r>
      <w:r>
        <w:rPr>
          <w:sz w:val="24"/>
        </w:rPr>
        <w:t>determined</w:t>
      </w:r>
    </w:p>
    <w:p w:rsidR="004E13A5" w:rsidRDefault="00681463">
      <w:pPr>
        <w:pStyle w:val="ListParagraph"/>
        <w:numPr>
          <w:ilvl w:val="0"/>
          <w:numId w:val="93"/>
        </w:numPr>
        <w:tabs>
          <w:tab w:val="left" w:pos="460"/>
          <w:tab w:val="left" w:pos="461"/>
        </w:tabs>
        <w:spacing w:before="118"/>
        <w:rPr>
          <w:rFonts w:ascii="Symbol"/>
          <w:sz w:val="24"/>
        </w:rPr>
      </w:pPr>
      <w:r>
        <w:rPr>
          <w:sz w:val="24"/>
        </w:rPr>
        <w:t>How income from the asset will be</w:t>
      </w:r>
      <w:r>
        <w:rPr>
          <w:spacing w:val="-8"/>
          <w:sz w:val="24"/>
        </w:rPr>
        <w:t xml:space="preserve"> </w:t>
      </w:r>
      <w:r>
        <w:rPr>
          <w:sz w:val="24"/>
        </w:rPr>
        <w:t>calculated</w:t>
      </w:r>
    </w:p>
    <w:p w:rsidR="004E13A5" w:rsidRDefault="00681463">
      <w:pPr>
        <w:pStyle w:val="BodyText"/>
        <w:spacing w:before="118"/>
        <w:ind w:right="175"/>
      </w:pPr>
      <w:r>
        <w:t xml:space="preserve">Exhibit 6-1 provides the regulatory requirements for calculating income from assets [24 CFR 5.609(b)(3)], and Exhibit 6-3 provides the regulatory definition of </w:t>
      </w:r>
      <w:r>
        <w:rPr>
          <w:i/>
        </w:rPr>
        <w:t>net family assets</w:t>
      </w:r>
      <w:r>
        <w:t>. This section begins with a discussion of general policies related to assets and then provides HUD rules and PHA policies related to each type of asset.</w:t>
      </w:r>
    </w:p>
    <w:p w:rsidR="004E13A5" w:rsidRDefault="00681463">
      <w:pPr>
        <w:pStyle w:val="BodyText"/>
      </w:pPr>
      <w:r>
        <w:t>Optional policies for family self-certification of assets are found in Chapter 7.</w:t>
      </w:r>
    </w:p>
    <w:p w:rsidR="004E13A5" w:rsidRDefault="00681463">
      <w:pPr>
        <w:pStyle w:val="Heading4"/>
        <w:spacing w:before="119"/>
      </w:pPr>
      <w:r>
        <w:t>General Policies</w:t>
      </w:r>
    </w:p>
    <w:p w:rsidR="004E13A5" w:rsidRDefault="00681463">
      <w:pPr>
        <w:pStyle w:val="Heading5"/>
        <w:spacing w:before="120"/>
      </w:pPr>
      <w:r>
        <w:t>Income from Assets</w:t>
      </w:r>
    </w:p>
    <w:p w:rsidR="004E13A5" w:rsidRDefault="00681463">
      <w:pPr>
        <w:pStyle w:val="BodyText"/>
        <w:spacing w:before="120"/>
        <w:ind w:right="56"/>
      </w:pPr>
      <w:r>
        <w:t>The PHA generally will use current circumstances to determine both the value of an asset and the anticipated income from the asset. As is true for all sources of income, HUD authorizes the PHA to use other than current circumstances to anticipate income when (1) an imminent change in circumstances is expected (2) it is not feasible to anticipate a level of income over 12 months or</w:t>
      </w:r>
    </w:p>
    <w:p w:rsidR="004E13A5" w:rsidRDefault="00681463">
      <w:pPr>
        <w:pStyle w:val="ListParagraph"/>
        <w:numPr>
          <w:ilvl w:val="1"/>
          <w:numId w:val="87"/>
        </w:numPr>
        <w:tabs>
          <w:tab w:val="left" w:pos="439"/>
        </w:tabs>
        <w:spacing w:before="0"/>
        <w:ind w:left="100" w:right="143" w:firstLine="0"/>
        <w:rPr>
          <w:sz w:val="24"/>
        </w:rPr>
      </w:pPr>
      <w:r>
        <w:rPr>
          <w:sz w:val="24"/>
        </w:rPr>
        <w:t>the PHA believes that past income is the best indicator of anticipated income. For example,</w:t>
      </w:r>
      <w:r>
        <w:rPr>
          <w:spacing w:val="-13"/>
          <w:sz w:val="24"/>
        </w:rPr>
        <w:t xml:space="preserve"> </w:t>
      </w:r>
      <w:r>
        <w:rPr>
          <w:sz w:val="24"/>
        </w:rPr>
        <w:t>if a family member owns real property that typically receives rental income but the property is currently vacant, the PHA can take into consideration past rental income along with the prospects of obtaining a new</w:t>
      </w:r>
      <w:r>
        <w:rPr>
          <w:spacing w:val="-7"/>
          <w:sz w:val="24"/>
        </w:rPr>
        <w:t xml:space="preserve"> </w:t>
      </w:r>
      <w:r>
        <w:rPr>
          <w:sz w:val="24"/>
        </w:rPr>
        <w:t>tenant.</w:t>
      </w:r>
    </w:p>
    <w:p w:rsidR="004E13A5" w:rsidRPr="00B00C94" w:rsidRDefault="00681463">
      <w:pPr>
        <w:pStyle w:val="BodyText"/>
        <w:spacing w:before="120"/>
        <w:ind w:left="820"/>
        <w:rPr>
          <w:b/>
        </w:rPr>
      </w:pPr>
      <w:r w:rsidRPr="00B00C94">
        <w:rPr>
          <w:b/>
          <w:u w:val="single"/>
        </w:rPr>
        <w:t>PHA Policy</w:t>
      </w:r>
    </w:p>
    <w:p w:rsidR="00D035FC" w:rsidRDefault="00D035FC" w:rsidP="00D035FC">
      <w:pPr>
        <w:ind w:left="1800"/>
      </w:pPr>
      <w:r w:rsidRPr="00B54141">
        <w:t xml:space="preserve">The PHA generally will use current circumstances to determine both the value of an asset and the anticipated income from the asset. The PHA will use other than current circumstances to anticipate income when (1) an imminent change in circumstances is expected, (2) it is not feasible to anticipate a level of income over 12 months, or (3) the </w:t>
      </w:r>
      <w:r w:rsidRPr="00B54141">
        <w:lastRenderedPageBreak/>
        <w:t>PHA believes that past income is the best indicator of anticipated income. For example, if a family member owns real property that typically receives rental income, but the property is currently vacant, the PHA can take into consideration past rental income along with the prospects of obtaining a new tenant.</w:t>
      </w:r>
    </w:p>
    <w:p w:rsidR="00757038" w:rsidRPr="00B54141" w:rsidRDefault="00757038" w:rsidP="00D035FC">
      <w:pPr>
        <w:ind w:left="1800"/>
      </w:pPr>
    </w:p>
    <w:p w:rsidR="00D035FC" w:rsidRPr="00B54141" w:rsidRDefault="00D035FC" w:rsidP="00D035FC">
      <w:pPr>
        <w:ind w:left="1800"/>
      </w:pPr>
      <w:r w:rsidRPr="00B54141">
        <w:t>Any time current circumstances are not used to determine asset income, a clear rationale for the decision will be documented in the file. In such cases, the family may present information and documentation to the PHA to show why the asset income determination does not represent the family’s anticipated asset income.</w:t>
      </w:r>
    </w:p>
    <w:p w:rsidR="00B00C94" w:rsidRDefault="00B00C94" w:rsidP="00B00C94">
      <w:pPr>
        <w:spacing w:before="240"/>
        <w:rPr>
          <w:b/>
          <w:bCs/>
          <w:iCs/>
          <w:sz w:val="24"/>
          <w:szCs w:val="24"/>
        </w:rPr>
      </w:pPr>
      <w:bookmarkStart w:id="23" w:name="_Hlk145773425"/>
      <w:r w:rsidRPr="00B00C94">
        <w:rPr>
          <w:b/>
          <w:bCs/>
          <w:sz w:val="24"/>
          <w:szCs w:val="24"/>
        </w:rPr>
        <w:t>6-II.B.</w:t>
      </w:r>
      <w:r w:rsidRPr="00B00C94">
        <w:rPr>
          <w:bCs/>
          <w:sz w:val="24"/>
          <w:szCs w:val="24"/>
        </w:rPr>
        <w:t xml:space="preserve"> </w:t>
      </w:r>
      <w:r w:rsidRPr="00B00C94">
        <w:rPr>
          <w:b/>
          <w:bCs/>
          <w:iCs/>
          <w:sz w:val="24"/>
          <w:szCs w:val="24"/>
        </w:rPr>
        <w:t>ASSETS DISPOSED OF FOR LESS THAN FAIR MARKET VALUE</w:t>
      </w:r>
      <w:r w:rsidRPr="00B00C94">
        <w:rPr>
          <w:b/>
          <w:bCs/>
          <w:i/>
          <w:sz w:val="24"/>
          <w:szCs w:val="24"/>
        </w:rPr>
        <w:t xml:space="preserve"> </w:t>
      </w:r>
      <w:bookmarkEnd w:id="23"/>
      <w:r w:rsidRPr="00B00C94">
        <w:rPr>
          <w:b/>
          <w:bCs/>
          <w:iCs/>
          <w:sz w:val="24"/>
          <w:szCs w:val="24"/>
        </w:rPr>
        <w:t>[24 CFR 5.603(b)(2)]</w:t>
      </w:r>
    </w:p>
    <w:p w:rsidR="00B00C94" w:rsidRPr="00B00C94" w:rsidRDefault="00B00C94" w:rsidP="00B00C94">
      <w:pPr>
        <w:spacing w:before="240"/>
        <w:rPr>
          <w:b/>
          <w:bCs/>
          <w:i/>
          <w:sz w:val="24"/>
          <w:szCs w:val="24"/>
        </w:rPr>
      </w:pPr>
    </w:p>
    <w:p w:rsidR="00B00C94" w:rsidRDefault="00B00C94" w:rsidP="00B00C94">
      <w:pPr>
        <w:rPr>
          <w:sz w:val="24"/>
          <w:szCs w:val="24"/>
        </w:rPr>
      </w:pPr>
      <w:r w:rsidRPr="00B00C94">
        <w:rPr>
          <w:sz w:val="24"/>
          <w:szCs w:val="24"/>
        </w:rPr>
        <w:t>HUD regulations require the PHA to count as a current asset any business or family asset that was disposed of for less than fair market value during the two years prior to the effective date of the examination/reexamination, except as noted below.</w:t>
      </w:r>
    </w:p>
    <w:p w:rsidR="00B00C94" w:rsidRPr="00B00C94" w:rsidRDefault="00B00C94" w:rsidP="00B00C94">
      <w:pPr>
        <w:rPr>
          <w:sz w:val="24"/>
          <w:szCs w:val="24"/>
        </w:rPr>
      </w:pPr>
    </w:p>
    <w:p w:rsidR="00B00C94" w:rsidRPr="00B00C94" w:rsidRDefault="00B00C94" w:rsidP="00B00C94">
      <w:pPr>
        <w:rPr>
          <w:b/>
          <w:i/>
          <w:iCs/>
          <w:sz w:val="24"/>
          <w:szCs w:val="24"/>
        </w:rPr>
      </w:pPr>
      <w:r w:rsidRPr="00B00C94">
        <w:rPr>
          <w:b/>
          <w:i/>
          <w:iCs/>
          <w:sz w:val="24"/>
          <w:szCs w:val="24"/>
        </w:rPr>
        <w:t>Minimum Threshold</w:t>
      </w:r>
    </w:p>
    <w:p w:rsidR="00B00C94" w:rsidRPr="00B00C94" w:rsidRDefault="00B00C94" w:rsidP="00B00C94">
      <w:pPr>
        <w:rPr>
          <w:sz w:val="24"/>
          <w:szCs w:val="24"/>
        </w:rPr>
      </w:pPr>
      <w:r w:rsidRPr="00B00C94">
        <w:rPr>
          <w:sz w:val="24"/>
          <w:szCs w:val="24"/>
        </w:rPr>
        <w:t>The PHA may set a threshold below which assets disposed of for less than fair market value will not be counted [HCV GB, p. 5-27].</w:t>
      </w:r>
    </w:p>
    <w:p w:rsidR="00B00C94" w:rsidRDefault="00B00C94" w:rsidP="00B00C94">
      <w:pPr>
        <w:pStyle w:val="BodyText"/>
        <w:spacing w:before="120"/>
        <w:ind w:left="820"/>
        <w:rPr>
          <w:u w:val="single"/>
        </w:rPr>
      </w:pPr>
    </w:p>
    <w:p w:rsidR="00B00C94" w:rsidRPr="00B00C94" w:rsidRDefault="00B00C94" w:rsidP="00B00C94">
      <w:pPr>
        <w:pStyle w:val="BodyText"/>
        <w:spacing w:before="120"/>
        <w:ind w:left="1440"/>
        <w:rPr>
          <w:b/>
          <w:u w:val="single"/>
        </w:rPr>
      </w:pPr>
      <w:r w:rsidRPr="00B00C94">
        <w:rPr>
          <w:b/>
          <w:u w:val="single"/>
        </w:rPr>
        <w:t>PHA Policy</w:t>
      </w:r>
    </w:p>
    <w:p w:rsidR="00B00C94" w:rsidRDefault="00B00C94" w:rsidP="00B00C94">
      <w:pPr>
        <w:pStyle w:val="BodyText"/>
        <w:spacing w:before="120"/>
        <w:ind w:left="820"/>
      </w:pPr>
    </w:p>
    <w:p w:rsidR="00B00C94" w:rsidRPr="00B00C94" w:rsidRDefault="00B00C94" w:rsidP="00B00C94">
      <w:pPr>
        <w:ind w:left="1440"/>
        <w:rPr>
          <w:sz w:val="24"/>
          <w:szCs w:val="24"/>
        </w:rPr>
      </w:pPr>
      <w:r w:rsidRPr="00B00C94">
        <w:rPr>
          <w:sz w:val="24"/>
          <w:szCs w:val="24"/>
        </w:rPr>
        <w:t>The PHA will not include the value of assets disposed of for less than fair market value unless the cumulative fair market value of all assets disposed of during the past two years exceeds the gross amount received for the assets by more than $1,000.</w:t>
      </w:r>
    </w:p>
    <w:p w:rsidR="00B00C94" w:rsidRDefault="00B00C94" w:rsidP="00B00C94">
      <w:pPr>
        <w:pStyle w:val="BodyText"/>
        <w:spacing w:before="120"/>
        <w:ind w:left="820"/>
      </w:pPr>
    </w:p>
    <w:p w:rsidR="00B00C94" w:rsidRDefault="00B00C94" w:rsidP="00B00C94">
      <w:pPr>
        <w:pStyle w:val="Heading5"/>
        <w:spacing w:before="79"/>
      </w:pPr>
      <w:r>
        <w:t>Separation or Divorce</w:t>
      </w:r>
    </w:p>
    <w:p w:rsidR="00B00C94" w:rsidRDefault="00B00C94" w:rsidP="00B00C94">
      <w:pPr>
        <w:pStyle w:val="BodyText"/>
        <w:ind w:right="296"/>
      </w:pPr>
      <w:r>
        <w:t>The regulation also specifies that assets are not considered disposed of for less than fair market value if they are disposed of as part of a separation or divorce settlement and the applicant or tenant receives important consideration not measurable in dollar terms.</w:t>
      </w:r>
    </w:p>
    <w:p w:rsidR="00B00C94" w:rsidRDefault="00B00C94" w:rsidP="00B00C94">
      <w:pPr>
        <w:pStyle w:val="BodyText"/>
        <w:ind w:left="820"/>
      </w:pPr>
      <w:r>
        <w:rPr>
          <w:u w:val="single"/>
        </w:rPr>
        <w:t>PHA Policy</w:t>
      </w:r>
    </w:p>
    <w:p w:rsidR="00B00C94" w:rsidRDefault="00B00C94" w:rsidP="00B00C94">
      <w:pPr>
        <w:pStyle w:val="BodyText"/>
        <w:ind w:left="820" w:right="469"/>
      </w:pPr>
      <w:r>
        <w:t>All assets disposed of as part of a separation or divorce settlement will be considered assets for which important consideration not measurable in monetary terms has been received. In order to qualify for this exemption, a family member must be subject to a formal separation or divorce settlement agreement established through arbitration, mediation, or court order.</w:t>
      </w:r>
    </w:p>
    <w:p w:rsidR="00B00C94" w:rsidRDefault="00B00C94" w:rsidP="00B00C94">
      <w:pPr>
        <w:pStyle w:val="BodyText"/>
        <w:ind w:left="820" w:right="469"/>
      </w:pPr>
    </w:p>
    <w:p w:rsidR="00B00C94" w:rsidRDefault="00B00C94" w:rsidP="00B00C94">
      <w:pPr>
        <w:pStyle w:val="Heading5"/>
      </w:pPr>
      <w:r>
        <w:t>Foreclosure or Bankruptcy</w:t>
      </w:r>
    </w:p>
    <w:p w:rsidR="00F7132F" w:rsidRDefault="00B00C94">
      <w:pPr>
        <w:pStyle w:val="BodyText"/>
        <w:spacing w:before="120"/>
        <w:ind w:right="262"/>
      </w:pPr>
      <w:r>
        <w:t>Assets are not considered disposed of for less than fair market value when the disposition is the result of a foreclosure or bankruptcy sale.</w:t>
      </w:r>
    </w:p>
    <w:p w:rsidR="00B00C94" w:rsidRDefault="00B00C94" w:rsidP="00B00C94">
      <w:pPr>
        <w:pStyle w:val="BodyText"/>
        <w:ind w:left="820" w:right="469"/>
      </w:pPr>
    </w:p>
    <w:p w:rsidR="00B00C94" w:rsidRPr="00B54141" w:rsidRDefault="00B00C94" w:rsidP="00B00C94">
      <w:pPr>
        <w:rPr>
          <w:b/>
          <w:i/>
          <w:iCs/>
        </w:rPr>
      </w:pPr>
      <w:r w:rsidRPr="00B54141">
        <w:rPr>
          <w:b/>
          <w:i/>
          <w:iCs/>
        </w:rPr>
        <w:t>Asset Owned by a Business Entity</w:t>
      </w:r>
    </w:p>
    <w:p w:rsidR="00B00C94" w:rsidRDefault="00B00C94" w:rsidP="00B00C94">
      <w:pPr>
        <w:rPr>
          <w:bCs/>
        </w:rPr>
      </w:pPr>
      <w:r w:rsidRPr="00B54141">
        <w:rPr>
          <w:bCs/>
        </w:rPr>
        <w:t>No PHA policy decisions are required.</w:t>
      </w:r>
    </w:p>
    <w:p w:rsidR="00B00C94" w:rsidRDefault="00B00C94" w:rsidP="00B00C94">
      <w:pPr>
        <w:rPr>
          <w:bCs/>
        </w:rPr>
      </w:pPr>
    </w:p>
    <w:p w:rsidR="00B00C94" w:rsidRDefault="00B00C94" w:rsidP="00B00C94">
      <w:pPr>
        <w:pStyle w:val="Heading5"/>
        <w:spacing w:before="120"/>
      </w:pPr>
      <w:r>
        <w:t>Family Declaration</w:t>
      </w:r>
    </w:p>
    <w:p w:rsidR="00B00C94" w:rsidRDefault="00B00C94" w:rsidP="00B00C94">
      <w:pPr>
        <w:pStyle w:val="BodyText"/>
        <w:spacing w:before="120"/>
        <w:ind w:left="820"/>
      </w:pPr>
      <w:r>
        <w:rPr>
          <w:u w:val="single"/>
        </w:rPr>
        <w:t>PHA Policy</w:t>
      </w:r>
    </w:p>
    <w:p w:rsidR="00B00C94" w:rsidRDefault="00B00C94" w:rsidP="00B00C94">
      <w:pPr>
        <w:pStyle w:val="BodyText"/>
        <w:spacing w:before="120"/>
        <w:ind w:left="820" w:right="149"/>
      </w:pPr>
      <w:r>
        <w:t>Families must sign a declaration form at initial certification and each annual recertification identifying all assets that have been disposed of for less than fair market value or declaring that no assets have been disposed of for less than fair market value. The PHA may verify the value of the assets disposed of if other information available to the PHA does not appear to agree with the information reported by the family.</w:t>
      </w:r>
    </w:p>
    <w:p w:rsidR="00B00C94" w:rsidRPr="00B54141" w:rsidRDefault="00B00C94" w:rsidP="00B00C94">
      <w:pPr>
        <w:rPr>
          <w:bCs/>
        </w:rPr>
      </w:pPr>
    </w:p>
    <w:p w:rsidR="006D5565" w:rsidRDefault="00D035FC">
      <w:pPr>
        <w:pStyle w:val="BodyText"/>
        <w:spacing w:before="120"/>
        <w:ind w:left="820" w:right="135"/>
        <w:rPr>
          <w:b/>
          <w:bCs/>
        </w:rPr>
      </w:pPr>
      <w:r w:rsidRPr="00B54141">
        <w:rPr>
          <w:b/>
          <w:bCs/>
        </w:rPr>
        <w:t>6-II.C. ASSET INCLUSIONS AND EXCLUSIONS</w:t>
      </w:r>
    </w:p>
    <w:p w:rsidR="00D035FC" w:rsidRDefault="00D035FC">
      <w:pPr>
        <w:pStyle w:val="BodyText"/>
        <w:spacing w:before="120"/>
        <w:ind w:left="820" w:right="135"/>
      </w:pPr>
    </w:p>
    <w:p w:rsidR="00D035FC" w:rsidRDefault="00D035FC" w:rsidP="00D035FC">
      <w:pPr>
        <w:rPr>
          <w:b/>
          <w:bCs/>
          <w:i/>
        </w:rPr>
      </w:pPr>
      <w:r w:rsidRPr="00B54141">
        <w:rPr>
          <w:b/>
          <w:bCs/>
          <w:i/>
        </w:rPr>
        <w:t>Checking and Savings Accounts</w:t>
      </w:r>
    </w:p>
    <w:p w:rsidR="00D035FC" w:rsidRPr="00B54141" w:rsidRDefault="00D035FC" w:rsidP="00D035FC">
      <w:pPr>
        <w:rPr>
          <w:i/>
        </w:rPr>
      </w:pPr>
    </w:p>
    <w:p w:rsidR="00D035FC" w:rsidRDefault="00D035FC" w:rsidP="00D035FC">
      <w:pPr>
        <w:rPr>
          <w:b/>
          <w:bCs/>
        </w:rPr>
      </w:pPr>
      <w:r w:rsidRPr="00B54141">
        <w:rPr>
          <w:iCs/>
        </w:rPr>
        <w:t xml:space="preserve">HUD considers bank accounts as non-necessary items of personal property. Whether </w:t>
      </w:r>
      <w:r w:rsidRPr="00B54141">
        <w:t xml:space="preserve">or not </w:t>
      </w:r>
      <w:r>
        <w:t>non</w:t>
      </w:r>
      <w:r>
        <w:noBreakHyphen/>
      </w:r>
      <w:r w:rsidRPr="00B54141">
        <w:t xml:space="preserve">necessary personal property is counted toward net family assets depends on the combined value of all of the family’s assets. </w:t>
      </w:r>
      <w:r w:rsidRPr="00B54141">
        <w:rPr>
          <w:b/>
          <w:bCs/>
        </w:rPr>
        <w:t>No PHA policy decisions are required.</w:t>
      </w:r>
    </w:p>
    <w:p w:rsidR="00D035FC" w:rsidRPr="00B54141" w:rsidRDefault="00D035FC" w:rsidP="00D035FC">
      <w:pPr>
        <w:rPr>
          <w:i/>
        </w:rPr>
      </w:pPr>
    </w:p>
    <w:p w:rsidR="00D035FC" w:rsidRDefault="00D035FC" w:rsidP="00D035FC">
      <w:pPr>
        <w:rPr>
          <w:b/>
          <w:bCs/>
          <w:i/>
        </w:rPr>
      </w:pPr>
      <w:r w:rsidRPr="00B54141">
        <w:rPr>
          <w:b/>
          <w:bCs/>
          <w:i/>
        </w:rPr>
        <w:t>ABLE Accounts [24 CFR 5.609(b)(10); Notice PIH 2019-09]</w:t>
      </w:r>
    </w:p>
    <w:p w:rsidR="00D035FC" w:rsidRPr="00B54141" w:rsidRDefault="00D035FC" w:rsidP="00D035FC">
      <w:pPr>
        <w:rPr>
          <w:b/>
          <w:bCs/>
          <w:i/>
        </w:rPr>
      </w:pPr>
    </w:p>
    <w:p w:rsidR="00D035FC" w:rsidRDefault="00D035FC" w:rsidP="00D035FC">
      <w:pPr>
        <w:rPr>
          <w:iCs/>
        </w:rPr>
      </w:pPr>
      <w:r w:rsidRPr="00B54141">
        <w:rPr>
          <w:iCs/>
        </w:rPr>
        <w:t>No PHA policy decisions are required.</w:t>
      </w:r>
    </w:p>
    <w:p w:rsidR="00D035FC" w:rsidRPr="00B54141" w:rsidRDefault="00D035FC" w:rsidP="00D035FC">
      <w:pPr>
        <w:rPr>
          <w:iCs/>
        </w:rPr>
      </w:pPr>
    </w:p>
    <w:p w:rsidR="00D035FC" w:rsidRPr="00B54141" w:rsidRDefault="00D035FC" w:rsidP="00D035FC">
      <w:pPr>
        <w:rPr>
          <w:b/>
          <w:bCs/>
          <w:i/>
        </w:rPr>
      </w:pPr>
      <w:r w:rsidRPr="00B54141">
        <w:rPr>
          <w:b/>
          <w:bCs/>
          <w:i/>
        </w:rPr>
        <w:t>Investment Accounts Such as Stocks, Bonds, Saving Certificates, and Money Market Funds [24 CFR 5.603(b)(1)]</w:t>
      </w:r>
    </w:p>
    <w:p w:rsidR="00415ADD" w:rsidRDefault="00415ADD" w:rsidP="00415ADD">
      <w:pPr>
        <w:pStyle w:val="BodyText"/>
        <w:spacing w:before="120"/>
        <w:ind w:left="820"/>
      </w:pPr>
      <w:r>
        <w:rPr>
          <w:u w:val="single"/>
        </w:rPr>
        <w:t>PHA Policy</w:t>
      </w:r>
    </w:p>
    <w:p w:rsidR="00415ADD" w:rsidRPr="00B54141" w:rsidRDefault="00415ADD" w:rsidP="00415ADD">
      <w:pPr>
        <w:ind w:left="1800"/>
        <w:rPr>
          <w:bCs/>
        </w:rPr>
      </w:pPr>
      <w:bookmarkStart w:id="24" w:name="_Hlk144894612"/>
      <w:r w:rsidRPr="00B54141">
        <w:rPr>
          <w:bCs/>
        </w:rPr>
        <w:t xml:space="preserve">The PHA will include interest or dividends earned by investment accounts are counted as </w:t>
      </w:r>
      <w:r w:rsidRPr="00B54141">
        <w:t>actual</w:t>
      </w:r>
      <w:r w:rsidRPr="00B54141">
        <w:rPr>
          <w:bCs/>
        </w:rPr>
        <w:t xml:space="preserve"> income from assets even when the earnings are reinvested.</w:t>
      </w:r>
    </w:p>
    <w:p w:rsidR="00415ADD" w:rsidRPr="00B54141" w:rsidRDefault="00415ADD" w:rsidP="00415ADD">
      <w:pPr>
        <w:ind w:left="1800"/>
        <w:rPr>
          <w:bCs/>
        </w:rPr>
      </w:pPr>
      <w:r w:rsidRPr="00B54141">
        <w:rPr>
          <w:bCs/>
        </w:rPr>
        <w:t>The cash value of such an asset is determined by deducting from the market value any broker fees, penalties for early withdrawal, or other costs of converting the asset to cash.</w:t>
      </w:r>
    </w:p>
    <w:p w:rsidR="00415ADD" w:rsidRPr="00B54141" w:rsidRDefault="00415ADD" w:rsidP="00415ADD">
      <w:pPr>
        <w:ind w:left="1800"/>
      </w:pPr>
      <w:r w:rsidRPr="00B54141">
        <w:t>In determining the market value of an investment account, the PHA will use the value of the account on the most recent investment report.</w:t>
      </w:r>
    </w:p>
    <w:bookmarkEnd w:id="24"/>
    <w:p w:rsidR="00D035FC" w:rsidRDefault="00415ADD">
      <w:pPr>
        <w:pStyle w:val="BodyText"/>
        <w:spacing w:before="120"/>
        <w:ind w:left="820" w:right="135"/>
        <w:rPr>
          <w:b/>
          <w:bCs/>
          <w:i/>
        </w:rPr>
      </w:pPr>
      <w:r w:rsidRPr="00B54141">
        <w:rPr>
          <w:b/>
          <w:bCs/>
          <w:i/>
        </w:rPr>
        <w:t xml:space="preserve">Necessary and Non-Necessary Personal Property </w:t>
      </w:r>
      <w:bookmarkStart w:id="25" w:name="_Hlk135303357"/>
      <w:r w:rsidRPr="00B54141">
        <w:rPr>
          <w:b/>
          <w:bCs/>
          <w:i/>
        </w:rPr>
        <w:t>[24 CFR 5.603(b)(3)(i)]</w:t>
      </w:r>
      <w:bookmarkEnd w:id="25"/>
    </w:p>
    <w:p w:rsidR="00415ADD" w:rsidRDefault="00415ADD" w:rsidP="00415ADD">
      <w:pPr>
        <w:pStyle w:val="BodyText"/>
        <w:spacing w:before="120"/>
        <w:ind w:left="820"/>
      </w:pPr>
      <w:r>
        <w:rPr>
          <w:u w:val="single"/>
        </w:rPr>
        <w:t xml:space="preserve">              </w:t>
      </w:r>
      <w:r>
        <w:rPr>
          <w:u w:val="single"/>
        </w:rPr>
        <w:t>PHA Policy</w:t>
      </w:r>
    </w:p>
    <w:p w:rsidR="00415ADD" w:rsidRPr="00B54141" w:rsidRDefault="00415ADD" w:rsidP="00415ADD">
      <w:pPr>
        <w:ind w:left="2160"/>
      </w:pPr>
      <w:r w:rsidRPr="00B54141">
        <w:t>In determining the value of non-necessary personal property, the PHA will use the family’s estimate of the value. The PHA may obtain an appraisal if there is reason to believe that the family’s estimated value is off by $50 or more. The family must cooperate with the appraiser but cannot be charged any costs related to the appraisal.</w:t>
      </w:r>
    </w:p>
    <w:p w:rsidR="00660733" w:rsidRDefault="00660733" w:rsidP="00660733">
      <w:pPr>
        <w:pStyle w:val="BodyText"/>
        <w:ind w:left="820" w:right="676"/>
      </w:pPr>
      <w:r>
        <w:t>Generally, personal property held as an investment generates no income until it is disposed of. If regular income is generated (e.g., income from renting the personal property), the amount that is expected to be earned in the coming year is counted as actual income from the asset.</w:t>
      </w:r>
    </w:p>
    <w:p w:rsidR="00660733" w:rsidRDefault="00660733" w:rsidP="00660733">
      <w:pPr>
        <w:pStyle w:val="BodyText"/>
      </w:pPr>
      <w:r>
        <w:t>Necessary items of personal property are not considered assets [24 CFR 5.603(b)].</w:t>
      </w:r>
    </w:p>
    <w:p w:rsidR="00660733" w:rsidRDefault="00660733" w:rsidP="00660733">
      <w:pPr>
        <w:pStyle w:val="BodyText"/>
        <w:ind w:left="820"/>
      </w:pPr>
      <w:r>
        <w:rPr>
          <w:u w:val="single"/>
        </w:rPr>
        <w:t>PHA Policy</w:t>
      </w:r>
    </w:p>
    <w:p w:rsidR="00660733" w:rsidRDefault="00660733" w:rsidP="00660733">
      <w:pPr>
        <w:pStyle w:val="BodyText"/>
        <w:ind w:left="820" w:right="304"/>
        <w:jc w:val="both"/>
      </w:pPr>
      <w:r>
        <w:t>Necessary personal property consists of only those items not held as an investment, and may include clothing, furniture, household furnishings, jewelry, and vehicles, including those specially equipped for persons with disabilities.</w:t>
      </w:r>
    </w:p>
    <w:p w:rsidR="00415ADD" w:rsidRDefault="00415ADD">
      <w:pPr>
        <w:pStyle w:val="BodyText"/>
        <w:spacing w:before="120"/>
        <w:ind w:left="820" w:right="135"/>
      </w:pPr>
    </w:p>
    <w:p w:rsidR="00415ADD" w:rsidRDefault="00415ADD" w:rsidP="00F7132F">
      <w:pPr>
        <w:pStyle w:val="BodyText"/>
        <w:spacing w:before="120"/>
        <w:ind w:right="135"/>
      </w:pPr>
    </w:p>
    <w:p w:rsidR="00F7132F" w:rsidRDefault="00F7132F" w:rsidP="00F7132F">
      <w:pPr>
        <w:pStyle w:val="BodyText"/>
        <w:spacing w:before="120"/>
        <w:ind w:right="135"/>
      </w:pPr>
    </w:p>
    <w:p w:rsidR="00F7132F" w:rsidRDefault="00F7132F" w:rsidP="00BF2931">
      <w:pPr>
        <w:pStyle w:val="BodyText"/>
        <w:spacing w:before="120"/>
        <w:ind w:right="135"/>
      </w:pPr>
    </w:p>
    <w:p w:rsidR="004E13A5" w:rsidRDefault="00681463">
      <w:pPr>
        <w:pStyle w:val="Heading5"/>
      </w:pPr>
      <w:r>
        <w:t>Valuing Assets</w:t>
      </w:r>
    </w:p>
    <w:p w:rsidR="004E13A5" w:rsidRDefault="00681463">
      <w:pPr>
        <w:pStyle w:val="BodyText"/>
        <w:ind w:right="376"/>
      </w:pPr>
      <w:r>
        <w:t>The calculation of asset income sometimes requires the PHA to make a distinction between an asset’s market value and its cash value.</w:t>
      </w:r>
    </w:p>
    <w:p w:rsidR="004E13A5" w:rsidRDefault="004E13A5">
      <w:pPr>
        <w:sectPr w:rsidR="004E13A5">
          <w:pgSz w:w="12240" w:h="15840"/>
          <w:pgMar w:top="1360" w:right="1340" w:bottom="640" w:left="1340" w:header="0" w:footer="441" w:gutter="0"/>
          <w:cols w:space="720"/>
        </w:sectPr>
      </w:pPr>
    </w:p>
    <w:p w:rsidR="004E13A5" w:rsidRDefault="00681463">
      <w:pPr>
        <w:pStyle w:val="ListParagraph"/>
        <w:numPr>
          <w:ilvl w:val="0"/>
          <w:numId w:val="93"/>
        </w:numPr>
        <w:tabs>
          <w:tab w:val="left" w:pos="460"/>
          <w:tab w:val="left" w:pos="461"/>
        </w:tabs>
        <w:spacing w:before="79"/>
        <w:ind w:right="371"/>
        <w:rPr>
          <w:rFonts w:ascii="Symbol"/>
          <w:sz w:val="24"/>
        </w:rPr>
      </w:pPr>
      <w:r>
        <w:rPr>
          <w:sz w:val="24"/>
        </w:rPr>
        <w:lastRenderedPageBreak/>
        <w:t>The market value of an asset is its worth in the market (e.g., the amount a buyer would pay for real estate or the total value of an investment</w:t>
      </w:r>
      <w:r>
        <w:rPr>
          <w:spacing w:val="-9"/>
          <w:sz w:val="24"/>
        </w:rPr>
        <w:t xml:space="preserve"> </w:t>
      </w:r>
      <w:r>
        <w:rPr>
          <w:sz w:val="24"/>
        </w:rPr>
        <w:t>account).</w:t>
      </w:r>
    </w:p>
    <w:p w:rsidR="004E13A5" w:rsidRDefault="00681463">
      <w:pPr>
        <w:pStyle w:val="ListParagraph"/>
        <w:numPr>
          <w:ilvl w:val="0"/>
          <w:numId w:val="93"/>
        </w:numPr>
        <w:tabs>
          <w:tab w:val="left" w:pos="460"/>
          <w:tab w:val="left" w:pos="461"/>
        </w:tabs>
        <w:ind w:right="728"/>
        <w:rPr>
          <w:rFonts w:ascii="Symbol"/>
          <w:sz w:val="24"/>
        </w:rPr>
      </w:pPr>
      <w:r>
        <w:rPr>
          <w:sz w:val="24"/>
        </w:rPr>
        <w:t>The cash value of an asset is its market value less all reasonable amounts that would</w:t>
      </w:r>
      <w:r>
        <w:rPr>
          <w:spacing w:val="-12"/>
          <w:sz w:val="24"/>
        </w:rPr>
        <w:t xml:space="preserve"> </w:t>
      </w:r>
      <w:r>
        <w:rPr>
          <w:sz w:val="24"/>
        </w:rPr>
        <w:t>be incurred when converting the asset to</w:t>
      </w:r>
      <w:r>
        <w:rPr>
          <w:spacing w:val="-10"/>
          <w:sz w:val="24"/>
        </w:rPr>
        <w:t xml:space="preserve"> </w:t>
      </w:r>
      <w:r>
        <w:rPr>
          <w:sz w:val="24"/>
        </w:rPr>
        <w:t>cash.</w:t>
      </w:r>
    </w:p>
    <w:p w:rsidR="004E13A5" w:rsidRDefault="00681463">
      <w:pPr>
        <w:pStyle w:val="BodyText"/>
        <w:ind w:left="820"/>
      </w:pPr>
      <w:r>
        <w:rPr>
          <w:u w:val="single"/>
        </w:rPr>
        <w:t>PHA Policy</w:t>
      </w:r>
    </w:p>
    <w:p w:rsidR="004E13A5" w:rsidRDefault="00681463">
      <w:pPr>
        <w:pStyle w:val="BodyText"/>
        <w:ind w:left="820" w:right="129"/>
      </w:pPr>
      <w:r>
        <w:t>Reasonable costs that would be incurred when disposing of an asset include, but are not limited to, penalties for premature withdrawal, broker and legal fees, and settlement costs incurred in real estate transactions [HCV GB, p. 5-28].</w:t>
      </w:r>
    </w:p>
    <w:p w:rsidR="00B00C94" w:rsidRDefault="00B00C94">
      <w:pPr>
        <w:pStyle w:val="BodyText"/>
        <w:ind w:left="820" w:right="129"/>
      </w:pPr>
    </w:p>
    <w:p w:rsidR="00B00C94" w:rsidRDefault="00B00C94">
      <w:pPr>
        <w:pStyle w:val="BodyText"/>
        <w:ind w:left="820" w:right="129"/>
      </w:pPr>
    </w:p>
    <w:p w:rsidR="00B00C94" w:rsidRDefault="00B00C94">
      <w:pPr>
        <w:pStyle w:val="BodyText"/>
        <w:ind w:left="820" w:right="129"/>
      </w:pPr>
    </w:p>
    <w:p w:rsidR="00707A56" w:rsidRPr="00B54141" w:rsidRDefault="00707A56" w:rsidP="00707A56">
      <w:pPr>
        <w:rPr>
          <w:b/>
          <w:bCs/>
          <w:i/>
        </w:rPr>
      </w:pPr>
      <w:r w:rsidRPr="00B54141">
        <w:rPr>
          <w:b/>
          <w:bCs/>
          <w:i/>
          <w:iCs/>
        </w:rPr>
        <w:t xml:space="preserve">Lump-Sum </w:t>
      </w:r>
      <w:bookmarkStart w:id="26" w:name="_Hlk135303386"/>
      <w:r w:rsidRPr="00B54141">
        <w:rPr>
          <w:b/>
          <w:bCs/>
          <w:i/>
          <w:iCs/>
        </w:rPr>
        <w:t>Additions to Net Family Assets [24 CFR 5.609(b)(24(viii);</w:t>
      </w:r>
      <w:bookmarkEnd w:id="26"/>
      <w:r w:rsidRPr="00B54141">
        <w:rPr>
          <w:b/>
          <w:bCs/>
          <w:i/>
          <w:iCs/>
        </w:rPr>
        <w:t xml:space="preserve"> Notice PIH 2023-27]</w:t>
      </w:r>
    </w:p>
    <w:p w:rsidR="00B00C94" w:rsidRDefault="00B00C94">
      <w:pPr>
        <w:pStyle w:val="Heading5"/>
      </w:pPr>
    </w:p>
    <w:p w:rsidR="004E13A5" w:rsidRDefault="00681463">
      <w:pPr>
        <w:pStyle w:val="BodyText"/>
        <w:ind w:right="89"/>
      </w:pPr>
      <w:r>
        <w:t>Payments that are received in a single lump sum, such as inheritances, capital gains, lottery winnings, insurance settlements, and proceeds from the sale of property, are generally considered assets, not income. However, such lump-sum receipts are counted as assets only if they are retained by a family in a form recognizable as an asset (e.g., deposited in a savings or checking account) [RHIIP FAQs]. (For a discussion of lump-sum payments that represent the delayed start of a periodic payment, most of which are counted as income, see sections 6-I.H and 6-I.I.)</w:t>
      </w:r>
    </w:p>
    <w:p w:rsidR="00415ADD" w:rsidRDefault="00415ADD" w:rsidP="00415ADD">
      <w:pPr>
        <w:pStyle w:val="BodyText"/>
        <w:spacing w:before="120"/>
        <w:ind w:left="820"/>
      </w:pPr>
      <w:r>
        <w:rPr>
          <w:u w:val="single"/>
        </w:rPr>
        <w:t xml:space="preserve">             PHA Policy</w:t>
      </w:r>
    </w:p>
    <w:p w:rsidR="00415ADD" w:rsidRPr="00B54141" w:rsidRDefault="00415ADD" w:rsidP="00415ADD">
      <w:pPr>
        <w:ind w:left="1800"/>
      </w:pPr>
      <w:r w:rsidRPr="00B54141">
        <w:t>Any lump-sum receipts are only counted as assets if they are retained by a family in a form recognizable as an asset. [RHIIP FAQs]. For example, if the family receives a $1,000 lump sum for lottery winnings, and the family immediately spends the entire amount, the lump sum will not be counted toward net family assets.</w:t>
      </w:r>
    </w:p>
    <w:p w:rsidR="00415ADD" w:rsidRDefault="00415ADD">
      <w:pPr>
        <w:pStyle w:val="BodyText"/>
        <w:ind w:right="89"/>
      </w:pPr>
    </w:p>
    <w:p w:rsidR="00B70ABE" w:rsidRPr="00B54141" w:rsidRDefault="00B70ABE" w:rsidP="00B70ABE">
      <w:pPr>
        <w:rPr>
          <w:b/>
          <w:bCs/>
          <w:i/>
          <w:iCs/>
        </w:rPr>
      </w:pPr>
      <w:r w:rsidRPr="00B54141">
        <w:rPr>
          <w:b/>
          <w:bCs/>
          <w:i/>
        </w:rPr>
        <w:t xml:space="preserve">Jointly Owned Assets </w:t>
      </w:r>
      <w:r w:rsidRPr="00B54141">
        <w:rPr>
          <w:b/>
          <w:i/>
          <w:iCs/>
        </w:rPr>
        <w:t>[Notice PIH 2023-27]</w:t>
      </w:r>
    </w:p>
    <w:p w:rsidR="00B70ABE" w:rsidRPr="00B54141" w:rsidRDefault="00B70ABE" w:rsidP="00B70ABE">
      <w:pPr>
        <w:rPr>
          <w:i/>
        </w:rPr>
      </w:pPr>
      <w:r w:rsidRPr="00B54141">
        <w:t xml:space="preserve">This section describes policies regarding jointly owned assets. </w:t>
      </w:r>
      <w:r w:rsidRPr="00B54141">
        <w:rPr>
          <w:b/>
          <w:bCs/>
        </w:rPr>
        <w:t>No PHA policy decisions are required.</w:t>
      </w:r>
    </w:p>
    <w:p w:rsidR="00B70ABE" w:rsidRPr="00B54141" w:rsidRDefault="00B70ABE" w:rsidP="00B70ABE">
      <w:pPr>
        <w:rPr>
          <w:b/>
          <w:i/>
          <w:iCs/>
        </w:rPr>
      </w:pPr>
      <w:r w:rsidRPr="00B54141">
        <w:rPr>
          <w:b/>
          <w:i/>
          <w:iCs/>
        </w:rPr>
        <w:t xml:space="preserve">Trusts </w:t>
      </w:r>
      <w:r w:rsidRPr="00B54141">
        <w:rPr>
          <w:b/>
          <w:bCs/>
          <w:i/>
        </w:rPr>
        <w:t>[24 CFR 5.609(b)(2) and 5.603(b)(4)]</w:t>
      </w:r>
    </w:p>
    <w:p w:rsidR="00B70ABE" w:rsidRPr="00B54141" w:rsidRDefault="00B70ABE" w:rsidP="00B70ABE">
      <w:pPr>
        <w:rPr>
          <w:bCs/>
        </w:rPr>
      </w:pPr>
      <w:r w:rsidRPr="00B54141">
        <w:t xml:space="preserve">This section discusses revocable and irrevocable trusts and whether they are included in net family assets.  </w:t>
      </w:r>
      <w:bookmarkStart w:id="27" w:name="_Hlk135304065"/>
      <w:r w:rsidRPr="00B54141">
        <w:rPr>
          <w:b/>
        </w:rPr>
        <w:t>No PHA policy decisions are required.</w:t>
      </w:r>
      <w:bookmarkEnd w:id="27"/>
    </w:p>
    <w:p w:rsidR="00B70ABE" w:rsidRPr="00B54141" w:rsidRDefault="00B70ABE" w:rsidP="00B70ABE">
      <w:pPr>
        <w:rPr>
          <w:b/>
          <w:bCs/>
          <w:i/>
        </w:rPr>
      </w:pPr>
      <w:r w:rsidRPr="00B54141">
        <w:rPr>
          <w:b/>
          <w:bCs/>
          <w:i/>
        </w:rPr>
        <w:t>Life Insurance [FR Notice 2/14/2323 and Notice PIH 2023-27]</w:t>
      </w:r>
    </w:p>
    <w:p w:rsidR="00B70ABE" w:rsidRPr="00B54141" w:rsidRDefault="00B70ABE" w:rsidP="00B70ABE">
      <w:pPr>
        <w:rPr>
          <w:b/>
        </w:rPr>
      </w:pPr>
      <w:r w:rsidRPr="00B54141">
        <w:t>While the cash value of an insurance policy is considered an asset, the face value of any policy is not.</w:t>
      </w:r>
      <w:r w:rsidRPr="00B54141">
        <w:rPr>
          <w:b/>
        </w:rPr>
        <w:t xml:space="preserve"> No PHA policy decisions are required.</w:t>
      </w:r>
    </w:p>
    <w:p w:rsidR="00B70ABE" w:rsidRPr="00B54141" w:rsidRDefault="00B70ABE" w:rsidP="00B70ABE">
      <w:pPr>
        <w:rPr>
          <w:b/>
          <w:bCs/>
          <w:i/>
        </w:rPr>
      </w:pPr>
      <w:r w:rsidRPr="00B54141">
        <w:rPr>
          <w:b/>
          <w:bCs/>
          <w:i/>
        </w:rPr>
        <w:t>Tax Refunds [24 CFR 5.603(b)(3)(xi) and Notice PIH 2023-27]</w:t>
      </w:r>
    </w:p>
    <w:p w:rsidR="00B70ABE" w:rsidRPr="00B54141" w:rsidRDefault="00B70ABE" w:rsidP="00B70ABE">
      <w:r w:rsidRPr="00B54141">
        <w:t xml:space="preserve">All amounts received by a family in the form of federal tax refunds or refundable tax credits are excluded from a family’s net family assets for a period of 12 months after receipt by the family. </w:t>
      </w:r>
      <w:r w:rsidRPr="00B54141">
        <w:rPr>
          <w:b/>
        </w:rPr>
        <w:t>No PHA policy decisions are required.</w:t>
      </w:r>
    </w:p>
    <w:p w:rsidR="00B70ABE" w:rsidRPr="00B54141" w:rsidRDefault="00B70ABE" w:rsidP="00B70ABE">
      <w:pPr>
        <w:rPr>
          <w:b/>
          <w:bCs/>
          <w:i/>
        </w:rPr>
      </w:pPr>
      <w:r w:rsidRPr="00B54141">
        <w:rPr>
          <w:b/>
          <w:bCs/>
          <w:i/>
        </w:rPr>
        <w:t>Asset Exclusions [24 CFR 5.603(b)]</w:t>
      </w:r>
    </w:p>
    <w:p w:rsidR="00B70ABE" w:rsidRPr="00B54141" w:rsidRDefault="00B70ABE" w:rsidP="00B70ABE">
      <w:pPr>
        <w:rPr>
          <w:b/>
          <w:bCs/>
          <w:iCs/>
        </w:rPr>
      </w:pPr>
      <w:r w:rsidRPr="00B54141">
        <w:rPr>
          <w:iCs/>
        </w:rPr>
        <w:t>24 CFR 5.603(b) lists asset exclusions.</w:t>
      </w:r>
      <w:r w:rsidRPr="00B54141">
        <w:rPr>
          <w:b/>
          <w:bCs/>
          <w:iCs/>
        </w:rPr>
        <w:t xml:space="preserve"> No PHA policy decisions are required.</w:t>
      </w:r>
    </w:p>
    <w:p w:rsidR="00B70ABE" w:rsidRDefault="00B70ABE">
      <w:pPr>
        <w:pStyle w:val="BodyText"/>
        <w:ind w:right="89"/>
      </w:pPr>
    </w:p>
    <w:p w:rsidR="00415ADD" w:rsidRDefault="00B70ABE">
      <w:pPr>
        <w:pStyle w:val="BodyText"/>
        <w:ind w:right="89"/>
        <w:rPr>
          <w:b/>
          <w:bCs/>
        </w:rPr>
      </w:pPr>
      <w:r w:rsidRPr="00B54141">
        <w:rPr>
          <w:b/>
          <w:bCs/>
        </w:rPr>
        <w:t>6-II.D. DETERMINING INCOME FROM ASSETS</w:t>
      </w:r>
    </w:p>
    <w:p w:rsidR="00987F91" w:rsidRDefault="00987F91">
      <w:pPr>
        <w:pStyle w:val="BodyText"/>
        <w:ind w:right="89"/>
        <w:rPr>
          <w:b/>
          <w:bCs/>
        </w:rPr>
      </w:pPr>
    </w:p>
    <w:p w:rsidR="00987F91" w:rsidRDefault="00987F91" w:rsidP="00987F91">
      <w:pPr>
        <w:rPr>
          <w:b/>
          <w:bCs/>
          <w:i/>
          <w:color w:val="FF0000"/>
        </w:rPr>
      </w:pPr>
      <w:bookmarkStart w:id="28" w:name="_Hlk179207300"/>
      <w:r w:rsidRPr="00987F91">
        <w:rPr>
          <w:b/>
          <w:bCs/>
          <w:i/>
          <w:color w:val="FF0000"/>
        </w:rPr>
        <w:t>Net Family Assets</w:t>
      </w:r>
    </w:p>
    <w:p w:rsidR="00843DA1" w:rsidRDefault="00843DA1" w:rsidP="00987F91">
      <w:pPr>
        <w:rPr>
          <w:b/>
          <w:bCs/>
          <w:i/>
          <w:color w:val="FF0000"/>
        </w:rPr>
      </w:pPr>
    </w:p>
    <w:p w:rsidR="00843DA1" w:rsidRPr="00B54141" w:rsidRDefault="00843DA1" w:rsidP="00843DA1">
      <w:r w:rsidRPr="00B54141">
        <w:t>This section defines net family assets.</w:t>
      </w:r>
    </w:p>
    <w:p w:rsidR="00843DA1" w:rsidRPr="00987F91" w:rsidRDefault="00843DA1" w:rsidP="00987F91">
      <w:pPr>
        <w:rPr>
          <w:b/>
          <w:bCs/>
          <w:i/>
          <w:color w:val="FF0000"/>
        </w:rPr>
      </w:pPr>
    </w:p>
    <w:bookmarkEnd w:id="28"/>
    <w:p w:rsidR="00987F91" w:rsidRDefault="00987F91">
      <w:pPr>
        <w:pStyle w:val="BodyText"/>
        <w:ind w:right="89"/>
        <w:rPr>
          <w:u w:val="single"/>
        </w:rPr>
      </w:pPr>
      <w:r>
        <w:rPr>
          <w:b/>
          <w:bCs/>
        </w:rPr>
        <w:lastRenderedPageBreak/>
        <w:t xml:space="preserve">       </w:t>
      </w:r>
      <w:r>
        <w:rPr>
          <w:u w:val="single"/>
        </w:rPr>
        <w:t>PHA Policy</w:t>
      </w:r>
    </w:p>
    <w:p w:rsidR="00987F91" w:rsidRDefault="00987F91">
      <w:pPr>
        <w:pStyle w:val="BodyText"/>
        <w:ind w:right="89"/>
        <w:rPr>
          <w:u w:val="single"/>
        </w:rPr>
      </w:pPr>
    </w:p>
    <w:p w:rsidR="00987F91" w:rsidRPr="00987F91" w:rsidRDefault="00987F91" w:rsidP="00987F91">
      <w:pPr>
        <w:ind w:left="1800"/>
        <w:rPr>
          <w:color w:val="FF0000"/>
        </w:rPr>
      </w:pPr>
      <w:bookmarkStart w:id="29" w:name="_Hlk179207318"/>
      <w:r w:rsidRPr="00987F91">
        <w:rPr>
          <w:color w:val="FF0000"/>
        </w:rPr>
        <w:t>Reasonable costs that would be incurred when disposing of an asset include, but are not limited to, penalties for premature withdrawal, broker and legal fees, and settlement costs incurred in real estate transactions [</w:t>
      </w:r>
      <w:r w:rsidRPr="00987F91">
        <w:rPr>
          <w:bCs/>
          <w:color w:val="FF0000"/>
        </w:rPr>
        <w:t xml:space="preserve">New PH OCC GB, </w:t>
      </w:r>
      <w:r w:rsidRPr="00987F91">
        <w:rPr>
          <w:bCs/>
          <w:i/>
          <w:iCs/>
          <w:color w:val="FF0000"/>
        </w:rPr>
        <w:t xml:space="preserve">Income Determinations, </w:t>
      </w:r>
      <w:r w:rsidRPr="00987F91">
        <w:rPr>
          <w:bCs/>
          <w:color w:val="FF0000"/>
        </w:rPr>
        <w:t>p. 24]</w:t>
      </w:r>
      <w:r w:rsidRPr="00987F91">
        <w:rPr>
          <w:color w:val="FF0000"/>
        </w:rPr>
        <w:t>.</w:t>
      </w:r>
    </w:p>
    <w:bookmarkEnd w:id="29"/>
    <w:p w:rsidR="00987F91" w:rsidRDefault="00987F91">
      <w:pPr>
        <w:pStyle w:val="BodyText"/>
        <w:ind w:right="89"/>
        <w:rPr>
          <w:b/>
          <w:bCs/>
        </w:rPr>
      </w:pPr>
    </w:p>
    <w:p w:rsidR="00B70ABE" w:rsidRDefault="00B70ABE">
      <w:pPr>
        <w:pStyle w:val="BodyText"/>
        <w:ind w:right="89"/>
      </w:pPr>
    </w:p>
    <w:p w:rsidR="00B70ABE" w:rsidRDefault="00B70ABE">
      <w:pPr>
        <w:pStyle w:val="BodyText"/>
        <w:ind w:right="89"/>
      </w:pPr>
    </w:p>
    <w:p w:rsidR="00987F91" w:rsidRDefault="00987F91">
      <w:pPr>
        <w:pStyle w:val="BodyText"/>
        <w:ind w:right="89"/>
      </w:pPr>
    </w:p>
    <w:p w:rsidR="004E13A5" w:rsidRDefault="00681463">
      <w:pPr>
        <w:pStyle w:val="Heading5"/>
        <w:rPr>
          <w:b w:val="0"/>
          <w:i w:val="0"/>
        </w:rPr>
      </w:pPr>
      <w:r>
        <w:t>Imputing Income from Assets [24 CFR 5.609(b)(3), Notice PIH 2012-29</w:t>
      </w:r>
      <w:r>
        <w:rPr>
          <w:b w:val="0"/>
          <w:i w:val="0"/>
        </w:rPr>
        <w:t>]</w:t>
      </w:r>
    </w:p>
    <w:p w:rsidR="004E13A5" w:rsidRDefault="00681463">
      <w:pPr>
        <w:pStyle w:val="BodyText"/>
        <w:ind w:right="82"/>
      </w:pPr>
      <w:r>
        <w:t>When net family assets are $5,000 or less, the PHA will include in annual income the actual income anticipated to be derived from the assets. When the family has net family assets in excess of $5,000, the PHA will include in annual income the greater of (1) the actual income derived from the assets or (2) the imputed income. Imputed income from assets is calculated by multiplying the total cash value of all family assets by an average passbook savings rate as determined by the PHA.</w:t>
      </w:r>
    </w:p>
    <w:p w:rsidR="004E13A5" w:rsidRDefault="00681463">
      <w:pPr>
        <w:pStyle w:val="ListParagraph"/>
        <w:numPr>
          <w:ilvl w:val="0"/>
          <w:numId w:val="93"/>
        </w:numPr>
        <w:tabs>
          <w:tab w:val="left" w:pos="460"/>
          <w:tab w:val="left" w:pos="461"/>
        </w:tabs>
        <w:ind w:right="127"/>
        <w:rPr>
          <w:rFonts w:ascii="Symbol" w:hAnsi="Symbol"/>
          <w:sz w:val="24"/>
        </w:rPr>
      </w:pPr>
      <w:r>
        <w:rPr>
          <w:sz w:val="24"/>
        </w:rPr>
        <w:t>Note: The HUD field office no longer provides an interest rate for imputed asset income. The “safe harbor” is now for the PHA to establish a passbook rate within 0.75 percent of a national</w:t>
      </w:r>
      <w:r>
        <w:rPr>
          <w:spacing w:val="-6"/>
          <w:sz w:val="24"/>
        </w:rPr>
        <w:t xml:space="preserve"> </w:t>
      </w:r>
      <w:r>
        <w:rPr>
          <w:sz w:val="24"/>
        </w:rPr>
        <w:t>average.</w:t>
      </w:r>
    </w:p>
    <w:p w:rsidR="004E13A5" w:rsidRDefault="00681463">
      <w:pPr>
        <w:pStyle w:val="ListParagraph"/>
        <w:numPr>
          <w:ilvl w:val="0"/>
          <w:numId w:val="93"/>
        </w:numPr>
        <w:tabs>
          <w:tab w:val="left" w:pos="460"/>
          <w:tab w:val="left" w:pos="461"/>
        </w:tabs>
        <w:ind w:right="117"/>
        <w:rPr>
          <w:rFonts w:ascii="Symbol"/>
          <w:sz w:val="24"/>
        </w:rPr>
      </w:pPr>
      <w:r>
        <w:rPr>
          <w:sz w:val="24"/>
        </w:rPr>
        <w:t>The PHA must review its passbook rate annually to ensure that it remains within 0.75</w:t>
      </w:r>
      <w:r>
        <w:rPr>
          <w:spacing w:val="-15"/>
          <w:sz w:val="24"/>
        </w:rPr>
        <w:t xml:space="preserve"> </w:t>
      </w:r>
      <w:r>
        <w:rPr>
          <w:sz w:val="24"/>
        </w:rPr>
        <w:t>percent of the national</w:t>
      </w:r>
      <w:r>
        <w:rPr>
          <w:spacing w:val="-6"/>
          <w:sz w:val="24"/>
        </w:rPr>
        <w:t xml:space="preserve"> </w:t>
      </w:r>
      <w:r>
        <w:rPr>
          <w:sz w:val="24"/>
        </w:rPr>
        <w:t>average.</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allow the family to self-certify the estimated value of assets less than</w:t>
      </w:r>
    </w:p>
    <w:p w:rsidR="004E13A5" w:rsidRDefault="00681463">
      <w:pPr>
        <w:pStyle w:val="BodyText"/>
        <w:spacing w:before="0"/>
        <w:ind w:left="820"/>
      </w:pPr>
      <w:r>
        <w:t>$5000.</w:t>
      </w:r>
    </w:p>
    <w:p w:rsidR="004E13A5" w:rsidRDefault="00681463">
      <w:pPr>
        <w:pStyle w:val="BodyText"/>
        <w:spacing w:before="120"/>
        <w:ind w:left="820" w:right="308"/>
      </w:pPr>
      <w:r>
        <w:t>The PHA initially set the imputed asset passbook rate at the national rate established by the Federal Deposit Insurance Corporation (FDIC).</w:t>
      </w:r>
    </w:p>
    <w:p w:rsidR="004E13A5" w:rsidRDefault="00681463">
      <w:pPr>
        <w:pStyle w:val="BodyText"/>
        <w:spacing w:before="120"/>
        <w:ind w:left="820" w:right="149"/>
      </w:pPr>
      <w:r>
        <w:t>The PHA will review the passbook rate annually. The rate will not be adjusted unless the current PHA rate is no longer within 0.75 percent of the national rate. If it is no longer within 0.75 percent of the national rate, the passbook rate will be set at the current national rate.</w:t>
      </w:r>
    </w:p>
    <w:p w:rsidR="004E13A5" w:rsidRDefault="00681463">
      <w:pPr>
        <w:pStyle w:val="BodyText"/>
        <w:ind w:left="820" w:right="376"/>
      </w:pPr>
      <w:r>
        <w:t>The effective date of changes to the passbook rate will be determined at the time of the review.</w:t>
      </w:r>
    </w:p>
    <w:p w:rsidR="004E13A5" w:rsidRDefault="00681463">
      <w:pPr>
        <w:pStyle w:val="Heading5"/>
      </w:pPr>
      <w:r>
        <w:t>Determining Actual Anticipated Income from Assets</w:t>
      </w:r>
    </w:p>
    <w:p w:rsidR="004E13A5" w:rsidRDefault="00681463">
      <w:pPr>
        <w:pStyle w:val="BodyText"/>
      </w:pPr>
      <w:r>
        <w:t>It may or may not be necessary for the PHA to use the value of an asset to compute the actual anticipated income from the asset. When the value is required to compute the anticipated income</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right="276"/>
      </w:pPr>
      <w:r>
        <w:lastRenderedPageBreak/>
        <w:t>from an asset, the market value of the asset is used. For example, if the asset is a property for which a family receives rental income, the anticipated income is determined by annualizing the actual monthly rental amount received for the property; it is not based on the property’s market value. However, if the asset is a savings account, the anticipated income is determined by multiplying the market value of the account by the interest rate on the account.</w:t>
      </w:r>
    </w:p>
    <w:p w:rsidR="004E13A5" w:rsidRDefault="00681463">
      <w:pPr>
        <w:pStyle w:val="Heading5"/>
      </w:pPr>
      <w:r>
        <w:t>Withdrawal of Cash or Liquidation of Investments</w:t>
      </w:r>
    </w:p>
    <w:p w:rsidR="004E13A5" w:rsidRDefault="00681463">
      <w:pPr>
        <w:pStyle w:val="BodyText"/>
        <w:ind w:right="149"/>
      </w:pPr>
      <w:r>
        <w:t>Any withdrawal of cash or assets from an investment will be included in income except to the extent that the withdrawal reimburses amounts invested by the family. For example, when a family member retires, the amount received by the family from a retirement investment plan is not counted as income until the family has received payments equal to the amount the family member deposited into the retirement investment plan.</w:t>
      </w:r>
    </w:p>
    <w:p w:rsidR="004E13A5" w:rsidRDefault="00681463">
      <w:pPr>
        <w:pStyle w:val="Heading5"/>
      </w:pPr>
      <w:r>
        <w:t>Jointly Owned Assets</w:t>
      </w:r>
    </w:p>
    <w:p w:rsidR="004E13A5" w:rsidRDefault="00681463">
      <w:pPr>
        <w:pStyle w:val="BodyText"/>
        <w:spacing w:before="120"/>
        <w:ind w:right="62"/>
      </w:pPr>
      <w:r>
        <w:t>The regulation at 24 CFR 5.609(a)(4) specifies that annual income includes “amounts derived (during the 12-month period) from assets to which any member of the family has access.”</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 xml:space="preserve">If an asset is owned by more than one person and any family member has unrestricted access to the asset, the PHA will count the full value of the asset. A family member has unrestricted access to an asset when </w:t>
      </w:r>
      <w:r w:rsidR="00843DA1">
        <w:t>they can</w:t>
      </w:r>
      <w:r>
        <w:t xml:space="preserve"> legally dispose of the asset without the consent of any of the other owners.</w:t>
      </w:r>
    </w:p>
    <w:p w:rsidR="004E13A5" w:rsidRDefault="00681463">
      <w:pPr>
        <w:pStyle w:val="BodyText"/>
        <w:spacing w:before="120"/>
        <w:ind w:left="820" w:right="96"/>
      </w:pPr>
      <w:r>
        <w:t>If an asset is owned by more than one person, including a family member, but the family member does not have unrestricted access to the asset, the PHA will prorate the asset according to the percentage of ownership. If no percentage is specified or provided for by state or local law, the PHA will prorate the asset evenly among all owners.</w:t>
      </w:r>
    </w:p>
    <w:p w:rsidR="004E13A5" w:rsidRDefault="00681463">
      <w:pPr>
        <w:pStyle w:val="Heading5"/>
        <w:spacing w:before="120"/>
      </w:pPr>
      <w:r>
        <w:t>Assets Disposed of for Less than Fair Market Value [24 CFR 5.603(b)]</w:t>
      </w:r>
    </w:p>
    <w:p w:rsidR="004E13A5" w:rsidRDefault="00681463">
      <w:pPr>
        <w:pStyle w:val="BodyText"/>
        <w:spacing w:before="120"/>
        <w:ind w:right="149"/>
      </w:pPr>
      <w:r>
        <w:t>HUD regulations require the PHA to count as a current asset any business or family asset that was disposed of for less than fair market value during the two years prior to the effective date of the examination/reexamination, except as noted below.</w:t>
      </w:r>
    </w:p>
    <w:p w:rsidR="004E13A5" w:rsidRDefault="00681463">
      <w:pPr>
        <w:pStyle w:val="Heading5"/>
        <w:spacing w:before="120"/>
      </w:pPr>
      <w:r>
        <w:t>Minimum Threshold</w:t>
      </w:r>
    </w:p>
    <w:p w:rsidR="004E13A5" w:rsidRDefault="00681463">
      <w:pPr>
        <w:pStyle w:val="BodyText"/>
        <w:spacing w:before="120"/>
        <w:ind w:right="194"/>
      </w:pPr>
      <w:r>
        <w:t xml:space="preserve">The </w:t>
      </w:r>
      <w:r>
        <w:rPr>
          <w:i/>
        </w:rPr>
        <w:t xml:space="preserve">HCV Guidebook </w:t>
      </w:r>
      <w:r>
        <w:t>permits the PHA to set a threshold below which assets disposed of for less than fair market value will not be counted [HCV GB, p. 5-27].</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The PHA will not include the value of assets disposed of for less than fair market value unless the cumulative fair market value of all assets disposed of during the past two years exceeds the gross amount received for the assets by more than $1,000.</w:t>
      </w:r>
    </w:p>
    <w:p w:rsidR="004E13A5" w:rsidRDefault="00681463">
      <w:pPr>
        <w:pStyle w:val="BodyText"/>
        <w:spacing w:before="120"/>
        <w:ind w:left="820" w:right="663"/>
        <w:jc w:val="both"/>
      </w:pPr>
      <w:r>
        <w:t>When the two-year period expires, the income assigned to the disposed asset(s)</w:t>
      </w:r>
      <w:r>
        <w:rPr>
          <w:spacing w:val="-14"/>
        </w:rPr>
        <w:t xml:space="preserve"> </w:t>
      </w:r>
      <w:r>
        <w:t xml:space="preserve">also expires. </w:t>
      </w:r>
      <w:r>
        <w:rPr>
          <w:spacing w:val="-3"/>
        </w:rPr>
        <w:t xml:space="preserve">If </w:t>
      </w:r>
      <w:r>
        <w:t>the two-year period ends between annual recertifications, the family may request an interim recertification to eliminate consideration of the</w:t>
      </w:r>
      <w:r>
        <w:rPr>
          <w:spacing w:val="-12"/>
        </w:rPr>
        <w:t xml:space="preserve"> </w:t>
      </w:r>
      <w:r>
        <w:t>asset(s).</w:t>
      </w:r>
    </w:p>
    <w:p w:rsidR="004E13A5" w:rsidRDefault="00681463">
      <w:pPr>
        <w:pStyle w:val="BodyText"/>
        <w:spacing w:before="120"/>
        <w:ind w:left="820" w:right="261"/>
        <w:jc w:val="both"/>
      </w:pPr>
      <w:r>
        <w:t>Assets placed by the family in Nonrevocable trusts are considered assets disposed of for less than fair market value except when the assets placed in trust were received through settlements or judgments.</w:t>
      </w:r>
    </w:p>
    <w:p w:rsidR="004E13A5" w:rsidRDefault="004E13A5">
      <w:pPr>
        <w:jc w:val="both"/>
        <w:sectPr w:rsidR="004E13A5">
          <w:pgSz w:w="12240" w:h="15840"/>
          <w:pgMar w:top="1360" w:right="1360" w:bottom="640" w:left="1340" w:header="0" w:footer="441" w:gutter="0"/>
          <w:cols w:space="720"/>
        </w:sectPr>
      </w:pPr>
    </w:p>
    <w:p w:rsidR="004E13A5" w:rsidRDefault="00681463">
      <w:pPr>
        <w:pStyle w:val="BodyText"/>
        <w:spacing w:before="120"/>
        <w:ind w:right="262"/>
      </w:pPr>
      <w:r>
        <w:lastRenderedPageBreak/>
        <w:t>.</w:t>
      </w:r>
    </w:p>
    <w:p w:rsidR="004E13A5" w:rsidRDefault="00681463">
      <w:pPr>
        <w:pStyle w:val="Heading5"/>
        <w:spacing w:before="120"/>
      </w:pPr>
      <w:r>
        <w:t>Investment Accounts Such as Stocks, Bonds, Saving Certificates, and Money Market Funds</w:t>
      </w:r>
    </w:p>
    <w:p w:rsidR="004E13A5" w:rsidRDefault="00681463">
      <w:pPr>
        <w:pStyle w:val="BodyText"/>
        <w:ind w:right="63"/>
      </w:pPr>
      <w:r>
        <w:t>Interest or dividends earned by investment accounts are counted as actual income from assets even when the earnings are reinvested. The cash value of such an asset is determined by deducting from the market value any broker fees, penalties for early withdrawal, or other costs of converting the asset to cash.</w:t>
      </w:r>
    </w:p>
    <w:p w:rsidR="004E13A5" w:rsidRDefault="00681463">
      <w:pPr>
        <w:pStyle w:val="BodyText"/>
        <w:ind w:left="820"/>
      </w:pPr>
      <w:r>
        <w:rPr>
          <w:u w:val="single"/>
        </w:rPr>
        <w:t>PHA Policy</w:t>
      </w:r>
    </w:p>
    <w:p w:rsidR="004E13A5" w:rsidRDefault="00681463">
      <w:pPr>
        <w:pStyle w:val="BodyText"/>
        <w:ind w:left="820" w:right="195"/>
      </w:pPr>
      <w:r>
        <w:t>In determining the market value of an investment account, the PHA will use the value of the account on the most recent investment report.</w:t>
      </w:r>
    </w:p>
    <w:p w:rsidR="004E13A5" w:rsidRDefault="004E13A5">
      <w:pPr>
        <w:sectPr w:rsidR="004E13A5">
          <w:pgSz w:w="12240" w:h="15840"/>
          <w:pgMar w:top="1360" w:right="1360" w:bottom="640" w:left="1340" w:header="0" w:footer="441" w:gutter="0"/>
          <w:cols w:space="720"/>
        </w:sectPr>
      </w:pPr>
    </w:p>
    <w:p w:rsidR="004E13A5" w:rsidRDefault="00681463">
      <w:pPr>
        <w:pStyle w:val="BodyText"/>
        <w:spacing w:before="79"/>
        <w:ind w:left="820" w:right="742"/>
      </w:pPr>
      <w:r>
        <w:lastRenderedPageBreak/>
        <w:t>How anticipated income from an investment account will be calculated depends on whether the rate of return is known.</w:t>
      </w:r>
    </w:p>
    <w:p w:rsidR="004E13A5" w:rsidRDefault="00681463">
      <w:pPr>
        <w:pStyle w:val="BodyText"/>
        <w:ind w:left="1540"/>
      </w:pPr>
      <w:r>
        <w:t>For assets that are held in an investment account with a known rate of return (e.g., savings certificates), asset income will be calculated based on that known rate (market value multiplied by rate of earnings).</w:t>
      </w:r>
    </w:p>
    <w:p w:rsidR="004E13A5" w:rsidRDefault="00681463">
      <w:pPr>
        <w:pStyle w:val="BodyText"/>
        <w:ind w:left="1540" w:right="182"/>
      </w:pPr>
      <w:r>
        <w:t>When the anticipated rate of return is not known (e.g., stocks), the PHA will calculate asset income based on the earnings for the most recent reporting period.</w:t>
      </w:r>
    </w:p>
    <w:p w:rsidR="004E13A5" w:rsidRDefault="00681463">
      <w:pPr>
        <w:pStyle w:val="Heading5"/>
      </w:pPr>
      <w:r>
        <w:t>Equity in Real Property or Other Capital Investments</w:t>
      </w:r>
    </w:p>
    <w:p w:rsidR="004E13A5" w:rsidRDefault="00681463">
      <w:pPr>
        <w:pStyle w:val="BodyText"/>
        <w:ind w:right="349"/>
        <w:jc w:val="both"/>
      </w:pPr>
      <w:r>
        <w:t>Equity (cash value) in a property or other capital asset is the estimated current market value of the asset less the unpaid balance on all loans secured by the asset and reasonable costs (such as broker fees) that would be incurred in selling the asset [HCV GB, p. 5-25].</w:t>
      </w:r>
    </w:p>
    <w:p w:rsidR="004E13A5" w:rsidRDefault="00681463">
      <w:pPr>
        <w:pStyle w:val="BodyText"/>
        <w:spacing w:before="120"/>
        <w:ind w:left="820"/>
      </w:pPr>
      <w:r>
        <w:rPr>
          <w:u w:val="single"/>
        </w:rPr>
        <w:t>PHA Policy</w:t>
      </w:r>
    </w:p>
    <w:p w:rsidR="004E13A5" w:rsidRDefault="00681463">
      <w:pPr>
        <w:pStyle w:val="BodyText"/>
        <w:spacing w:before="120"/>
        <w:ind w:left="820" w:right="301"/>
      </w:pPr>
      <w:r>
        <w:t>In determining the equity, the PHA will determine market value by examining recent sales of at least three properties in the surrounding or similar neighborhood that possess comparable factors that affect market value.</w:t>
      </w:r>
    </w:p>
    <w:p w:rsidR="004E13A5" w:rsidRDefault="00681463">
      <w:pPr>
        <w:pStyle w:val="BodyText"/>
        <w:spacing w:before="120"/>
        <w:ind w:left="820" w:right="202"/>
      </w:pPr>
      <w:r>
        <w:t>The PHA will first use the payoff amount for the loan (mortgage) as the unpaid balance to calculate equity. If the payoff amount is not available, the PHA will use the basic loan balance information to deduct from the market value in the equity calculation.</w:t>
      </w:r>
    </w:p>
    <w:p w:rsidR="004E13A5" w:rsidRDefault="00681463">
      <w:pPr>
        <w:pStyle w:val="BodyText"/>
        <w:spacing w:before="120"/>
        <w:ind w:right="262"/>
      </w:pPr>
      <w:r>
        <w:t xml:space="preserve">Equity in real property and other capital investments is considered in the calculation of asset income </w:t>
      </w:r>
      <w:r>
        <w:rPr>
          <w:b/>
          <w:u w:val="thick"/>
        </w:rPr>
        <w:t xml:space="preserve">except </w:t>
      </w:r>
      <w:r>
        <w:t>for the following types of assets:</w:t>
      </w:r>
    </w:p>
    <w:p w:rsidR="004E13A5" w:rsidRDefault="00681463">
      <w:pPr>
        <w:pStyle w:val="ListParagraph"/>
        <w:numPr>
          <w:ilvl w:val="0"/>
          <w:numId w:val="93"/>
        </w:numPr>
        <w:tabs>
          <w:tab w:val="left" w:pos="460"/>
          <w:tab w:val="left" w:pos="461"/>
        </w:tabs>
        <w:rPr>
          <w:rFonts w:ascii="Symbol"/>
          <w:sz w:val="24"/>
        </w:rPr>
      </w:pPr>
      <w:r>
        <w:rPr>
          <w:sz w:val="24"/>
        </w:rPr>
        <w:t>Equity accounts in HUD homeownership programs [24</w:t>
      </w:r>
      <w:r>
        <w:rPr>
          <w:spacing w:val="-8"/>
          <w:sz w:val="24"/>
        </w:rPr>
        <w:t xml:space="preserve"> </w:t>
      </w:r>
      <w:r>
        <w:rPr>
          <w:sz w:val="24"/>
        </w:rPr>
        <w:t>CFR5.603(b)]</w:t>
      </w:r>
    </w:p>
    <w:p w:rsidR="004E13A5" w:rsidRDefault="00681463">
      <w:pPr>
        <w:pStyle w:val="ListParagraph"/>
        <w:numPr>
          <w:ilvl w:val="0"/>
          <w:numId w:val="93"/>
        </w:numPr>
        <w:tabs>
          <w:tab w:val="left" w:pos="460"/>
          <w:tab w:val="left" w:pos="461"/>
        </w:tabs>
        <w:spacing w:before="118"/>
        <w:ind w:right="453"/>
        <w:rPr>
          <w:rFonts w:ascii="Symbol"/>
          <w:sz w:val="24"/>
        </w:rPr>
      </w:pPr>
      <w:r>
        <w:rPr>
          <w:sz w:val="24"/>
        </w:rPr>
        <w:t>The value of a home currently being purchased with assistance under the HCV program Homeownership Option for the first 10 years after the purchase date of the home [24 CFR 5.603(b), Notice PIH</w:t>
      </w:r>
      <w:r>
        <w:rPr>
          <w:spacing w:val="-6"/>
          <w:sz w:val="24"/>
        </w:rPr>
        <w:t xml:space="preserve"> </w:t>
      </w:r>
      <w:r>
        <w:rPr>
          <w:sz w:val="24"/>
        </w:rPr>
        <w:t>2012-3]</w:t>
      </w:r>
    </w:p>
    <w:p w:rsidR="004E13A5" w:rsidRDefault="00681463">
      <w:pPr>
        <w:pStyle w:val="ListParagraph"/>
        <w:numPr>
          <w:ilvl w:val="0"/>
          <w:numId w:val="93"/>
        </w:numPr>
        <w:tabs>
          <w:tab w:val="left" w:pos="460"/>
          <w:tab w:val="left" w:pos="461"/>
        </w:tabs>
        <w:ind w:right="417"/>
        <w:rPr>
          <w:rFonts w:ascii="Symbol"/>
          <w:sz w:val="24"/>
        </w:rPr>
      </w:pPr>
      <w:r>
        <w:rPr>
          <w:sz w:val="24"/>
        </w:rPr>
        <w:t>Equity in owner-occupied cooperatives and manufactured homes in which the family</w:t>
      </w:r>
      <w:r>
        <w:rPr>
          <w:spacing w:val="-16"/>
          <w:sz w:val="24"/>
        </w:rPr>
        <w:t xml:space="preserve"> </w:t>
      </w:r>
      <w:r>
        <w:rPr>
          <w:sz w:val="24"/>
        </w:rPr>
        <w:t>lives [HCV GB, p.</w:t>
      </w:r>
      <w:r>
        <w:rPr>
          <w:spacing w:val="-4"/>
          <w:sz w:val="24"/>
        </w:rPr>
        <w:t xml:space="preserve"> </w:t>
      </w:r>
      <w:r>
        <w:rPr>
          <w:sz w:val="24"/>
        </w:rPr>
        <w:t>5-25]</w:t>
      </w:r>
    </w:p>
    <w:p w:rsidR="004E13A5" w:rsidRDefault="00681463">
      <w:pPr>
        <w:pStyle w:val="ListParagraph"/>
        <w:numPr>
          <w:ilvl w:val="0"/>
          <w:numId w:val="93"/>
        </w:numPr>
        <w:tabs>
          <w:tab w:val="left" w:pos="461"/>
        </w:tabs>
        <w:ind w:right="230"/>
        <w:jc w:val="both"/>
        <w:rPr>
          <w:rFonts w:ascii="Symbol" w:hAnsi="Symbol"/>
          <w:sz w:val="24"/>
        </w:rPr>
      </w:pPr>
      <w:r>
        <w:rPr>
          <w:sz w:val="24"/>
        </w:rPr>
        <w:t>Equity in real property when a family member’s main occupation is real estate [HCV GB,</w:t>
      </w:r>
      <w:r>
        <w:rPr>
          <w:spacing w:val="-14"/>
          <w:sz w:val="24"/>
        </w:rPr>
        <w:t xml:space="preserve"> </w:t>
      </w:r>
      <w:r>
        <w:rPr>
          <w:sz w:val="24"/>
        </w:rPr>
        <w:t>p. 5-25]. This real estate is considered a business asset, and income related to this asset will be calculated as described in section</w:t>
      </w:r>
      <w:r>
        <w:rPr>
          <w:spacing w:val="-8"/>
          <w:sz w:val="24"/>
        </w:rPr>
        <w:t xml:space="preserve"> </w:t>
      </w:r>
      <w:r>
        <w:rPr>
          <w:sz w:val="24"/>
        </w:rPr>
        <w:t>6-I.F.</w:t>
      </w:r>
    </w:p>
    <w:p w:rsidR="004E13A5" w:rsidRDefault="00681463">
      <w:pPr>
        <w:pStyle w:val="ListParagraph"/>
        <w:numPr>
          <w:ilvl w:val="0"/>
          <w:numId w:val="93"/>
        </w:numPr>
        <w:tabs>
          <w:tab w:val="left" w:pos="460"/>
          <w:tab w:val="left" w:pos="461"/>
        </w:tabs>
        <w:rPr>
          <w:rFonts w:ascii="Symbol"/>
          <w:sz w:val="24"/>
        </w:rPr>
      </w:pPr>
      <w:r>
        <w:rPr>
          <w:sz w:val="24"/>
        </w:rPr>
        <w:t>Interests in Indian Trust lands [24 CFR</w:t>
      </w:r>
      <w:r>
        <w:rPr>
          <w:spacing w:val="-10"/>
          <w:sz w:val="24"/>
        </w:rPr>
        <w:t xml:space="preserve"> </w:t>
      </w:r>
      <w:r>
        <w:rPr>
          <w:sz w:val="24"/>
        </w:rPr>
        <w:t>5.603(b)]</w:t>
      </w:r>
    </w:p>
    <w:p w:rsidR="004E13A5" w:rsidRDefault="00681463">
      <w:pPr>
        <w:pStyle w:val="ListParagraph"/>
        <w:numPr>
          <w:ilvl w:val="0"/>
          <w:numId w:val="93"/>
        </w:numPr>
        <w:tabs>
          <w:tab w:val="left" w:pos="460"/>
          <w:tab w:val="left" w:pos="461"/>
        </w:tabs>
        <w:spacing w:before="121"/>
        <w:ind w:right="108"/>
        <w:rPr>
          <w:rFonts w:ascii="Symbol"/>
          <w:sz w:val="24"/>
        </w:rPr>
      </w:pPr>
      <w:r>
        <w:rPr>
          <w:sz w:val="24"/>
        </w:rPr>
        <w:t>Real property and capital assets that are part of an active business or farming operation</w:t>
      </w:r>
      <w:r>
        <w:rPr>
          <w:spacing w:val="-12"/>
          <w:sz w:val="24"/>
        </w:rPr>
        <w:t xml:space="preserve"> </w:t>
      </w:r>
      <w:r>
        <w:rPr>
          <w:sz w:val="24"/>
        </w:rPr>
        <w:t>[HCV GB, p.</w:t>
      </w:r>
      <w:r>
        <w:rPr>
          <w:spacing w:val="-6"/>
          <w:sz w:val="24"/>
        </w:rPr>
        <w:t xml:space="preserve"> </w:t>
      </w:r>
      <w:r>
        <w:rPr>
          <w:sz w:val="24"/>
        </w:rPr>
        <w:t>5-25]</w:t>
      </w:r>
    </w:p>
    <w:p w:rsidR="004E13A5" w:rsidRDefault="00681463">
      <w:pPr>
        <w:pStyle w:val="BodyText"/>
        <w:spacing w:before="120"/>
        <w:ind w:right="149"/>
      </w:pPr>
      <w:r>
        <w:t>The PHA must also deduct from the equity the reasonable costs for converting the asset to cash. Using the formula for calculating equity specified above, the net cash value of real property is the market value minus the balance of the loan (mortgage) minus the expenses to convert to cash [Notice PIH 2012-3].</w:t>
      </w:r>
    </w:p>
    <w:p w:rsidR="004E13A5" w:rsidRDefault="00681463">
      <w:pPr>
        <w:pStyle w:val="BodyText"/>
        <w:ind w:left="820"/>
      </w:pPr>
      <w:r>
        <w:rPr>
          <w:u w:val="single"/>
        </w:rPr>
        <w:t>PHA Policy</w:t>
      </w:r>
    </w:p>
    <w:p w:rsidR="004E13A5" w:rsidRDefault="00681463">
      <w:pPr>
        <w:pStyle w:val="BodyText"/>
        <w:ind w:left="820" w:right="475"/>
      </w:pPr>
      <w:r>
        <w:t>For the purposes of calculating expenses to convert to cash for real property, the PHA will use ten percent of the market value of the home.</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right="182"/>
      </w:pPr>
      <w:r>
        <w:lastRenderedPageBreak/>
        <w:t>A family may have real property as an asset in two ways: (1) owning the property itself and (2) holding a mortgage or deed of trust on the property. In the case of a property owned by a family member, the anticipated asset income generally will be in the form of rent or other payment for the use of the property. If the property generates no income, actual anticipated income from the asset will be zero.</w:t>
      </w:r>
    </w:p>
    <w:p w:rsidR="004E13A5" w:rsidRDefault="00681463">
      <w:pPr>
        <w:pStyle w:val="BodyText"/>
        <w:ind w:right="120"/>
      </w:pPr>
      <w:r>
        <w:t>In the case of a mortgage or deed of trust held by a family member, the outstanding balance (unpaid principal) is the cash value of the asset. The interest portion only of payments made to the family in accordance with the terms of the mortgage or deed of trust is counted as anticipated asset income.</w:t>
      </w:r>
    </w:p>
    <w:p w:rsidR="004E13A5" w:rsidRDefault="00681463">
      <w:pPr>
        <w:pStyle w:val="BodyText"/>
        <w:ind w:left="820"/>
      </w:pPr>
      <w:r>
        <w:rPr>
          <w:u w:val="single"/>
        </w:rPr>
        <w:t>PHA Policy</w:t>
      </w:r>
    </w:p>
    <w:p w:rsidR="004E13A5" w:rsidRDefault="00681463">
      <w:pPr>
        <w:pStyle w:val="BodyText"/>
        <w:ind w:left="820"/>
      </w:pPr>
      <w:r>
        <w:t>In the case of capital investments owned jointly with others not living in a family’s unit, a prorated share of the property’s cash value will be counted as an asset unless the PHA determines that the family receives no income from the property and is unable to sell or otherwise convert the asset to cash.</w:t>
      </w:r>
    </w:p>
    <w:p w:rsidR="004E13A5" w:rsidRDefault="00681463">
      <w:pPr>
        <w:pStyle w:val="Heading5"/>
      </w:pPr>
      <w:r>
        <w:t>Trusts</w:t>
      </w:r>
    </w:p>
    <w:p w:rsidR="004E13A5" w:rsidRDefault="00681463">
      <w:pPr>
        <w:pStyle w:val="BodyText"/>
        <w:ind w:right="210"/>
      </w:pPr>
      <w:r>
        <w:t xml:space="preserve">A </w:t>
      </w:r>
      <w:r>
        <w:rPr>
          <w:i/>
        </w:rPr>
        <w:t xml:space="preserve">trust </w:t>
      </w:r>
      <w:r>
        <w:t>is a legal arrangement generally regulated by state law in which one party (the creator or grantor) transfers property to a second party (the trustee) who holds the property for the benefit of one or more third parties (the beneficiaries).</w:t>
      </w:r>
    </w:p>
    <w:p w:rsidR="004E13A5" w:rsidRDefault="00681463">
      <w:pPr>
        <w:spacing w:before="119"/>
        <w:ind w:left="100"/>
        <w:rPr>
          <w:i/>
          <w:sz w:val="24"/>
        </w:rPr>
      </w:pPr>
      <w:r>
        <w:rPr>
          <w:i/>
          <w:sz w:val="24"/>
        </w:rPr>
        <w:t>Revocable Trusts</w:t>
      </w:r>
    </w:p>
    <w:p w:rsidR="004E13A5" w:rsidRDefault="00681463">
      <w:pPr>
        <w:pStyle w:val="BodyText"/>
        <w:ind w:right="202"/>
      </w:pPr>
      <w:r>
        <w:t>If any member of a family has the right to withdraw the funds in a trust, the value of the trust is considered an asset [HCV GB, p. 5-25]. Any income earned as a result of investment of trust funds is counted as actual asset income, whether the income is paid to the family or deposited in the trust.</w:t>
      </w:r>
    </w:p>
    <w:p w:rsidR="004E13A5" w:rsidRDefault="00681463">
      <w:pPr>
        <w:spacing w:before="119"/>
        <w:ind w:left="100"/>
        <w:rPr>
          <w:i/>
          <w:sz w:val="24"/>
        </w:rPr>
      </w:pPr>
      <w:r>
        <w:rPr>
          <w:i/>
          <w:sz w:val="24"/>
        </w:rPr>
        <w:t>Nonrevocable Trusts</w:t>
      </w:r>
    </w:p>
    <w:p w:rsidR="004E13A5" w:rsidRDefault="00681463">
      <w:pPr>
        <w:pStyle w:val="BodyText"/>
        <w:ind w:right="82"/>
      </w:pPr>
      <w:r>
        <w:t>In cases where a trust is not revocable by, or under the control of, any member of a family, the value of the trust fund is not considered an asset. However, any income distributed to the family from such a trust is counted as a periodic payment or a lump-sum receipt, as appropriate [24 CFR 5.603(b)]. (Periodic payments are covered in section 6-I.H. Lump-sum receipts are discussed earlier in this section.)</w:t>
      </w:r>
    </w:p>
    <w:p w:rsidR="004E13A5" w:rsidRDefault="00681463">
      <w:pPr>
        <w:pStyle w:val="Heading5"/>
      </w:pPr>
      <w:r>
        <w:t>Retirement Accounts</w:t>
      </w:r>
    </w:p>
    <w:p w:rsidR="004E13A5" w:rsidRDefault="00681463">
      <w:pPr>
        <w:spacing w:before="119"/>
        <w:ind w:left="100"/>
        <w:rPr>
          <w:i/>
          <w:sz w:val="24"/>
        </w:rPr>
      </w:pPr>
      <w:r>
        <w:rPr>
          <w:i/>
          <w:sz w:val="24"/>
        </w:rPr>
        <w:t>Company Retirement/Pension Accounts</w:t>
      </w:r>
    </w:p>
    <w:p w:rsidR="004E13A5" w:rsidRDefault="00681463">
      <w:pPr>
        <w:pStyle w:val="BodyText"/>
        <w:ind w:right="262"/>
      </w:pPr>
      <w:r>
        <w:t>In order to correctly include or exclude as an asset any amount held in a company retirement or pension account by an employed person, the PHA must know whether the money is accessible before retirement [HCV GB, p. 5-26].</w:t>
      </w:r>
    </w:p>
    <w:p w:rsidR="004E13A5" w:rsidRDefault="00681463">
      <w:pPr>
        <w:pStyle w:val="BodyText"/>
        <w:ind w:right="209"/>
      </w:pPr>
      <w:r>
        <w:t>While a family member is employed, only the amount the family member can withdraw without retiring or terminating employment is counted as an asset [HCV GB, p. 5-26].</w:t>
      </w:r>
    </w:p>
    <w:p w:rsidR="004E13A5" w:rsidRDefault="00681463">
      <w:pPr>
        <w:pStyle w:val="BodyText"/>
        <w:ind w:right="209"/>
      </w:pPr>
      <w:r>
        <w:t>After a family member retires or terminates employment, any amount distributed to the family member is counted as a periodic payment or a lump-sum receipt, as appropriate [HCV GB, p. 5- 26], except to the extent that it represents funds invested in the account by the family member. (For more on periodic payments, see section 6-I.H.) The balance in the account is counted as an asset only if it remains accessible to the family member.</w:t>
      </w:r>
    </w:p>
    <w:p w:rsidR="004E13A5" w:rsidRDefault="004E13A5">
      <w:pPr>
        <w:sectPr w:rsidR="004E13A5">
          <w:pgSz w:w="12240" w:h="15840"/>
          <w:pgMar w:top="1360" w:right="1340" w:bottom="640" w:left="1340" w:header="0" w:footer="441" w:gutter="0"/>
          <w:cols w:space="720"/>
        </w:sectPr>
      </w:pPr>
    </w:p>
    <w:p w:rsidR="004E13A5" w:rsidRDefault="00681463">
      <w:pPr>
        <w:spacing w:before="79"/>
        <w:ind w:left="100"/>
        <w:rPr>
          <w:i/>
          <w:sz w:val="24"/>
        </w:rPr>
      </w:pPr>
      <w:r>
        <w:rPr>
          <w:i/>
          <w:sz w:val="24"/>
        </w:rPr>
        <w:lastRenderedPageBreak/>
        <w:t>IRA, Keogh, and Similar Retirement Savings Accounts</w:t>
      </w:r>
    </w:p>
    <w:p w:rsidR="004E13A5" w:rsidRDefault="00681463">
      <w:pPr>
        <w:pStyle w:val="BodyText"/>
        <w:ind w:right="496"/>
      </w:pPr>
      <w:r>
        <w:t>IRA, Keogh, and similar retirement savings accounts are counted as assets even though early withdrawal would result in a penalty [HCV GB, p. 5-25].</w:t>
      </w:r>
    </w:p>
    <w:p w:rsidR="004E13A5" w:rsidRDefault="00681463">
      <w:pPr>
        <w:pStyle w:val="Heading5"/>
        <w:spacing w:before="120"/>
      </w:pPr>
      <w:r>
        <w:t>Life Insurance</w:t>
      </w:r>
    </w:p>
    <w:p w:rsidR="004E13A5" w:rsidRDefault="00681463">
      <w:pPr>
        <w:pStyle w:val="BodyText"/>
        <w:spacing w:before="120"/>
        <w:ind w:right="135"/>
      </w:pPr>
      <w:r>
        <w:t>The cash value of a life insurance policy available to a family member before death, such as a whole life or universal life policy, is included in the calculation of the value of the family’s assets [HCV GB 5-25]. The cash value is the surrender value. If such a policy earns dividends or interest that the family could elect to receive, the anticipated amount of dividends or interest is counted as income from the asset whether or not the family actually receives it.</w:t>
      </w:r>
    </w:p>
    <w:p w:rsidR="004E13A5" w:rsidRDefault="004E13A5">
      <w:pPr>
        <w:pStyle w:val="BodyText"/>
        <w:spacing w:before="9"/>
        <w:ind w:left="0"/>
        <w:rPr>
          <w:sz w:val="20"/>
        </w:rPr>
      </w:pPr>
    </w:p>
    <w:p w:rsidR="004E13A5" w:rsidRDefault="004E13A5">
      <w:pPr>
        <w:rPr>
          <w:rFonts w:ascii="Symbol"/>
          <w:sz w:val="24"/>
        </w:rPr>
        <w:sectPr w:rsidR="004E13A5">
          <w:pgSz w:w="12240" w:h="15840"/>
          <w:pgMar w:top="1360" w:right="1360" w:bottom="640" w:left="1340" w:header="0" w:footer="441" w:gutter="0"/>
          <w:cols w:space="720"/>
        </w:sectPr>
      </w:pPr>
    </w:p>
    <w:p w:rsidR="004E13A5" w:rsidRDefault="00681463">
      <w:pPr>
        <w:pStyle w:val="BodyText"/>
        <w:spacing w:before="0"/>
        <w:ind w:left="820"/>
      </w:pPr>
      <w:r>
        <w:lastRenderedPageBreak/>
        <w:t>.</w:t>
      </w:r>
    </w:p>
    <w:p w:rsidR="004E13A5" w:rsidRDefault="004E13A5">
      <w:pPr>
        <w:pStyle w:val="BodyText"/>
        <w:spacing w:before="9"/>
        <w:ind w:left="0"/>
        <w:rPr>
          <w:sz w:val="20"/>
        </w:rPr>
      </w:pPr>
    </w:p>
    <w:p w:rsidR="004E13A5" w:rsidRDefault="00681463" w:rsidP="00BF2931">
      <w:pPr>
        <w:pStyle w:val="Heading4"/>
      </w:pPr>
      <w:r>
        <w:t>6</w:t>
      </w:r>
    </w:p>
    <w:p w:rsidR="004E13A5" w:rsidRDefault="004E13A5">
      <w:pPr>
        <w:pStyle w:val="BodyText"/>
        <w:spacing w:before="9"/>
        <w:ind w:left="0"/>
        <w:rPr>
          <w:sz w:val="20"/>
        </w:rPr>
      </w:pPr>
    </w:p>
    <w:p w:rsidR="004E13A5" w:rsidRDefault="004E13A5">
      <w:pPr>
        <w:pStyle w:val="BodyText"/>
        <w:spacing w:before="9"/>
        <w:ind w:left="0"/>
        <w:rPr>
          <w:sz w:val="20"/>
        </w:rPr>
      </w:pPr>
    </w:p>
    <w:p w:rsidR="004E13A5" w:rsidRDefault="00681463">
      <w:pPr>
        <w:pStyle w:val="Heading4"/>
        <w:spacing w:before="120"/>
      </w:pPr>
      <w:r>
        <w:t>Regular Contributions or Gifts</w:t>
      </w:r>
    </w:p>
    <w:p w:rsidR="004E13A5" w:rsidRDefault="00681463">
      <w:pPr>
        <w:pStyle w:val="BodyText"/>
        <w:spacing w:before="120"/>
      </w:pPr>
      <w:r>
        <w:t>The PHA must count as income regular monetary and nonmonetary contributions or gifts from persons not residing with an assisted family [24 CFR 5.609(b)(7)]. Temporary, nonrecurring, or sporadic income and gifts are not counted [24 CFR 5.609(c)(9)].</w:t>
      </w:r>
    </w:p>
    <w:p w:rsidR="004E13A5" w:rsidRDefault="00681463">
      <w:pPr>
        <w:pStyle w:val="BodyText"/>
        <w:ind w:left="820"/>
      </w:pPr>
      <w:r>
        <w:rPr>
          <w:u w:val="single"/>
        </w:rPr>
        <w:t>PHA Policy</w:t>
      </w:r>
    </w:p>
    <w:p w:rsidR="004E13A5" w:rsidRDefault="00681463">
      <w:pPr>
        <w:pStyle w:val="BodyText"/>
        <w:ind w:left="820" w:right="311"/>
        <w:jc w:val="both"/>
      </w:pPr>
      <w:r>
        <w:t>Examples of regular contributions include: (1) regular payment of a family’s bills (e.g., utilities, telephone, rent, credit cards, and car payments), (2) cash or other liquid assets provided to any family member on a regular basis, and (3) “in-kind” contributions such as groceries and clothing provided to a family on a regular basis.</w:t>
      </w:r>
    </w:p>
    <w:p w:rsidR="004E13A5" w:rsidRDefault="00681463">
      <w:pPr>
        <w:pStyle w:val="BodyText"/>
        <w:ind w:left="820" w:right="109"/>
      </w:pPr>
      <w:r>
        <w:t>Nonmonetary contributions will be valued at the cost of purchasing the items, as determined by the PHA. For contributions that may vary from month to month (e.g., utility payments), the PHA will include an average amount based upon past history.</w:t>
      </w:r>
    </w:p>
    <w:p w:rsidR="004E13A5" w:rsidRDefault="004E13A5">
      <w:pPr>
        <w:pStyle w:val="BodyText"/>
        <w:spacing w:before="9"/>
        <w:ind w:left="0"/>
        <w:rPr>
          <w:sz w:val="20"/>
        </w:rPr>
      </w:pPr>
    </w:p>
    <w:p w:rsidR="004E13A5" w:rsidRDefault="004E13A5">
      <w:pPr>
        <w:pStyle w:val="BodyText"/>
        <w:spacing w:before="9"/>
        <w:ind w:left="0"/>
        <w:rPr>
          <w:sz w:val="20"/>
        </w:rPr>
      </w:pPr>
    </w:p>
    <w:p w:rsidR="004E13A5" w:rsidRDefault="009E2B82">
      <w:pPr>
        <w:pStyle w:val="BodyText"/>
        <w:spacing w:before="10"/>
        <w:ind w:left="0"/>
        <w:rPr>
          <w:b/>
          <w:sz w:val="20"/>
        </w:rPr>
      </w:pPr>
      <w:r w:rsidRPr="00B54141">
        <w:t>PART III: ADJUSTED INCOME</w:t>
      </w:r>
      <w:r w:rsidDel="009E2B82">
        <w:t xml:space="preserve"> </w:t>
      </w:r>
    </w:p>
    <w:p w:rsidR="004E13A5" w:rsidRDefault="009E2B82">
      <w:pPr>
        <w:ind w:left="220"/>
        <w:rPr>
          <w:b/>
          <w:sz w:val="24"/>
        </w:rPr>
      </w:pPr>
      <w:r w:rsidRPr="00B54141">
        <w:t>6-III.A</w:t>
      </w:r>
      <w:r w:rsidDel="009E2B82">
        <w:rPr>
          <w:b/>
          <w:sz w:val="24"/>
        </w:rPr>
        <w:t xml:space="preserve"> </w:t>
      </w:r>
      <w:r w:rsidR="00681463">
        <w:rPr>
          <w:b/>
          <w:sz w:val="24"/>
        </w:rPr>
        <w:t>INTRODUCTION</w:t>
      </w:r>
    </w:p>
    <w:p w:rsidR="004E13A5" w:rsidRDefault="00681463">
      <w:pPr>
        <w:spacing w:before="120"/>
        <w:ind w:left="220"/>
        <w:rPr>
          <w:b/>
          <w:sz w:val="24"/>
        </w:rPr>
      </w:pPr>
      <w:r>
        <w:rPr>
          <w:b/>
          <w:sz w:val="24"/>
        </w:rPr>
        <w:t>Overview</w:t>
      </w:r>
    </w:p>
    <w:p w:rsidR="004E13A5" w:rsidRDefault="003263D1">
      <w:pPr>
        <w:pStyle w:val="BodyText"/>
        <w:spacing w:before="120"/>
        <w:ind w:left="220" w:right="315"/>
      </w:pPr>
      <w:r>
        <w:rPr>
          <w:noProof/>
        </w:rPr>
        <mc:AlternateContent>
          <mc:Choice Requires="wps">
            <w:drawing>
              <wp:anchor distT="0" distB="0" distL="0" distR="0" simplePos="0" relativeHeight="1216" behindDoc="0" locked="0" layoutInCell="1" allowOverlap="1">
                <wp:simplePos x="0" y="0"/>
                <wp:positionH relativeFrom="margin">
                  <wp:align>right</wp:align>
                </wp:positionH>
                <wp:positionV relativeFrom="paragraph">
                  <wp:posOffset>676275</wp:posOffset>
                </wp:positionV>
                <wp:extent cx="6124575" cy="3362325"/>
                <wp:effectExtent l="0" t="0" r="28575" b="28575"/>
                <wp:wrapTopAndBottom/>
                <wp:docPr id="7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3623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pStyle w:val="BodyText"/>
                              <w:spacing w:before="18"/>
                              <w:ind w:left="108" w:right="402"/>
                            </w:pPr>
                            <w:r>
                              <w:t>5.611(a) Mandatory deductions. In determining adjusted income, the responsible entity [PHA] must deduct the following amounts from annual income:</w:t>
                            </w:r>
                          </w:p>
                          <w:p w:rsidR="00BA59C9" w:rsidRPr="00B54141" w:rsidRDefault="00BA59C9" w:rsidP="009E2B82">
                            <w:pPr>
                              <w:widowControl/>
                              <w:numPr>
                                <w:ilvl w:val="0"/>
                                <w:numId w:val="75"/>
                              </w:numPr>
                              <w:tabs>
                                <w:tab w:val="left" w:pos="360"/>
                              </w:tabs>
                              <w:autoSpaceDE/>
                              <w:autoSpaceDN/>
                              <w:spacing w:before="120"/>
                            </w:pPr>
                            <w:r w:rsidRPr="00B54141">
                              <w:t>$480 for each dependent (adjusted annually for inflation)</w:t>
                            </w:r>
                          </w:p>
                          <w:p w:rsidR="00BA59C9" w:rsidRPr="00B54141" w:rsidRDefault="00BA59C9" w:rsidP="009E2B82">
                            <w:pPr>
                              <w:widowControl/>
                              <w:numPr>
                                <w:ilvl w:val="0"/>
                                <w:numId w:val="75"/>
                              </w:numPr>
                              <w:tabs>
                                <w:tab w:val="left" w:pos="360"/>
                              </w:tabs>
                              <w:autoSpaceDE/>
                              <w:autoSpaceDN/>
                              <w:spacing w:before="120"/>
                            </w:pPr>
                            <w:r w:rsidRPr="00B54141">
                              <w:t>$525 for any elderly family or disabled family (adjusted annually for inflation)</w:t>
                            </w:r>
                          </w:p>
                          <w:p w:rsidR="00BA59C9" w:rsidRDefault="00BA59C9">
                            <w:pPr>
                              <w:pStyle w:val="ListParagraph"/>
                              <w:numPr>
                                <w:ilvl w:val="1"/>
                                <w:numId w:val="75"/>
                              </w:numPr>
                              <w:tabs>
                                <w:tab w:val="left" w:pos="394"/>
                              </w:tabs>
                              <w:ind w:firstLine="0"/>
                              <w:rPr>
                                <w:sz w:val="24"/>
                              </w:rPr>
                            </w:pPr>
                            <w:r>
                              <w:rPr>
                                <w:sz w:val="24"/>
                              </w:rPr>
                              <w:t>Unreimbursed medical expenses of any elderly family or disabled</w:t>
                            </w:r>
                            <w:r>
                              <w:rPr>
                                <w:spacing w:val="-13"/>
                                <w:sz w:val="24"/>
                              </w:rPr>
                              <w:t xml:space="preserve"> </w:t>
                            </w:r>
                            <w:r>
                              <w:rPr>
                                <w:sz w:val="24"/>
                              </w:rPr>
                              <w:t>family;</w:t>
                            </w:r>
                          </w:p>
                          <w:p w:rsidR="00BA59C9" w:rsidRDefault="00BA59C9">
                            <w:pPr>
                              <w:pStyle w:val="ListParagraph"/>
                              <w:numPr>
                                <w:ilvl w:val="1"/>
                                <w:numId w:val="75"/>
                              </w:numPr>
                              <w:tabs>
                                <w:tab w:val="left" w:pos="462"/>
                              </w:tabs>
                              <w:ind w:right="223" w:firstLine="0"/>
                              <w:rPr>
                                <w:sz w:val="24"/>
                              </w:rPr>
                            </w:pPr>
                            <w:r>
                              <w:rPr>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 This deduction may not exceed the earned income received by family members who are 18 years of age or older and who are able to work because of such attendant care or auxiliary apparatus;</w:t>
                            </w:r>
                            <w:r>
                              <w:rPr>
                                <w:spacing w:val="-9"/>
                                <w:sz w:val="24"/>
                              </w:rPr>
                              <w:t xml:space="preserve"> </w:t>
                            </w:r>
                            <w:r>
                              <w:rPr>
                                <w:sz w:val="24"/>
                              </w:rPr>
                              <w:t>and</w:t>
                            </w:r>
                          </w:p>
                          <w:p w:rsidR="00BA59C9" w:rsidRDefault="00BA59C9">
                            <w:pPr>
                              <w:pStyle w:val="BodyText"/>
                              <w:spacing w:before="120"/>
                              <w:ind w:left="108" w:right="923"/>
                            </w:pPr>
                            <w:r>
                              <w:t>(4) Any reasonable child care expenses necessary to enable a member of the family to be employed or to further their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431.05pt;margin-top:53.25pt;width:482.25pt;height:264.75pt;z-index:1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" filled="f" strokeweight=".48pt">
                <v:textbox inset="0,0,0,0">
                  <w:txbxContent>
                    <w:p w:rsidR="00BA59C9" w:rsidRDefault="00BA59C9">
                      <w:pPr>
                        <w:pStyle w:val="BodyText"/>
                        <w:spacing w:before="18"/>
                        <w:ind w:left="108" w:right="402"/>
                      </w:pPr>
                      <w:r>
                        <w:t>5.611(a) Mandatory deductions. In determining adjusted income, the responsible entity [PHA] must deduct the following amounts from annual income:</w:t>
                      </w:r>
                    </w:p>
                    <w:p w:rsidR="00BA59C9" w:rsidRPr="00B54141" w:rsidRDefault="00BA59C9" w:rsidP="009E2B82">
                      <w:pPr>
                        <w:widowControl/>
                        <w:numPr>
                          <w:ilvl w:val="0"/>
                          <w:numId w:val="75"/>
                        </w:numPr>
                        <w:tabs>
                          <w:tab w:val="left" w:pos="360"/>
                        </w:tabs>
                        <w:autoSpaceDE/>
                        <w:autoSpaceDN/>
                        <w:spacing w:before="120"/>
                      </w:pPr>
                      <w:r w:rsidRPr="00B54141">
                        <w:t>$480 for each dependent (adjusted annually for inflation)</w:t>
                      </w:r>
                    </w:p>
                    <w:p w:rsidR="00BA59C9" w:rsidRPr="00B54141" w:rsidRDefault="00BA59C9" w:rsidP="009E2B82">
                      <w:pPr>
                        <w:widowControl/>
                        <w:numPr>
                          <w:ilvl w:val="0"/>
                          <w:numId w:val="75"/>
                        </w:numPr>
                        <w:tabs>
                          <w:tab w:val="left" w:pos="360"/>
                        </w:tabs>
                        <w:autoSpaceDE/>
                        <w:autoSpaceDN/>
                        <w:spacing w:before="120"/>
                      </w:pPr>
                      <w:r w:rsidRPr="00B54141">
                        <w:t>$525 for any elderly family or disabled family (adjusted annually for inflation)</w:t>
                      </w:r>
                    </w:p>
                    <w:p w:rsidR="00BA59C9" w:rsidRDefault="00BA59C9">
                      <w:pPr>
                        <w:pStyle w:val="ListParagraph"/>
                        <w:numPr>
                          <w:ilvl w:val="1"/>
                          <w:numId w:val="75"/>
                        </w:numPr>
                        <w:tabs>
                          <w:tab w:val="left" w:pos="394"/>
                        </w:tabs>
                        <w:ind w:firstLine="0"/>
                        <w:rPr>
                          <w:sz w:val="24"/>
                        </w:rPr>
                      </w:pPr>
                      <w:r>
                        <w:rPr>
                          <w:sz w:val="24"/>
                        </w:rPr>
                        <w:t>Unreimbursed medical expenses of any elderly family or disabled</w:t>
                      </w:r>
                      <w:r>
                        <w:rPr>
                          <w:spacing w:val="-13"/>
                          <w:sz w:val="24"/>
                        </w:rPr>
                        <w:t xml:space="preserve"> </w:t>
                      </w:r>
                      <w:r>
                        <w:rPr>
                          <w:sz w:val="24"/>
                        </w:rPr>
                        <w:t>family;</w:t>
                      </w:r>
                    </w:p>
                    <w:p w:rsidR="00BA59C9" w:rsidRDefault="00BA59C9">
                      <w:pPr>
                        <w:pStyle w:val="ListParagraph"/>
                        <w:numPr>
                          <w:ilvl w:val="1"/>
                          <w:numId w:val="75"/>
                        </w:numPr>
                        <w:tabs>
                          <w:tab w:val="left" w:pos="462"/>
                        </w:tabs>
                        <w:ind w:right="223" w:firstLine="0"/>
                        <w:rPr>
                          <w:sz w:val="24"/>
                        </w:rPr>
                      </w:pPr>
                      <w:r>
                        <w:rPr>
                          <w:sz w:val="24"/>
                        </w:rPr>
                        <w:t>Unreimbursed reasonable attendant care and auxiliary apparatus expenses for each member of the family who is a person with disabilities, to the extent necessary to enable any member of the family (including the member who is a person with disabilities) to be employed. This deduction may not exceed the earned income received by family members who are 18 years of age or older and who are able to work because of such attendant care or auxiliary apparatus;</w:t>
                      </w:r>
                      <w:r>
                        <w:rPr>
                          <w:spacing w:val="-9"/>
                          <w:sz w:val="24"/>
                        </w:rPr>
                        <w:t xml:space="preserve"> </w:t>
                      </w:r>
                      <w:r>
                        <w:rPr>
                          <w:sz w:val="24"/>
                        </w:rPr>
                        <w:t>and</w:t>
                      </w:r>
                    </w:p>
                    <w:p w:rsidR="00BA59C9" w:rsidRDefault="00BA59C9">
                      <w:pPr>
                        <w:pStyle w:val="BodyText"/>
                        <w:spacing w:before="120"/>
                        <w:ind w:left="108" w:right="923"/>
                      </w:pPr>
                      <w:r>
                        <w:t>(4) Any reasonable child care expenses necessary to enable a member of the family to be employed or to further their education.</w:t>
                      </w:r>
                    </w:p>
                  </w:txbxContent>
                </v:textbox>
                <w10:wrap type="topAndBottom" anchorx="margin"/>
              </v:shape>
            </w:pict>
          </mc:Fallback>
        </mc:AlternateContent>
      </w:r>
      <w:r w:rsidR="00681463">
        <w:t>HUD regulations require PHAs to deduct from annual income any of five mandatory deductions for which a family qualifies. The resulting amount is the family’s adjusted income. Mandatory deductions are found in 24 CFR 5.611.</w:t>
      </w:r>
    </w:p>
    <w:p w:rsidR="009913F4" w:rsidRPr="00B54141" w:rsidRDefault="009913F4" w:rsidP="009913F4">
      <w:r w:rsidRPr="00B54141">
        <w:t>Section 6-III.A of the model plan discusses PHA policies with respect to calculating expenses.</w:t>
      </w:r>
    </w:p>
    <w:p w:rsidR="009913F4" w:rsidRDefault="009913F4">
      <w:pPr>
        <w:pStyle w:val="BodyText"/>
        <w:spacing w:before="90"/>
        <w:ind w:left="220" w:right="183"/>
      </w:pPr>
    </w:p>
    <w:p w:rsidR="004E13A5" w:rsidRDefault="00681463">
      <w:pPr>
        <w:pStyle w:val="Heading4"/>
        <w:spacing w:before="120"/>
        <w:ind w:left="220"/>
      </w:pPr>
      <w:r>
        <w:lastRenderedPageBreak/>
        <w:t>Anticipating Expenses</w:t>
      </w:r>
    </w:p>
    <w:p w:rsidR="004E13A5" w:rsidRDefault="00681463">
      <w:pPr>
        <w:pStyle w:val="BodyText"/>
        <w:spacing w:before="120"/>
        <w:ind w:left="940"/>
      </w:pPr>
      <w:r>
        <w:rPr>
          <w:u w:val="single"/>
        </w:rPr>
        <w:t>PHA Policy</w:t>
      </w:r>
    </w:p>
    <w:p w:rsidR="009913F4" w:rsidRPr="00B54141" w:rsidRDefault="009913F4" w:rsidP="009913F4">
      <w:pPr>
        <w:ind w:left="1440"/>
      </w:pPr>
      <w:r w:rsidRPr="00B54141">
        <w:t>Generally, the PHA will use current circumstances to anticipate expenses. When possible, for costs that are expected to fluctuate during the year (e.g., child care during school and non-school periods and cyclical medical expenses), the PHA will estimate costs based on historic data and known future costs.</w:t>
      </w:r>
    </w:p>
    <w:p w:rsidR="009913F4" w:rsidRPr="00B54141" w:rsidRDefault="009913F4" w:rsidP="009913F4">
      <w:pPr>
        <w:ind w:left="1440"/>
      </w:pPr>
      <w:r w:rsidRPr="00B54141">
        <w:t>If a family has an accumulated debt for medical or disability assistance expenses, the PHA will include as an eligible expense the portion of the debt that the family expects to pay during the period for which the income determination is being made. However, amounts previously deducted will not be allowed even if the amounts were not paid as expected in a preceding period. The PHA may require the family to provide documentation of payments made in the preceding year.</w:t>
      </w:r>
    </w:p>
    <w:p w:rsidR="009913F4" w:rsidRPr="00B54141" w:rsidRDefault="009913F4" w:rsidP="009913F4">
      <w:pPr>
        <w:ind w:left="1440"/>
      </w:pPr>
      <w:r w:rsidRPr="00B54141">
        <w:t xml:space="preserve">When calculating health and medical care expenses, the PHA will include those expenses anticipated to be incurred during the 12 months following the certification date which are not covered by an outside source, such as insurance. The allowance is not intended to give a family an allowance equal to last year’s expenses, but to anticipate regular ongoing and anticipated expenses during the coming year. Since these expenses are anticipated, the </w:t>
      </w:r>
      <w:r w:rsidRPr="00B54141">
        <w:rPr>
          <w:i/>
          <w:iCs/>
        </w:rPr>
        <w:t>PH Occupancy Guidebook</w:t>
      </w:r>
      <w:r w:rsidRPr="00B54141">
        <w:t xml:space="preserve"> states “it is likely that actual expenses will not match what was anticipated. Typically, this would not be considered an underpayment as long as at the time of the annual re-examination, the expenses were calculated based on the appropriate verification” </w:t>
      </w:r>
      <w:r w:rsidRPr="00B54141">
        <w:rPr>
          <w:bCs/>
        </w:rPr>
        <w:t xml:space="preserve">[New PH OCC GB, </w:t>
      </w:r>
      <w:r w:rsidRPr="00B54141">
        <w:rPr>
          <w:bCs/>
          <w:i/>
          <w:iCs/>
        </w:rPr>
        <w:t xml:space="preserve">Income Determinations, </w:t>
      </w:r>
      <w:r w:rsidRPr="00B54141">
        <w:rPr>
          <w:bCs/>
        </w:rPr>
        <w:t>p. 30].</w:t>
      </w:r>
      <w:r w:rsidRPr="00B54141">
        <w:t xml:space="preserve"> For annual reexaminations, the PHA will use information for the previous 12-month period.</w:t>
      </w:r>
    </w:p>
    <w:p w:rsidR="004E13A5" w:rsidRDefault="004E13A5">
      <w:pPr>
        <w:pStyle w:val="BodyText"/>
        <w:spacing w:before="9"/>
        <w:ind w:left="0"/>
        <w:rPr>
          <w:sz w:val="20"/>
        </w:rPr>
      </w:pPr>
    </w:p>
    <w:p w:rsidR="004E13A5" w:rsidRDefault="009913F4">
      <w:pPr>
        <w:pStyle w:val="Heading4"/>
      </w:pPr>
      <w:r w:rsidRPr="00B54141">
        <w:t xml:space="preserve">6-III.B. </w:t>
      </w:r>
      <w:r w:rsidR="00681463">
        <w:t>DEPENDENT DEDUCTION</w:t>
      </w:r>
    </w:p>
    <w:p w:rsidR="004E13A5" w:rsidRDefault="00681463">
      <w:pPr>
        <w:pStyle w:val="BodyText"/>
        <w:ind w:right="96"/>
      </w:pPr>
      <w:r>
        <w:t xml:space="preserve">An allowance of $480 is deducted from annual income for each dependent [24 CFR 5.611(a)(1)]. </w:t>
      </w:r>
      <w:r>
        <w:rPr>
          <w:i/>
        </w:rPr>
        <w:t xml:space="preserve">Dependent </w:t>
      </w:r>
      <w:r>
        <w:t>is defined as any family member other than the head, spouse, or co-head who is under the age of 18 or who is 18 or older and is a person with disabilities or a full-time student. Foster children, foster adults, and live-in aides are never considered dependents [24 CFR 5.603(b)].</w:t>
      </w:r>
    </w:p>
    <w:p w:rsidR="004E13A5" w:rsidRDefault="004E13A5">
      <w:pPr>
        <w:pStyle w:val="BodyText"/>
        <w:spacing w:before="9"/>
        <w:ind w:left="0"/>
        <w:rPr>
          <w:sz w:val="20"/>
        </w:rPr>
      </w:pPr>
    </w:p>
    <w:p w:rsidR="004E13A5" w:rsidRDefault="009913F4">
      <w:pPr>
        <w:pStyle w:val="Heading4"/>
      </w:pPr>
      <w:r w:rsidRPr="00B54141">
        <w:t>6-III.C</w:t>
      </w:r>
      <w:r w:rsidDel="009913F4">
        <w:t xml:space="preserve"> </w:t>
      </w:r>
      <w:r w:rsidR="00681463">
        <w:t>ELDERLY OR DISABLED FAMILY DEDUCTION</w:t>
      </w:r>
    </w:p>
    <w:p w:rsidR="004E13A5" w:rsidRDefault="00681463">
      <w:pPr>
        <w:pStyle w:val="BodyText"/>
        <w:ind w:right="169"/>
      </w:pPr>
      <w:r>
        <w:t xml:space="preserve">A single deduction of </w:t>
      </w:r>
      <w:r w:rsidR="009913F4" w:rsidRPr="00B54141">
        <w:t xml:space="preserve">$525 </w:t>
      </w:r>
      <w:r>
        <w:t xml:space="preserve">is taken for any elderly or disabled family [24 CFR 5.611(a)(2)]. An </w:t>
      </w:r>
      <w:r>
        <w:rPr>
          <w:i/>
        </w:rPr>
        <w:t xml:space="preserve">elderly family </w:t>
      </w:r>
      <w:r>
        <w:t xml:space="preserve">is a family whose head, spouse, co-head, or sole member is 62 years of age or older, and a </w:t>
      </w:r>
      <w:r>
        <w:rPr>
          <w:i/>
        </w:rPr>
        <w:t xml:space="preserve">disabled family </w:t>
      </w:r>
      <w:r>
        <w:t>is a family whose head, spouse, co-head, or sole member is a person with disabilities [24 CFR 5.403].</w:t>
      </w:r>
    </w:p>
    <w:p w:rsidR="004E13A5" w:rsidRDefault="004E13A5">
      <w:pPr>
        <w:pStyle w:val="BodyText"/>
        <w:spacing w:before="9"/>
        <w:ind w:left="0"/>
        <w:rPr>
          <w:sz w:val="20"/>
        </w:rPr>
      </w:pPr>
    </w:p>
    <w:p w:rsidR="004E13A5" w:rsidRDefault="009913F4">
      <w:pPr>
        <w:pStyle w:val="Heading4"/>
      </w:pPr>
      <w:r w:rsidRPr="00B54141">
        <w:t>6-III.D</w:t>
      </w:r>
      <w:r w:rsidDel="009913F4">
        <w:t xml:space="preserve"> </w:t>
      </w:r>
      <w:r w:rsidR="00681463">
        <w:t>MEDICAL EXPENSES DEDUCTION [24 CFR 5.611(a)(3)(i)]</w:t>
      </w:r>
    </w:p>
    <w:p w:rsidR="004E13A5" w:rsidRDefault="00681463">
      <w:pPr>
        <w:pStyle w:val="BodyText"/>
        <w:ind w:right="509"/>
      </w:pPr>
      <w:r>
        <w:t>Unreimbursed medical expenses may be deducted to the extent that, in combination with any disability assistance expenses, they exceed three percent of annual income.</w:t>
      </w:r>
    </w:p>
    <w:p w:rsidR="004E13A5" w:rsidRDefault="00681463">
      <w:pPr>
        <w:pStyle w:val="BodyText"/>
        <w:spacing w:before="120"/>
        <w:ind w:right="329"/>
      </w:pPr>
      <w:r>
        <w:t>The medical expense deduction is permitted only for families in which the head, spouse, or co- head is at least 62 or is a person with disabilities. If a family is eligible for a medical expense deduction, the medical expenses of all family members are counted [VG, p. 28].</w:t>
      </w:r>
    </w:p>
    <w:p w:rsidR="004E13A5" w:rsidRDefault="00681463">
      <w:pPr>
        <w:spacing w:before="120"/>
        <w:ind w:left="100"/>
        <w:rPr>
          <w:b/>
          <w:i/>
          <w:sz w:val="24"/>
        </w:rPr>
      </w:pPr>
      <w:r>
        <w:rPr>
          <w:b/>
          <w:sz w:val="24"/>
        </w:rPr>
        <w:t xml:space="preserve">Definition of </w:t>
      </w:r>
      <w:r>
        <w:rPr>
          <w:b/>
          <w:i/>
          <w:sz w:val="24"/>
        </w:rPr>
        <w:t>Medical Expenses</w:t>
      </w:r>
    </w:p>
    <w:p w:rsidR="004E13A5" w:rsidRDefault="00681463">
      <w:pPr>
        <w:pStyle w:val="BodyText"/>
        <w:spacing w:before="120"/>
        <w:ind w:right="369"/>
      </w:pPr>
      <w:r>
        <w:t xml:space="preserve">HUD regulations define </w:t>
      </w:r>
      <w:r>
        <w:rPr>
          <w:i/>
        </w:rPr>
        <w:t xml:space="preserve">medical expenses </w:t>
      </w:r>
      <w:r>
        <w:t>at 24 CFR 5.603(b) to mean “medical expenses, including medical insurance premiums, that are anticipated during the period for which annual income is computed, and that are not covered by insurance.”</w:t>
      </w:r>
    </w:p>
    <w:p w:rsidR="004E13A5" w:rsidRDefault="00681463">
      <w:pPr>
        <w:pStyle w:val="BodyText"/>
        <w:spacing w:before="120"/>
        <w:ind w:left="820"/>
      </w:pPr>
      <w:r>
        <w:rPr>
          <w:u w:val="single"/>
        </w:rPr>
        <w:t>PHA Policy</w:t>
      </w:r>
    </w:p>
    <w:p w:rsidR="004E13A5" w:rsidRDefault="00681463">
      <w:pPr>
        <w:pStyle w:val="BodyText"/>
        <w:spacing w:before="120"/>
        <w:ind w:left="820" w:right="375"/>
      </w:pPr>
      <w:r>
        <w:t xml:space="preserve">The most current IRS Publication 502, </w:t>
      </w:r>
      <w:r>
        <w:rPr>
          <w:i/>
        </w:rPr>
        <w:t xml:space="preserve">Medical and Dental Expenses, </w:t>
      </w:r>
      <w:r>
        <w:t>will be used as a reference to determine the costs that qualify as medical expenses.</w:t>
      </w:r>
    </w:p>
    <w:p w:rsidR="004E13A5" w:rsidRDefault="004E13A5">
      <w:pPr>
        <w:pStyle w:val="BodyText"/>
        <w:spacing w:before="0"/>
        <w:ind w:left="0"/>
        <w:rPr>
          <w:sz w:val="20"/>
        </w:rPr>
      </w:pPr>
    </w:p>
    <w:p w:rsidR="004E13A5" w:rsidRDefault="004E13A5">
      <w:pPr>
        <w:pStyle w:val="BodyText"/>
        <w:spacing w:before="6"/>
        <w:ind w:left="0"/>
        <w:rPr>
          <w:sz w:val="1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141"/>
      </w:tblGrid>
      <w:tr w:rsidR="004E13A5">
        <w:trPr>
          <w:trHeight w:hRule="exact" w:val="406"/>
        </w:trPr>
        <w:tc>
          <w:tcPr>
            <w:tcW w:w="8373" w:type="dxa"/>
            <w:gridSpan w:val="2"/>
          </w:tcPr>
          <w:p w:rsidR="004E13A5" w:rsidRDefault="00681463">
            <w:pPr>
              <w:pStyle w:val="TableParagraph"/>
              <w:spacing w:before="119"/>
              <w:ind w:left="712"/>
              <w:rPr>
                <w:b/>
                <w:sz w:val="24"/>
              </w:rPr>
            </w:pPr>
            <w:r>
              <w:rPr>
                <w:b/>
                <w:sz w:val="24"/>
              </w:rPr>
              <w:t>Summary of Allowable Medical Expenses from IRS Publication 502</w:t>
            </w:r>
          </w:p>
        </w:tc>
      </w:tr>
      <w:tr w:rsidR="004E13A5">
        <w:trPr>
          <w:trHeight w:hRule="exact" w:val="2146"/>
        </w:trPr>
        <w:tc>
          <w:tcPr>
            <w:tcW w:w="4232" w:type="dxa"/>
          </w:tcPr>
          <w:p w:rsidR="004E13A5" w:rsidRDefault="00681463">
            <w:pPr>
              <w:pStyle w:val="TableParagraph"/>
              <w:spacing w:before="119"/>
              <w:rPr>
                <w:sz w:val="24"/>
              </w:rPr>
            </w:pPr>
            <w:r>
              <w:rPr>
                <w:sz w:val="24"/>
              </w:rPr>
              <w:t>Services of medical professionals</w:t>
            </w:r>
          </w:p>
          <w:p w:rsidR="004E13A5" w:rsidRDefault="00681463">
            <w:pPr>
              <w:pStyle w:val="TableParagraph"/>
              <w:spacing w:before="120"/>
              <w:rPr>
                <w:sz w:val="24"/>
              </w:rPr>
            </w:pPr>
            <w:r>
              <w:rPr>
                <w:sz w:val="24"/>
              </w:rPr>
              <w:t>Surgery and medical procedures that are necessary, legal, non-cosmetic</w:t>
            </w:r>
          </w:p>
          <w:p w:rsidR="004E13A5" w:rsidRDefault="00681463">
            <w:pPr>
              <w:pStyle w:val="TableParagraph"/>
              <w:spacing w:before="120"/>
              <w:rPr>
                <w:sz w:val="24"/>
              </w:rPr>
            </w:pPr>
            <w:r>
              <w:rPr>
                <w:sz w:val="24"/>
              </w:rPr>
              <w:t>Services of medical facilities</w:t>
            </w:r>
          </w:p>
          <w:p w:rsidR="004E13A5" w:rsidRDefault="00681463">
            <w:pPr>
              <w:pStyle w:val="TableParagraph"/>
              <w:spacing w:before="120"/>
              <w:ind w:right="313"/>
              <w:rPr>
                <w:sz w:val="24"/>
              </w:rPr>
            </w:pPr>
            <w:r>
              <w:rPr>
                <w:sz w:val="24"/>
              </w:rPr>
              <w:t>Hospitalization, long-term care, and in- home nursing services</w:t>
            </w:r>
          </w:p>
        </w:tc>
        <w:tc>
          <w:tcPr>
            <w:tcW w:w="4141" w:type="dxa"/>
          </w:tcPr>
          <w:p w:rsidR="004E13A5" w:rsidRDefault="00681463">
            <w:pPr>
              <w:pStyle w:val="TableParagraph"/>
              <w:spacing w:before="119"/>
              <w:ind w:left="100"/>
              <w:rPr>
                <w:sz w:val="24"/>
              </w:rPr>
            </w:pPr>
            <w:r>
              <w:rPr>
                <w:sz w:val="24"/>
              </w:rPr>
              <w:t>Psychiatric treatment</w:t>
            </w:r>
          </w:p>
          <w:p w:rsidR="004E13A5" w:rsidRDefault="00681463">
            <w:pPr>
              <w:pStyle w:val="TableParagraph"/>
              <w:spacing w:before="120"/>
              <w:ind w:left="100" w:right="299"/>
              <w:rPr>
                <w:sz w:val="24"/>
              </w:rPr>
            </w:pPr>
            <w:r>
              <w:rPr>
                <w:sz w:val="24"/>
              </w:rPr>
              <w:t>Ambulance services and some costs of transportation related to medical expenses</w:t>
            </w:r>
          </w:p>
          <w:p w:rsidR="004E13A5" w:rsidRDefault="00681463">
            <w:pPr>
              <w:pStyle w:val="TableParagraph"/>
              <w:spacing w:before="120"/>
              <w:ind w:left="100" w:right="1052"/>
              <w:rPr>
                <w:sz w:val="24"/>
              </w:rPr>
            </w:pPr>
            <w:r>
              <w:rPr>
                <w:sz w:val="24"/>
              </w:rPr>
              <w:t>The cost and care of necessary equipment related to a medical</w:t>
            </w:r>
          </w:p>
        </w:tc>
      </w:tr>
    </w:tbl>
    <w:p w:rsidR="004E13A5" w:rsidRDefault="004E13A5">
      <w:pPr>
        <w:rPr>
          <w:sz w:val="24"/>
        </w:rPr>
        <w:sectPr w:rsidR="004E13A5">
          <w:pgSz w:w="12240" w:h="15840"/>
          <w:pgMar w:top="1360" w:right="1340" w:bottom="640" w:left="1340" w:header="0" w:footer="441" w:gutter="0"/>
          <w:cols w:space="720"/>
        </w:sect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141"/>
      </w:tblGrid>
      <w:tr w:rsidR="004E13A5">
        <w:trPr>
          <w:trHeight w:hRule="exact" w:val="2458"/>
        </w:trPr>
        <w:tc>
          <w:tcPr>
            <w:tcW w:w="4232" w:type="dxa"/>
          </w:tcPr>
          <w:p w:rsidR="004E13A5" w:rsidRDefault="00681463">
            <w:pPr>
              <w:pStyle w:val="TableParagraph"/>
              <w:spacing w:before="119"/>
              <w:ind w:right="359"/>
              <w:rPr>
                <w:sz w:val="24"/>
              </w:rPr>
            </w:pPr>
            <w:r>
              <w:rPr>
                <w:sz w:val="24"/>
              </w:rPr>
              <w:lastRenderedPageBreak/>
              <w:t xml:space="preserve">Prescription medicines and insulin, but </w:t>
            </w:r>
            <w:r>
              <w:rPr>
                <w:sz w:val="24"/>
                <w:u w:val="single"/>
              </w:rPr>
              <w:t xml:space="preserve">not </w:t>
            </w:r>
            <w:r>
              <w:rPr>
                <w:sz w:val="24"/>
              </w:rPr>
              <w:t>nonprescription medicines even if recommended by a doctor</w:t>
            </w:r>
          </w:p>
          <w:p w:rsidR="004E13A5" w:rsidRDefault="00681463">
            <w:pPr>
              <w:pStyle w:val="TableParagraph"/>
              <w:spacing w:before="119"/>
              <w:ind w:right="164"/>
              <w:jc w:val="both"/>
              <w:rPr>
                <w:sz w:val="24"/>
              </w:rPr>
            </w:pPr>
            <w:r>
              <w:rPr>
                <w:sz w:val="24"/>
              </w:rPr>
              <w:t>Improvements to housing directly</w:t>
            </w:r>
            <w:r>
              <w:rPr>
                <w:spacing w:val="-11"/>
                <w:sz w:val="24"/>
              </w:rPr>
              <w:t xml:space="preserve"> </w:t>
            </w:r>
            <w:r>
              <w:rPr>
                <w:sz w:val="24"/>
              </w:rPr>
              <w:t>related to medical needs (e.g., ramps for a wheel chair,</w:t>
            </w:r>
            <w:r>
              <w:rPr>
                <w:spacing w:val="-6"/>
                <w:sz w:val="24"/>
              </w:rPr>
              <w:t xml:space="preserve"> </w:t>
            </w:r>
            <w:r>
              <w:rPr>
                <w:sz w:val="24"/>
              </w:rPr>
              <w:t>handrails)</w:t>
            </w:r>
          </w:p>
          <w:p w:rsidR="004E13A5" w:rsidRDefault="00681463">
            <w:pPr>
              <w:pStyle w:val="TableParagraph"/>
              <w:spacing w:before="119"/>
              <w:rPr>
                <w:sz w:val="24"/>
              </w:rPr>
            </w:pPr>
            <w:r>
              <w:rPr>
                <w:sz w:val="24"/>
              </w:rPr>
              <w:t>Substance abuse treatment programs</w:t>
            </w:r>
          </w:p>
        </w:tc>
        <w:tc>
          <w:tcPr>
            <w:tcW w:w="4141" w:type="dxa"/>
          </w:tcPr>
          <w:p w:rsidR="004E13A5" w:rsidRDefault="00681463">
            <w:pPr>
              <w:pStyle w:val="TableParagraph"/>
              <w:ind w:left="100" w:right="586"/>
              <w:rPr>
                <w:sz w:val="24"/>
              </w:rPr>
            </w:pPr>
            <w:r>
              <w:rPr>
                <w:sz w:val="24"/>
              </w:rPr>
              <w:t>condition (e.g., eyeglasses/lenses, hearing aids, crutches, and artificial teeth)</w:t>
            </w:r>
          </w:p>
          <w:p w:rsidR="004E13A5" w:rsidRDefault="00681463">
            <w:pPr>
              <w:pStyle w:val="TableParagraph"/>
              <w:spacing w:before="120"/>
              <w:ind w:left="100" w:right="365"/>
              <w:rPr>
                <w:sz w:val="24"/>
              </w:rPr>
            </w:pPr>
            <w:r>
              <w:rPr>
                <w:sz w:val="24"/>
              </w:rPr>
              <w:t>Cost and continuing care of necessary service animals</w:t>
            </w:r>
          </w:p>
          <w:p w:rsidR="004E13A5" w:rsidRDefault="00681463">
            <w:pPr>
              <w:pStyle w:val="TableParagraph"/>
              <w:spacing w:before="119"/>
              <w:ind w:left="100" w:right="165"/>
              <w:rPr>
                <w:sz w:val="24"/>
              </w:rPr>
            </w:pPr>
            <w:r>
              <w:rPr>
                <w:sz w:val="24"/>
              </w:rPr>
              <w:t>Medical insurance premiums or the cost of a health maintenance organization (HMO)</w:t>
            </w:r>
          </w:p>
        </w:tc>
      </w:tr>
      <w:tr w:rsidR="004E13A5">
        <w:trPr>
          <w:trHeight w:hRule="exact" w:val="958"/>
        </w:trPr>
        <w:tc>
          <w:tcPr>
            <w:tcW w:w="8373" w:type="dxa"/>
            <w:gridSpan w:val="2"/>
          </w:tcPr>
          <w:p w:rsidR="004E13A5" w:rsidRDefault="00681463">
            <w:pPr>
              <w:pStyle w:val="TableParagraph"/>
              <w:spacing w:before="119"/>
              <w:ind w:right="455"/>
              <w:jc w:val="both"/>
              <w:rPr>
                <w:sz w:val="24"/>
              </w:rPr>
            </w:pPr>
            <w:r>
              <w:rPr>
                <w:b/>
                <w:sz w:val="24"/>
              </w:rPr>
              <w:t xml:space="preserve">Note: </w:t>
            </w:r>
            <w:r>
              <w:rPr>
                <w:sz w:val="24"/>
              </w:rPr>
              <w:t>This chart provides a summary of eligible medical expenses only. Detailed information is provided in IRS Publication 502. Medical expenses are considered only to the extent they are not reimbursed by insurance or some other source.</w:t>
            </w:r>
          </w:p>
        </w:tc>
      </w:tr>
    </w:tbl>
    <w:p w:rsidR="004E13A5" w:rsidRDefault="00681463">
      <w:pPr>
        <w:pStyle w:val="Heading4"/>
        <w:spacing w:before="119"/>
      </w:pPr>
      <w:r>
        <w:t>Families That Qualify for Both Medical and Disability Assistance Expenses</w:t>
      </w:r>
    </w:p>
    <w:p w:rsidR="004E13A5" w:rsidRDefault="00681463">
      <w:pPr>
        <w:pStyle w:val="BodyText"/>
        <w:ind w:left="820"/>
      </w:pPr>
      <w:r>
        <w:rPr>
          <w:u w:val="single"/>
        </w:rPr>
        <w:t>PHA Policy</w:t>
      </w:r>
    </w:p>
    <w:p w:rsidR="004E13A5" w:rsidRDefault="00681463">
      <w:pPr>
        <w:pStyle w:val="BodyText"/>
        <w:ind w:left="820" w:right="261"/>
      </w:pPr>
      <w:r>
        <w:t>This policy applies only to families in which the head, spouse, or co-head is 62 or older or is a person with disabilities.</w:t>
      </w:r>
    </w:p>
    <w:p w:rsidR="004E13A5" w:rsidRDefault="00681463">
      <w:pPr>
        <w:pStyle w:val="BodyText"/>
        <w:ind w:left="820"/>
      </w:pPr>
      <w:r>
        <w:t>When expenses anticipated by a family could be defined as either medical or disability assistance expenses, the PHA will consider them medical expenses unless it is clear that the expenses are incurred exclusively to enable a person with disabilities to work.</w:t>
      </w:r>
    </w:p>
    <w:p w:rsidR="004E13A5" w:rsidRDefault="004E13A5">
      <w:pPr>
        <w:pStyle w:val="BodyText"/>
        <w:spacing w:before="9"/>
        <w:ind w:left="0"/>
        <w:rPr>
          <w:sz w:val="20"/>
        </w:rPr>
      </w:pPr>
    </w:p>
    <w:p w:rsidR="004E13A5" w:rsidRDefault="009913F4">
      <w:pPr>
        <w:pStyle w:val="Heading4"/>
      </w:pPr>
      <w:r w:rsidRPr="00B54141">
        <w:t xml:space="preserve">6-III.E. </w:t>
      </w:r>
      <w:r w:rsidR="00681463">
        <w:t>DISABILITY ASSISTANCE EXPENSES DEDUCTION [24 CFR 5.603(b) and</w:t>
      </w:r>
    </w:p>
    <w:p w:rsidR="004E13A5" w:rsidRDefault="00681463">
      <w:pPr>
        <w:ind w:left="100"/>
        <w:rPr>
          <w:b/>
          <w:sz w:val="24"/>
        </w:rPr>
      </w:pPr>
      <w:r>
        <w:rPr>
          <w:b/>
          <w:sz w:val="24"/>
        </w:rPr>
        <w:t>24 CFR 5.611(a)(3)(ii)]</w:t>
      </w:r>
    </w:p>
    <w:p w:rsidR="009913F4" w:rsidRPr="00B54141" w:rsidRDefault="009913F4" w:rsidP="009913F4">
      <w:r w:rsidRPr="00B54141">
        <w:t>Unreimbursed disability assistance expenses may be deducted to the extent that the sum of those expenses and any medical expenses for which a family is eligible exceed three percent of annual income.</w:t>
      </w:r>
    </w:p>
    <w:p w:rsidR="009913F4" w:rsidRPr="00B54141" w:rsidRDefault="009913F4" w:rsidP="009913F4">
      <w:r w:rsidRPr="00B54141">
        <w:t>HUD recommends that PHAs further define and describe eligible auxiliary apparatus [VG, p. 30]. The model plan recommends that the PHA further elaborate on the following topics:</w:t>
      </w:r>
    </w:p>
    <w:p w:rsidR="009913F4" w:rsidRPr="00B54141" w:rsidRDefault="009913F4" w:rsidP="009913F4">
      <w:pPr>
        <w:widowControl/>
        <w:numPr>
          <w:ilvl w:val="0"/>
          <w:numId w:val="95"/>
        </w:numPr>
        <w:tabs>
          <w:tab w:val="clear" w:pos="720"/>
          <w:tab w:val="left" w:pos="360"/>
        </w:tabs>
        <w:autoSpaceDE/>
        <w:autoSpaceDN/>
        <w:spacing w:before="120"/>
        <w:ind w:left="360"/>
      </w:pPr>
      <w:r w:rsidRPr="00B54141">
        <w:t>Implementing the earned income limit, including determining which family is enabled to work</w:t>
      </w:r>
    </w:p>
    <w:p w:rsidR="009913F4" w:rsidRPr="00B54141" w:rsidRDefault="009913F4" w:rsidP="009913F4">
      <w:pPr>
        <w:widowControl/>
        <w:numPr>
          <w:ilvl w:val="0"/>
          <w:numId w:val="95"/>
        </w:numPr>
        <w:tabs>
          <w:tab w:val="clear" w:pos="720"/>
          <w:tab w:val="left" w:pos="360"/>
        </w:tabs>
        <w:autoSpaceDE/>
        <w:autoSpaceDN/>
        <w:spacing w:before="120"/>
        <w:ind w:left="360"/>
      </w:pPr>
      <w:r w:rsidRPr="00B54141">
        <w:t>Defining eligible, necessary, and reasonable disability expenses</w:t>
      </w:r>
    </w:p>
    <w:p w:rsidR="009913F4" w:rsidRPr="00B54141" w:rsidRDefault="009913F4" w:rsidP="009913F4">
      <w:pPr>
        <w:widowControl/>
        <w:numPr>
          <w:ilvl w:val="0"/>
          <w:numId w:val="95"/>
        </w:numPr>
        <w:tabs>
          <w:tab w:val="clear" w:pos="720"/>
          <w:tab w:val="left" w:pos="360"/>
        </w:tabs>
        <w:autoSpaceDE/>
        <w:autoSpaceDN/>
        <w:spacing w:before="120"/>
        <w:ind w:left="360"/>
      </w:pPr>
      <w:r w:rsidRPr="00B54141">
        <w:t>Classifying medical and disability expenses</w:t>
      </w:r>
    </w:p>
    <w:p w:rsidR="004E13A5" w:rsidRDefault="00681463">
      <w:pPr>
        <w:pStyle w:val="Heading4"/>
        <w:spacing w:before="120"/>
      </w:pPr>
      <w:r>
        <w:t>Earned Income Limit on the Disability Assistance Expense Deduction</w:t>
      </w:r>
    </w:p>
    <w:p w:rsidR="004E13A5" w:rsidRDefault="00681463">
      <w:pPr>
        <w:pStyle w:val="BodyText"/>
        <w:ind w:right="362"/>
      </w:pPr>
      <w:r>
        <w:t>A family can qualify for the disability assistance expense deduction only if at least one family member (who may be the person with disabilities) is enabled to work [24 CFR 5.603(b)].</w:t>
      </w:r>
    </w:p>
    <w:p w:rsidR="004E13A5" w:rsidRDefault="00681463">
      <w:pPr>
        <w:pStyle w:val="BodyText"/>
        <w:ind w:right="115"/>
        <w:jc w:val="both"/>
      </w:pPr>
      <w:r>
        <w:t>The disability expense deduction is capped by the amount of “earned income received by family members who are 18 years of age or older and who are able to work” because of the expense [24 CFR 5.611(a)(3)(ii)]. The earned income used for this purpose is the amount verified before any earned income disallowances or income exclusions are applied.</w:t>
      </w:r>
    </w:p>
    <w:p w:rsidR="004E13A5" w:rsidRDefault="00681463">
      <w:pPr>
        <w:pStyle w:val="BodyText"/>
        <w:spacing w:before="120"/>
        <w:ind w:left="820"/>
      </w:pPr>
      <w:r>
        <w:rPr>
          <w:u w:val="single"/>
        </w:rPr>
        <w:t>PHA Policy</w:t>
      </w:r>
    </w:p>
    <w:p w:rsidR="004E13A5" w:rsidRDefault="00681463">
      <w:pPr>
        <w:pStyle w:val="BodyText"/>
        <w:spacing w:before="120"/>
        <w:ind w:left="820" w:right="95"/>
      </w:pPr>
      <w:r>
        <w:t>The family must identify the family members enabled to work as a result of the disability assistance expenses. In evaluating the family’s request, the PHA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 work.</w:t>
      </w:r>
    </w:p>
    <w:p w:rsidR="004E13A5" w:rsidRDefault="004E13A5">
      <w:pPr>
        <w:sectPr w:rsidR="004E13A5">
          <w:pgSz w:w="12240" w:h="15840"/>
          <w:pgMar w:top="1440" w:right="1400" w:bottom="640" w:left="1340" w:header="0" w:footer="441" w:gutter="0"/>
          <w:cols w:space="720"/>
        </w:sectPr>
      </w:pPr>
    </w:p>
    <w:p w:rsidR="004E13A5" w:rsidRDefault="00681463">
      <w:pPr>
        <w:pStyle w:val="BodyText"/>
        <w:spacing w:before="79"/>
        <w:ind w:left="820" w:right="195"/>
      </w:pPr>
      <w:r>
        <w:lastRenderedPageBreak/>
        <w:t>When the PHA determines that the disability assistance expenses enable more than one family member to work, the expenses will be capped by the sum of the family members’ incomes.</w:t>
      </w:r>
    </w:p>
    <w:p w:rsidR="004E13A5" w:rsidRDefault="00681463">
      <w:pPr>
        <w:pStyle w:val="Heading4"/>
        <w:spacing w:before="119"/>
      </w:pPr>
      <w:r>
        <w:t>Eligible Disability Expenses</w:t>
      </w:r>
    </w:p>
    <w:p w:rsidR="004E13A5" w:rsidRDefault="00681463">
      <w:pPr>
        <w:pStyle w:val="BodyText"/>
        <w:ind w:right="149"/>
      </w:pPr>
      <w:r>
        <w:t xml:space="preserve">Examples of auxiliary apparatus are provided in the </w:t>
      </w:r>
      <w:r>
        <w:rPr>
          <w:i/>
        </w:rPr>
        <w:t xml:space="preserve">HCV Guidebook </w:t>
      </w:r>
      <w:r>
        <w:t>as follows: “Auxiliary apparatus are items such as wheelchairs, ramps, adaptations to vehicles, or special equipment to enable a blind person to read or type, but only if these items are directly related to permitting the disabled person or other family member to work” [HCV GB, p. 5-30].</w:t>
      </w:r>
    </w:p>
    <w:p w:rsidR="004E13A5" w:rsidRDefault="00681463">
      <w:pPr>
        <w:pStyle w:val="BodyText"/>
      </w:pPr>
      <w:r>
        <w:t>HUD advises PHAs to further define and describe auxiliary apparatus [VG, p. 30].</w:t>
      </w:r>
    </w:p>
    <w:p w:rsidR="004E13A5" w:rsidRDefault="00681463">
      <w:pPr>
        <w:pStyle w:val="Heading5"/>
      </w:pPr>
      <w:r>
        <w:t>Eligible Auxiliary Apparatus</w:t>
      </w:r>
    </w:p>
    <w:p w:rsidR="004E13A5" w:rsidRDefault="00681463">
      <w:pPr>
        <w:pStyle w:val="BodyText"/>
        <w:ind w:left="820"/>
      </w:pPr>
      <w:r>
        <w:rPr>
          <w:u w:val="single"/>
        </w:rPr>
        <w:t>PHA Policy</w:t>
      </w:r>
    </w:p>
    <w:p w:rsidR="004E13A5" w:rsidRDefault="00681463">
      <w:pPr>
        <w:pStyle w:val="BodyText"/>
        <w:spacing w:before="120"/>
        <w:ind w:left="820" w:right="62"/>
      </w:pPr>
      <w:r>
        <w:t>Expenses incurred for maintaining or repairing an auxiliary apparatus are eligible. In the case of an apparatus that is specially adapted to accommodate a person with disabilities (e.g., a vehicle or computer), the cost to maintain the special adaptations (but not maintenance of the apparatus itself) is an eligible expense. The cost of service animals trained to give assistance to persons with disabilities, including the cost of acquiring the animal, veterinary care, food, grooming, and other continuing costs of care, will be included.</w:t>
      </w:r>
    </w:p>
    <w:p w:rsidR="00DE50FA" w:rsidRPr="00B54141" w:rsidRDefault="00DE50FA" w:rsidP="00DE50FA">
      <w:pPr>
        <w:keepNext/>
        <w:rPr>
          <w:b/>
        </w:rPr>
      </w:pPr>
      <w:r w:rsidRPr="00B54141">
        <w:rPr>
          <w:b/>
          <w:i/>
        </w:rPr>
        <w:t>Eligible Attendant Care [Notice PIH 2023-27]</w:t>
      </w:r>
    </w:p>
    <w:p w:rsidR="004E13A5" w:rsidRDefault="00681463">
      <w:pPr>
        <w:pStyle w:val="BodyText"/>
        <w:spacing w:before="120"/>
        <w:ind w:right="62"/>
      </w:pPr>
      <w:r>
        <w:t>The family determines the type of attendant care that is appropriate for the person with disabilities.</w:t>
      </w:r>
    </w:p>
    <w:p w:rsidR="004E13A5" w:rsidRDefault="00681463">
      <w:pPr>
        <w:pStyle w:val="BodyText"/>
        <w:spacing w:before="120"/>
        <w:ind w:left="820"/>
      </w:pPr>
      <w:r>
        <w:rPr>
          <w:u w:val="single"/>
        </w:rPr>
        <w:t>PHA Policy</w:t>
      </w:r>
    </w:p>
    <w:p w:rsidR="004E13A5" w:rsidRDefault="00681463">
      <w:pPr>
        <w:pStyle w:val="BodyText"/>
        <w:spacing w:before="120"/>
        <w:ind w:left="820" w:right="62"/>
      </w:pPr>
      <w:r>
        <w:t>Attendant care includes, but is not limited to, reasonable costs for home medical care, nursing services, in-home or center-based care services, interpreters for persons with hearing impairments, and readers for persons with visual disabilities.</w:t>
      </w:r>
    </w:p>
    <w:p w:rsidR="004E13A5" w:rsidRDefault="00681463">
      <w:pPr>
        <w:pStyle w:val="BodyText"/>
        <w:ind w:left="820" w:right="114"/>
      </w:pPr>
      <w: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w:t>
      </w:r>
      <w:r>
        <w:rPr>
          <w:spacing w:val="-7"/>
        </w:rPr>
        <w:t xml:space="preserve"> </w:t>
      </w:r>
      <w:r>
        <w:t>eligible.</w:t>
      </w:r>
    </w:p>
    <w:p w:rsidR="004E13A5" w:rsidRDefault="00681463">
      <w:pPr>
        <w:pStyle w:val="BodyText"/>
        <w:ind w:left="820" w:right="116"/>
      </w:pPr>
      <w:r>
        <w:t>If the care attendant also provides other services to the family, the PHA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 care.</w:t>
      </w:r>
    </w:p>
    <w:p w:rsidR="004E13A5" w:rsidRDefault="00681463">
      <w:pPr>
        <w:pStyle w:val="Heading5"/>
      </w:pPr>
      <w:r>
        <w:t>Payments to Family Members</w:t>
      </w:r>
    </w:p>
    <w:p w:rsidR="004E13A5" w:rsidRDefault="00681463">
      <w:pPr>
        <w:pStyle w:val="BodyText"/>
        <w:ind w:right="619"/>
        <w:jc w:val="both"/>
      </w:pPr>
      <w:r>
        <w:t>No disability assistance expenses may be deducted for payments to a member of an assisted family [24 CFR 5.603(b)]. However, expenses paid to a relative who is not a member of the assisted family may be deducted if they are not reimbursed by an outside source.</w:t>
      </w:r>
    </w:p>
    <w:p w:rsidR="004E13A5" w:rsidRDefault="004E13A5">
      <w:pPr>
        <w:jc w:val="both"/>
        <w:sectPr w:rsidR="004E13A5">
          <w:pgSz w:w="12240" w:h="15840"/>
          <w:pgMar w:top="1360" w:right="1360" w:bottom="640" w:left="1340" w:header="0" w:footer="441" w:gutter="0"/>
          <w:cols w:space="720"/>
        </w:sectPr>
      </w:pPr>
    </w:p>
    <w:p w:rsidR="004E13A5" w:rsidRDefault="00681463">
      <w:pPr>
        <w:pStyle w:val="Heading4"/>
        <w:spacing w:before="79"/>
      </w:pPr>
      <w:r>
        <w:lastRenderedPageBreak/>
        <w:t>Necessary and Reasonable Expenses</w:t>
      </w:r>
    </w:p>
    <w:p w:rsidR="004E13A5" w:rsidRDefault="00681463">
      <w:pPr>
        <w:pStyle w:val="BodyText"/>
        <w:ind w:right="329"/>
      </w:pPr>
      <w:r>
        <w:t>The family determines the type of care or auxiliary apparatus to be provided and must describe how the expenses enable a family member to work. The family must certify that the disability assistance expenses are necessary and are not paid or reimbursed by any other source.</w:t>
      </w:r>
    </w:p>
    <w:p w:rsidR="004E13A5" w:rsidRDefault="00681463">
      <w:pPr>
        <w:pStyle w:val="BodyText"/>
        <w:ind w:left="820"/>
      </w:pPr>
      <w:r>
        <w:rPr>
          <w:u w:val="single"/>
        </w:rPr>
        <w:t>PHA Policy</w:t>
      </w:r>
    </w:p>
    <w:p w:rsidR="004E13A5" w:rsidRDefault="00681463">
      <w:pPr>
        <w:pStyle w:val="BodyText"/>
        <w:ind w:left="820" w:right="162"/>
      </w:pPr>
      <w:r>
        <w:t>The PHA determines the reasonableness of the expenses based on typical costs of care or apparatus in the locality. To establish typical costs, the PHA will collect information from organizations that provide services and support to persons with disabilities. A family may present, and the PHA will consider, the family’s justification for costs that exceed typical costs in the area.</w:t>
      </w:r>
    </w:p>
    <w:p w:rsidR="004E13A5" w:rsidRDefault="00681463">
      <w:pPr>
        <w:pStyle w:val="Heading4"/>
        <w:spacing w:before="119"/>
      </w:pPr>
      <w:r>
        <w:t>Families That Qualify for Both Medical and Disability Assistance Expenses</w:t>
      </w:r>
    </w:p>
    <w:p w:rsidR="004E13A5" w:rsidRDefault="00681463">
      <w:pPr>
        <w:pStyle w:val="BodyText"/>
        <w:spacing w:before="120"/>
        <w:ind w:left="820"/>
      </w:pPr>
      <w:r>
        <w:rPr>
          <w:u w:val="single"/>
        </w:rPr>
        <w:t>PHA Policy</w:t>
      </w:r>
    </w:p>
    <w:p w:rsidR="004E13A5" w:rsidRDefault="00681463">
      <w:pPr>
        <w:pStyle w:val="BodyText"/>
        <w:spacing w:before="120"/>
        <w:ind w:left="820" w:right="262"/>
      </w:pPr>
      <w:r>
        <w:t>This policy applies only to families in which the head or spouse is 62 or older or is a person with disabilities.</w:t>
      </w:r>
    </w:p>
    <w:p w:rsidR="004E13A5" w:rsidRDefault="00681463">
      <w:pPr>
        <w:pStyle w:val="BodyText"/>
        <w:spacing w:before="120"/>
        <w:ind w:left="820" w:right="182"/>
      </w:pPr>
      <w:r>
        <w:t>When expenses anticipated by a family could be defined as either medical or disability assistance expenses, the PHA will consider them medical expenses unless it is clear that the expenses are incurred exclusively to enable a person with disabilities to work.</w:t>
      </w:r>
    </w:p>
    <w:p w:rsidR="004E13A5" w:rsidRDefault="004E13A5">
      <w:pPr>
        <w:pStyle w:val="BodyText"/>
        <w:spacing w:before="9"/>
        <w:ind w:left="0"/>
        <w:rPr>
          <w:sz w:val="20"/>
        </w:rPr>
      </w:pPr>
    </w:p>
    <w:p w:rsidR="004E13A5" w:rsidRDefault="00954889">
      <w:pPr>
        <w:pStyle w:val="Heading4"/>
        <w:spacing w:before="1"/>
      </w:pPr>
      <w:r w:rsidRPr="00B54141">
        <w:t xml:space="preserve">6-III.F. </w:t>
      </w:r>
      <w:r w:rsidR="00681463">
        <w:t>CHILD CARE EXPENSE DEDUCTION</w:t>
      </w:r>
    </w:p>
    <w:p w:rsidR="004E13A5" w:rsidRDefault="00681463">
      <w:pPr>
        <w:pStyle w:val="BodyText"/>
        <w:spacing w:before="120"/>
        <w:ind w:right="123"/>
      </w:pPr>
      <w:r>
        <w:t xml:space="preserve">HUD defines </w:t>
      </w:r>
      <w:r>
        <w:rPr>
          <w:i/>
        </w:rPr>
        <w:t xml:space="preserve">child care expenses </w:t>
      </w:r>
      <w:r>
        <w:t xml:space="preserve">at 24 CFR 5.603(b) as “amounts anticipated to be paid </w:t>
      </w:r>
      <w:r>
        <w:rPr>
          <w:spacing w:val="2"/>
        </w:rPr>
        <w:t xml:space="preserve">by </w:t>
      </w:r>
      <w:r>
        <w:t>the family for the care of children under 13 years of age during the period for which annual income is computed, but only where such care is necessary to enable a family member to actively seek employment, be gainfully employed, or to further their education and only to the extent such amounts are not reimbursed. The amount deducted shall reflect reasonable charges for child</w:t>
      </w:r>
      <w:r>
        <w:rPr>
          <w:spacing w:val="-17"/>
        </w:rPr>
        <w:t xml:space="preserve"> </w:t>
      </w:r>
      <w:r>
        <w:t>care. In the case of child care necessary to permit employment, the amount deducted shall not exceed the amount of employment income that is included in annual</w:t>
      </w:r>
      <w:r>
        <w:rPr>
          <w:spacing w:val="-9"/>
        </w:rPr>
        <w:t xml:space="preserve"> </w:t>
      </w:r>
      <w:r>
        <w:t>income.”</w:t>
      </w:r>
    </w:p>
    <w:p w:rsidR="004E13A5" w:rsidRDefault="00681463">
      <w:pPr>
        <w:pStyle w:val="Heading4"/>
        <w:spacing w:before="120"/>
      </w:pPr>
      <w:r>
        <w:t xml:space="preserve">Clarifying the Meaning of </w:t>
      </w:r>
      <w:r>
        <w:rPr>
          <w:i/>
        </w:rPr>
        <w:t xml:space="preserve">Child </w:t>
      </w:r>
      <w:r>
        <w:t>for This Deduction</w:t>
      </w:r>
    </w:p>
    <w:p w:rsidR="004E13A5" w:rsidRDefault="00681463">
      <w:pPr>
        <w:pStyle w:val="BodyText"/>
        <w:spacing w:before="120"/>
        <w:ind w:right="56"/>
      </w:pPr>
      <w:r>
        <w:t xml:space="preserve">Child care expenses do not include child support payments made to another on behalf of a minor who is not living in an assisted family’s household []. However, child care expenses for foster children that are living in the assisted family’s household are included when determining the family’s child care expenses </w:t>
      </w:r>
    </w:p>
    <w:p w:rsidR="004E13A5" w:rsidRDefault="00681463">
      <w:pPr>
        <w:pStyle w:val="Heading4"/>
        <w:spacing w:before="120"/>
      </w:pPr>
      <w:r>
        <w:t>Qualifying for the Deduction</w:t>
      </w:r>
    </w:p>
    <w:p w:rsidR="004E13A5" w:rsidRDefault="00681463">
      <w:pPr>
        <w:pStyle w:val="Heading5"/>
        <w:spacing w:before="120"/>
      </w:pPr>
      <w:r>
        <w:t>Determining Who Is Enabled to Pursue an Eligible Activity</w:t>
      </w:r>
    </w:p>
    <w:p w:rsidR="004E13A5" w:rsidRDefault="00681463">
      <w:pPr>
        <w:pStyle w:val="BodyText"/>
        <w:spacing w:before="120"/>
        <w:ind w:left="820"/>
      </w:pPr>
      <w:r>
        <w:rPr>
          <w:u w:val="single"/>
        </w:rPr>
        <w:t>PHA Policy</w:t>
      </w:r>
    </w:p>
    <w:p w:rsidR="004E13A5" w:rsidRDefault="00681463">
      <w:pPr>
        <w:pStyle w:val="BodyText"/>
        <w:ind w:left="820" w:right="95"/>
      </w:pPr>
      <w:r>
        <w:t xml:space="preserve">The family must identify the family member(s) enabled to pursue an eligible activity. The term </w:t>
      </w:r>
      <w:r>
        <w:rPr>
          <w:i/>
        </w:rPr>
        <w:t xml:space="preserve">eligible activity </w:t>
      </w:r>
      <w:r>
        <w:t>in this section means any of the activities that may make the family eligible for a child care deduction (seeking work, pursuing an education, or being gainfully employed).</w:t>
      </w:r>
    </w:p>
    <w:p w:rsidR="004E13A5" w:rsidRDefault="00681463">
      <w:pPr>
        <w:pStyle w:val="BodyText"/>
        <w:ind w:left="820" w:right="262"/>
      </w:pPr>
      <w:r>
        <w:t>In evaluating the family’s request, the PHA will consider factors such as how the schedule for the claimed activity relates to the hours of care provided, the time required for transportation, the relationship of the family member(s) to the child, and any special</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left="820" w:right="295"/>
      </w:pPr>
      <w:r>
        <w:lastRenderedPageBreak/>
        <w:t>needs of the child that might help determine which family member is enabled to pursue an eligible activity.</w:t>
      </w:r>
    </w:p>
    <w:p w:rsidR="004E13A5" w:rsidRDefault="00681463">
      <w:pPr>
        <w:pStyle w:val="Heading5"/>
      </w:pPr>
      <w:r>
        <w:t>Seeking Work</w:t>
      </w:r>
    </w:p>
    <w:p w:rsidR="004E13A5" w:rsidRDefault="00681463">
      <w:pPr>
        <w:pStyle w:val="BodyText"/>
        <w:ind w:left="820"/>
      </w:pPr>
      <w:r>
        <w:rPr>
          <w:u w:val="single"/>
        </w:rPr>
        <w:t>PHA Policy</w:t>
      </w:r>
    </w:p>
    <w:p w:rsidR="004E13A5" w:rsidRDefault="00681463">
      <w:pPr>
        <w:pStyle w:val="BodyText"/>
        <w:ind w:left="820" w:right="188"/>
      </w:pPr>
      <w:r>
        <w:t>If the child care expense being claimed is to enable a family member to seek employment, the family must provide evidence of the family member’s efforts to obtain employment at each reexamination. The deduction may be reduced or denied if the family member’s job search efforts are not commensurate with the child care expense being allowed by the PHA.</w:t>
      </w:r>
    </w:p>
    <w:p w:rsidR="004E13A5" w:rsidRDefault="00681463">
      <w:pPr>
        <w:pStyle w:val="Heading5"/>
      </w:pPr>
      <w:r>
        <w:t>Furthering Education</w:t>
      </w:r>
    </w:p>
    <w:p w:rsidR="004E13A5" w:rsidRDefault="00681463">
      <w:pPr>
        <w:pStyle w:val="BodyText"/>
        <w:ind w:left="820"/>
      </w:pPr>
      <w:r>
        <w:rPr>
          <w:u w:val="single"/>
        </w:rPr>
        <w:t>PHA Policy</w:t>
      </w:r>
    </w:p>
    <w:p w:rsidR="004E13A5" w:rsidRDefault="00681463">
      <w:pPr>
        <w:pStyle w:val="BodyText"/>
        <w:spacing w:before="120"/>
        <w:ind w:left="820" w:right="172"/>
      </w:pPr>
      <w:r>
        <w:t>If the child care expense being claimed is to enable a family member to further their education, the member must be enrolled in school (academic or vocational) or participating in a formal training program. The family member is not required to be a full-time student, but the time spent in educational activities must be commensurate with the child care claimed.</w:t>
      </w:r>
    </w:p>
    <w:p w:rsidR="004E13A5" w:rsidRDefault="00681463">
      <w:pPr>
        <w:pStyle w:val="Heading5"/>
        <w:spacing w:before="120"/>
      </w:pPr>
      <w:r>
        <w:t>Being Gainfully Employed</w:t>
      </w:r>
    </w:p>
    <w:p w:rsidR="004E13A5" w:rsidRDefault="00681463">
      <w:pPr>
        <w:pStyle w:val="BodyText"/>
        <w:spacing w:before="120"/>
        <w:ind w:left="820"/>
      </w:pPr>
      <w:r>
        <w:rPr>
          <w:u w:val="single"/>
        </w:rPr>
        <w:t>PHA Policy</w:t>
      </w:r>
    </w:p>
    <w:p w:rsidR="004E13A5" w:rsidRDefault="00681463">
      <w:pPr>
        <w:pStyle w:val="BodyText"/>
        <w:spacing w:before="120"/>
        <w:ind w:left="820" w:right="135"/>
      </w:pPr>
      <w:r>
        <w:t>If the child care expense being claimed is to enable a family member to be gainfully employed, the family must provide evidence of the family member’s employment during the time that child care is being provided. Gainful employment is any legal work activity (full- or part-time) for which a family member is compensated.</w:t>
      </w:r>
    </w:p>
    <w:p w:rsidR="004E13A5" w:rsidRDefault="00681463">
      <w:pPr>
        <w:pStyle w:val="Heading4"/>
        <w:spacing w:before="120"/>
      </w:pPr>
      <w:r>
        <w:t>Earned Income Limit on Child Care Expense Deduction</w:t>
      </w:r>
    </w:p>
    <w:p w:rsidR="004E13A5" w:rsidRDefault="00681463">
      <w:pPr>
        <w:pStyle w:val="BodyText"/>
        <w:ind w:right="149"/>
      </w:pPr>
      <w:r>
        <w:t>When a family member looks for work or furthers their education, there is no cap on the amount that may be deducted for child care – although the care must still be necessary and reasonable. However, when child care enables a family member to work, the deduction is capped by “the amount of employment income that is included in annual income” [24 CFR 5.603(b)].</w:t>
      </w:r>
    </w:p>
    <w:p w:rsidR="004E13A5" w:rsidRDefault="00681463">
      <w:pPr>
        <w:pStyle w:val="BodyText"/>
        <w:ind w:right="703"/>
      </w:pPr>
      <w:r>
        <w:t>The earned income used for this purpose is the amount of earned income verified after any earned income disallowances or income exclusions are applied.</w:t>
      </w:r>
    </w:p>
    <w:p w:rsidR="004E13A5" w:rsidRDefault="00681463">
      <w:pPr>
        <w:pStyle w:val="BodyText"/>
        <w:ind w:right="163"/>
      </w:pPr>
      <w:r>
        <w:t>When the person who is enabled to work is a person with disabilities who receives the earned income disallowance (EID) or a full-time student whose earned income above $480 is excluded, child care costs related to enabling a family member to work may not exceed the portion of the person’s earned income that actually is included in annual income. For example, if a family member who qualifies for the EID makes $15,000 but because of the EID only $5,000 is included in annual income, child care expenses are limited to $5,000.</w:t>
      </w:r>
    </w:p>
    <w:p w:rsidR="004E13A5" w:rsidRDefault="00681463">
      <w:pPr>
        <w:pStyle w:val="BodyText"/>
        <w:ind w:right="89"/>
      </w:pPr>
      <w:r>
        <w:t>The PHA must not limit the deduction to the least expensive type of child care. If the care allows the family to pursue more than one eligible activity, including work, the cap is calculated in proportion to the amount of time spent working [HCV GB, p. 5-30].</w:t>
      </w:r>
    </w:p>
    <w:p w:rsidR="004E13A5" w:rsidRDefault="00681463">
      <w:pPr>
        <w:pStyle w:val="BodyText"/>
        <w:ind w:left="820"/>
      </w:pPr>
      <w:r>
        <w:rPr>
          <w:u w:val="single"/>
        </w:rPr>
        <w:t>PHA Policy</w:t>
      </w:r>
    </w:p>
    <w:p w:rsidR="004E13A5" w:rsidRDefault="00681463">
      <w:pPr>
        <w:pStyle w:val="BodyText"/>
        <w:ind w:left="820" w:right="276"/>
      </w:pPr>
      <w:r>
        <w:t>When the child care expense being claimed is to enable a family member to work, only one family member’s income will be considered for a given period of time. When more</w:t>
      </w:r>
    </w:p>
    <w:p w:rsidR="004E13A5" w:rsidRDefault="004E13A5">
      <w:pPr>
        <w:sectPr w:rsidR="004E13A5">
          <w:pgSz w:w="12240" w:h="15840"/>
          <w:pgMar w:top="1360" w:right="1380" w:bottom="640" w:left="1340" w:header="0" w:footer="441" w:gutter="0"/>
          <w:cols w:space="720"/>
        </w:sectPr>
      </w:pPr>
    </w:p>
    <w:p w:rsidR="004E13A5" w:rsidRDefault="00681463">
      <w:pPr>
        <w:pStyle w:val="BodyText"/>
        <w:spacing w:before="79"/>
        <w:ind w:left="820" w:right="663"/>
      </w:pPr>
      <w:r>
        <w:lastRenderedPageBreak/>
        <w:t>than one family member works during a given period, the PHA generally will limit allowable child care expenses to the earned income of the lowest-paid member. The family may provide information that supports a request to designate another family member as the person enabled to work.</w:t>
      </w:r>
    </w:p>
    <w:p w:rsidR="004E13A5" w:rsidRDefault="00681463">
      <w:pPr>
        <w:pStyle w:val="Heading4"/>
        <w:spacing w:before="119"/>
      </w:pPr>
      <w:r>
        <w:t>Eligible Child Care Expenses</w:t>
      </w:r>
    </w:p>
    <w:p w:rsidR="004E13A5" w:rsidRDefault="00681463">
      <w:pPr>
        <w:pStyle w:val="BodyText"/>
        <w:ind w:right="155"/>
      </w:pPr>
      <w:r>
        <w:t>The type of care to be provided is determined by the assisted family. The PHA may not refuse to give a family the child care expense deduction because there is an adult family member in the household that may be available to provide child care [VG, p. 26].</w:t>
      </w:r>
    </w:p>
    <w:p w:rsidR="004E13A5" w:rsidRDefault="00681463">
      <w:pPr>
        <w:pStyle w:val="Heading5"/>
      </w:pPr>
      <w:r>
        <w:t>Allowable Child Care Activities</w:t>
      </w:r>
    </w:p>
    <w:p w:rsidR="004E13A5" w:rsidRDefault="00681463">
      <w:pPr>
        <w:pStyle w:val="BodyText"/>
        <w:ind w:left="820"/>
      </w:pPr>
      <w:r>
        <w:rPr>
          <w:u w:val="single"/>
        </w:rPr>
        <w:t>PHA Policy</w:t>
      </w:r>
    </w:p>
    <w:p w:rsidR="004E13A5" w:rsidRDefault="00681463">
      <w:pPr>
        <w:pStyle w:val="BodyText"/>
        <w:ind w:left="820" w:right="495"/>
      </w:pPr>
      <w:r>
        <w:t>For school-age children, costs attributable to public or private school activities during standard school hours are not considered. Expenses incurred for supervised activities after school or during school holidays (e.g., summer day camp, after-school sports league) are allowable forms of child care.</w:t>
      </w:r>
    </w:p>
    <w:p w:rsidR="004E13A5" w:rsidRDefault="00681463">
      <w:pPr>
        <w:pStyle w:val="BodyText"/>
        <w:ind w:left="820"/>
      </w:pPr>
      <w:r>
        <w:t>The costs of general housekeeping and personal services are not eligible. Likewise, child care expenses paid to a family member who lives in the family’s unit are not eligible; however, payments for child care to relatives who do not live in the unit are eligible.</w:t>
      </w:r>
    </w:p>
    <w:p w:rsidR="004E13A5" w:rsidRDefault="00681463">
      <w:pPr>
        <w:pStyle w:val="BodyText"/>
        <w:ind w:left="820" w:right="95"/>
      </w:pPr>
      <w:r>
        <w:t>If a child care provider also renders other services to a family or child care is used to enable a family member to conduct activities that are not eligible for consideration, the PHA will prorate the costs and allow only that portion of the expenses that is attributable to child care for eligible activities. For example, if the care provider also cares for a child with disabilities who is 13 or older, the cost of care will be prorated. Unless otherwise specified by the child care provider, the calculation will be based upon the number of hours spent in each activity and/or the number of persons under care.</w:t>
      </w:r>
    </w:p>
    <w:p w:rsidR="004E13A5" w:rsidRDefault="00681463">
      <w:pPr>
        <w:pStyle w:val="Heading5"/>
      </w:pPr>
      <w:r>
        <w:t>Necessary and Reasonable Costs</w:t>
      </w:r>
    </w:p>
    <w:p w:rsidR="004E13A5" w:rsidRDefault="00681463">
      <w:pPr>
        <w:pStyle w:val="BodyText"/>
        <w:ind w:right="143"/>
      </w:pPr>
      <w:r>
        <w:t>Child care expenses will be considered necessary if: (1) a family adequately explains how the care enables a family member to work, actively seek employment, or further their education, and</w:t>
      </w:r>
    </w:p>
    <w:p w:rsidR="004E13A5" w:rsidRDefault="00681463">
      <w:pPr>
        <w:pStyle w:val="BodyText"/>
        <w:spacing w:before="0"/>
        <w:ind w:right="262"/>
      </w:pPr>
      <w:r>
        <w:t>(2) the family certifies, and the child care provider verifies, that the expenses are not paid or reimbursed by any other source.</w:t>
      </w:r>
    </w:p>
    <w:p w:rsidR="004E13A5" w:rsidRDefault="00681463">
      <w:pPr>
        <w:pStyle w:val="BodyText"/>
        <w:spacing w:before="120"/>
        <w:ind w:left="820"/>
      </w:pPr>
      <w:r>
        <w:rPr>
          <w:u w:val="single"/>
        </w:rPr>
        <w:t>PHA Policy</w:t>
      </w:r>
    </w:p>
    <w:p w:rsidR="004E13A5" w:rsidRDefault="00681463">
      <w:pPr>
        <w:pStyle w:val="BodyText"/>
        <w:ind w:left="820" w:right="102"/>
      </w:pPr>
      <w:r>
        <w:t>Child care expenses will be considered for the time required for the eligible activity plus reasonable transportation time. For child care that enables a family member to go to school, the time allowed may include not more than one study hour for each hour spent in class.</w:t>
      </w:r>
    </w:p>
    <w:p w:rsidR="004E13A5" w:rsidRDefault="00681463">
      <w:pPr>
        <w:pStyle w:val="BodyText"/>
        <w:ind w:left="820" w:right="82"/>
      </w:pPr>
      <w:r>
        <w:t>To establish the reasonableness of child care costs, the PHA will use the schedule of child care costs from a qualified local entity that either subsidizes child care costs or licenses child care providers. Families may present, and the PHA will consider, justification for costs that exceed typical costs in the area.</w:t>
      </w:r>
    </w:p>
    <w:p w:rsidR="004E13A5" w:rsidRDefault="004E13A5"/>
    <w:p w:rsidR="006F7740" w:rsidRDefault="006F7740"/>
    <w:p w:rsidR="00EE4FB1" w:rsidRPr="00BF2931" w:rsidRDefault="00EE4FB1">
      <w:pPr>
        <w:rPr>
          <w:b/>
        </w:rPr>
      </w:pPr>
      <w:bookmarkStart w:id="30" w:name="_Hlk145778662"/>
      <w:r w:rsidRPr="00B54141">
        <w:rPr>
          <w:b/>
        </w:rPr>
        <w:t>6-III.G. HARDSHIP EXEMPTIONS [24 CFR 5.611(c), (d), and (e)]</w:t>
      </w:r>
      <w:bookmarkEnd w:id="30"/>
    </w:p>
    <w:p w:rsidR="00EE4FB1" w:rsidRDefault="00EE4FB1" w:rsidP="00EE4FB1">
      <w:pPr>
        <w:spacing w:before="240"/>
        <w:rPr>
          <w:b/>
        </w:rPr>
      </w:pPr>
      <w:r w:rsidRPr="00B54141">
        <w:rPr>
          <w:bCs/>
        </w:rPr>
        <w:t>HOTMA created hardship exemption categories related to health and medical care and disability expenses and for child care expenses. This section explains how family qualify for those hardship exemptions.</w:t>
      </w:r>
      <w:r w:rsidRPr="00B54141">
        <w:rPr>
          <w:b/>
        </w:rPr>
        <w:t xml:space="preserve"> </w:t>
      </w:r>
    </w:p>
    <w:p w:rsidR="00EE4FB1" w:rsidRPr="00B54141" w:rsidRDefault="00EE4FB1" w:rsidP="00EE4FB1">
      <w:pPr>
        <w:spacing w:before="240"/>
        <w:rPr>
          <w:b/>
        </w:rPr>
      </w:pPr>
    </w:p>
    <w:p w:rsidR="00EE4FB1" w:rsidRPr="00B54141" w:rsidRDefault="00EE4FB1" w:rsidP="00EE4FB1">
      <w:pPr>
        <w:rPr>
          <w:b/>
          <w:i/>
        </w:rPr>
      </w:pPr>
      <w:r w:rsidRPr="00B54141">
        <w:rPr>
          <w:b/>
          <w:i/>
        </w:rPr>
        <w:t>Health and Medical Care and Disability Assistance Expenses [</w:t>
      </w:r>
      <w:r w:rsidRPr="00B54141">
        <w:rPr>
          <w:b/>
          <w:iCs/>
        </w:rPr>
        <w:t>24 CFR 5.611(c);</w:t>
      </w:r>
      <w:bookmarkStart w:id="31" w:name="_Hlk144890994"/>
      <w:r w:rsidRPr="00B54141">
        <w:rPr>
          <w:b/>
          <w:iCs/>
        </w:rPr>
        <w:t xml:space="preserve"> </w:t>
      </w:r>
      <w:bookmarkEnd w:id="31"/>
      <w:r w:rsidRPr="00B54141">
        <w:rPr>
          <w:b/>
          <w:iCs/>
        </w:rPr>
        <w:t>Notice PIH 2023-27</w:t>
      </w:r>
      <w:r w:rsidRPr="00B54141">
        <w:rPr>
          <w:b/>
          <w:i/>
        </w:rPr>
        <w:t>]</w:t>
      </w:r>
    </w:p>
    <w:p w:rsidR="00EE4FB1" w:rsidRDefault="00EE4FB1"/>
    <w:p w:rsidR="00EE4FB1" w:rsidRDefault="00EE4FB1"/>
    <w:p w:rsidR="00EE4FB1" w:rsidRDefault="00EE4FB1" w:rsidP="00EE4FB1">
      <w:pPr>
        <w:keepNext/>
        <w:rPr>
          <w:b/>
        </w:rPr>
      </w:pPr>
      <w:r w:rsidRPr="00B54141">
        <w:rPr>
          <w:bCs/>
        </w:rPr>
        <w:t xml:space="preserve">There are two categories of hardship exemptions. </w:t>
      </w:r>
      <w:r w:rsidRPr="00B54141">
        <w:rPr>
          <w:b/>
        </w:rPr>
        <w:t>No PHA policy decisions are required.</w:t>
      </w:r>
    </w:p>
    <w:p w:rsidR="00EE4FB1" w:rsidRPr="00B54141" w:rsidRDefault="00EE4FB1" w:rsidP="00EE4FB1">
      <w:pPr>
        <w:keepNext/>
        <w:rPr>
          <w:bCs/>
        </w:rPr>
      </w:pPr>
    </w:p>
    <w:p w:rsidR="00EE4FB1" w:rsidRPr="00B54141" w:rsidRDefault="00EE4FB1" w:rsidP="00EE4FB1">
      <w:pPr>
        <w:keepNext/>
        <w:rPr>
          <w:b/>
          <w:i/>
          <w:iCs/>
        </w:rPr>
      </w:pPr>
      <w:r w:rsidRPr="00B54141">
        <w:rPr>
          <w:b/>
          <w:i/>
          <w:iCs/>
        </w:rPr>
        <w:t>Phased-In Relief</w:t>
      </w:r>
    </w:p>
    <w:p w:rsidR="00EE4FB1" w:rsidRDefault="00EE4FB1"/>
    <w:p w:rsidR="00EE4FB1" w:rsidRDefault="00EE4FB1" w:rsidP="00EE4FB1">
      <w:pPr>
        <w:pStyle w:val="BodyText"/>
        <w:spacing w:before="120"/>
        <w:ind w:left="820"/>
      </w:pPr>
      <w:r>
        <w:tab/>
      </w:r>
      <w:r>
        <w:tab/>
      </w:r>
      <w:r>
        <w:tab/>
      </w:r>
      <w:r>
        <w:rPr>
          <w:u w:val="single"/>
        </w:rPr>
        <w:t>PHA Policy</w:t>
      </w:r>
    </w:p>
    <w:p w:rsidR="00EE4FB1" w:rsidRDefault="00EE4FB1"/>
    <w:p w:rsidR="00EE4FB1" w:rsidRDefault="00EE4FB1"/>
    <w:p w:rsidR="00EE4FB1" w:rsidRPr="00B54141" w:rsidRDefault="00EE4FB1" w:rsidP="00EE4FB1">
      <w:pPr>
        <w:keepNext/>
        <w:tabs>
          <w:tab w:val="left" w:pos="720"/>
        </w:tabs>
        <w:ind w:left="2160"/>
      </w:pPr>
      <w:r w:rsidRPr="00B54141">
        <w:t>The PHA will not continue the phased-in relief for families who move from public housing to HCV. These families will be treated as new admissions and the sum of expenses that exceeds 10 percent of annual income will be used to calculate their adjusted income.</w:t>
      </w:r>
    </w:p>
    <w:p w:rsidR="00EE4FB1" w:rsidRDefault="00EE4FB1"/>
    <w:p w:rsidR="00EE4FB1" w:rsidRDefault="00EE4FB1"/>
    <w:p w:rsidR="00EE4FB1" w:rsidRDefault="00EE4FB1">
      <w:pPr>
        <w:rPr>
          <w:b/>
          <w:i/>
          <w:iCs/>
        </w:rPr>
      </w:pPr>
      <w:r w:rsidRPr="00B54141">
        <w:rPr>
          <w:b/>
          <w:i/>
          <w:iCs/>
        </w:rPr>
        <w:t>General Relief</w:t>
      </w:r>
    </w:p>
    <w:p w:rsidR="00EE4FB1" w:rsidRDefault="00EE4FB1"/>
    <w:p w:rsidR="00EE4FB1" w:rsidRDefault="00EE4FB1"/>
    <w:p w:rsidR="00EE4FB1" w:rsidRDefault="00EE4FB1" w:rsidP="00EE4FB1">
      <w:pPr>
        <w:pStyle w:val="BodyText"/>
        <w:spacing w:before="120"/>
        <w:ind w:left="820"/>
      </w:pPr>
      <w:r>
        <w:tab/>
      </w:r>
      <w:r>
        <w:tab/>
      </w:r>
      <w:r>
        <w:rPr>
          <w:u w:val="single"/>
        </w:rPr>
        <w:t>PHA Policy</w:t>
      </w:r>
    </w:p>
    <w:p w:rsidR="00EE4FB1" w:rsidRDefault="00EE4FB1"/>
    <w:p w:rsidR="00EE4FB1" w:rsidRDefault="00EE4FB1"/>
    <w:p w:rsidR="00EE4FB1" w:rsidRPr="00B54141" w:rsidRDefault="00EE4FB1" w:rsidP="00EE4FB1">
      <w:pPr>
        <w:keepNext/>
        <w:tabs>
          <w:tab w:val="left" w:pos="720"/>
        </w:tabs>
        <w:ind w:left="1800"/>
      </w:pPr>
      <w:r w:rsidRPr="00B54141">
        <w:t xml:space="preserve">To qualify for a hardship exemption, a family must submit a request in writing. The request must show that the family’s health and medical and/or disability assistance expenses have increased (other than the transition to the higher threshold) and that the family’s financial hardship is a result of a change in circumstances. The PHA defines </w:t>
      </w:r>
      <w:r w:rsidRPr="00B54141">
        <w:rPr>
          <w:i/>
          <w:iCs/>
        </w:rPr>
        <w:t xml:space="preserve">a change in circumstances </w:t>
      </w:r>
      <w:r w:rsidRPr="00B54141">
        <w:t>as a decrease in income or increase in other expenses that has resulted in the family’s financial hardship but does not, on its own, trigger an interim reexam in accordance with PHA policies.</w:t>
      </w:r>
    </w:p>
    <w:p w:rsidR="00EE4FB1" w:rsidRPr="00B54141" w:rsidRDefault="00EE4FB1" w:rsidP="00EE4FB1">
      <w:pPr>
        <w:keepNext/>
        <w:tabs>
          <w:tab w:val="left" w:pos="720"/>
        </w:tabs>
        <w:ind w:left="1800"/>
      </w:pPr>
      <w:bookmarkStart w:id="32" w:name="_Hlk147315404"/>
      <w:r w:rsidRPr="00B54141">
        <w:t>Examples of circumstances constituting a financial hardship may include the following situations:</w:t>
      </w:r>
    </w:p>
    <w:p w:rsidR="00EE4FB1" w:rsidRPr="00B54141" w:rsidRDefault="00EE4FB1" w:rsidP="00EE4FB1">
      <w:pPr>
        <w:ind w:left="2520"/>
      </w:pPr>
      <w:r w:rsidRPr="00B54141">
        <w:t>The family is awaiting an eligibility determination for a federal, state, or local assistance program, such as a determination for unemployment compensation or disability benefits;</w:t>
      </w:r>
    </w:p>
    <w:p w:rsidR="00EE4FB1" w:rsidRPr="00B54141" w:rsidRDefault="00EE4FB1" w:rsidP="00EE4FB1">
      <w:pPr>
        <w:ind w:left="2520"/>
      </w:pPr>
      <w:r w:rsidRPr="00B54141">
        <w:t xml:space="preserve">The family’s income decreased because of a loss of employment, death of a family member, or due to a natural or federal/state declared disaster; or </w:t>
      </w:r>
    </w:p>
    <w:p w:rsidR="00EE4FB1" w:rsidRPr="00B54141" w:rsidRDefault="00EE4FB1" w:rsidP="00EE4FB1">
      <w:pPr>
        <w:ind w:left="2520"/>
      </w:pPr>
      <w:r w:rsidRPr="00B54141">
        <w:t>Other circumstances as determined by the PHA.</w:t>
      </w:r>
    </w:p>
    <w:bookmarkEnd w:id="32"/>
    <w:p w:rsidR="00EE4FB1" w:rsidRPr="00B54141" w:rsidRDefault="00EE4FB1" w:rsidP="00EE4FB1">
      <w:pPr>
        <w:tabs>
          <w:tab w:val="left" w:pos="720"/>
        </w:tabs>
        <w:ind w:left="1800"/>
      </w:pPr>
      <w:r w:rsidRPr="00B54141">
        <w:t>The family must provide third-party verification of the hardship with the request. If third-party verification is not available, the PHA will document the file with the reason and will attempt to obtain third-party verification prior to the end of the 90-day hardship exemption period.</w:t>
      </w:r>
    </w:p>
    <w:p w:rsidR="00EE4FB1" w:rsidRDefault="00EE4FB1"/>
    <w:p w:rsidR="00EE4FB1" w:rsidRDefault="00EE4FB1"/>
    <w:p w:rsidR="00EE4FB1" w:rsidRDefault="00EE4FB1" w:rsidP="00EE4FB1">
      <w:pPr>
        <w:pStyle w:val="BodyText"/>
        <w:spacing w:before="120"/>
        <w:ind w:left="820"/>
      </w:pPr>
      <w:r>
        <w:tab/>
      </w:r>
      <w:r>
        <w:tab/>
      </w:r>
      <w:r>
        <w:tab/>
      </w:r>
      <w:r>
        <w:rPr>
          <w:u w:val="single"/>
        </w:rPr>
        <w:t>PHA Policy</w:t>
      </w:r>
    </w:p>
    <w:p w:rsidR="00EE4FB1" w:rsidRDefault="00EE4FB1"/>
    <w:p w:rsidR="00EE4FB1" w:rsidRDefault="00EE4FB1"/>
    <w:p w:rsidR="00EE4FB1" w:rsidRPr="00B54141" w:rsidRDefault="00EE4FB1" w:rsidP="00EE4FB1">
      <w:pPr>
        <w:ind w:left="1800"/>
      </w:pPr>
      <w:bookmarkStart w:id="33" w:name="_Hlk135306300"/>
      <w:r w:rsidRPr="00B54141">
        <w:t xml:space="preserve">The PHA will make a determination of whether the family qualifies within 30 calendar days and will notify the family in writing of the result within 10 business days of the determination. </w:t>
      </w:r>
    </w:p>
    <w:p w:rsidR="00EE4FB1" w:rsidRPr="00B54141" w:rsidRDefault="00EE4FB1" w:rsidP="00EE4FB1">
      <w:pPr>
        <w:ind w:left="2520"/>
      </w:pPr>
      <w:r w:rsidRPr="00B54141">
        <w:t>If the PHA denies the hardship exemption request, the PHA notice will also state that if the family does not agree with the PHA determination, the family may request a hearing.</w:t>
      </w:r>
    </w:p>
    <w:p w:rsidR="00EE4FB1" w:rsidRPr="00B54141" w:rsidRDefault="00EE4FB1" w:rsidP="00EE4FB1">
      <w:pPr>
        <w:keepNext/>
        <w:ind w:left="2520"/>
        <w:rPr>
          <w:i/>
        </w:rPr>
      </w:pPr>
      <w:r w:rsidRPr="00B54141">
        <w:lastRenderedPageBreak/>
        <w:t xml:space="preserve">If the family qualifies for an exemption, the PHA will include the date the hardship exemption will begin and the date it will expire as well as information on how to request a 90-day extension based on family circumstances. </w:t>
      </w:r>
      <w:bookmarkEnd w:id="33"/>
    </w:p>
    <w:p w:rsidR="00EE4FB1" w:rsidRDefault="00EE4FB1"/>
    <w:p w:rsidR="00EE4FB1" w:rsidRPr="00B54141" w:rsidRDefault="00EE4FB1" w:rsidP="00EE4FB1">
      <w:pPr>
        <w:ind w:left="1800"/>
      </w:pPr>
      <w:r>
        <w:tab/>
      </w:r>
      <w:r>
        <w:tab/>
      </w:r>
      <w:r>
        <w:tab/>
      </w:r>
      <w:r>
        <w:tab/>
      </w:r>
      <w:r w:rsidRPr="00B54141">
        <w:t>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 based on circumstances described above. The PHA will require updated verification based on the family’s current circumstances. Additional extension</w:t>
      </w:r>
      <w:r>
        <w:t>(</w:t>
      </w:r>
      <w:r w:rsidRPr="00B54141">
        <w:t>s</w:t>
      </w:r>
      <w:r>
        <w:t>)</w:t>
      </w:r>
      <w:r w:rsidRPr="00B54141">
        <w:t xml:space="preserve"> may be granted on a case-by-case basis provided the family continues to request extensions prior to the end of each hardship exemption period. </w:t>
      </w:r>
      <w:bookmarkStart w:id="34" w:name="_Hlk147312339"/>
      <w:r w:rsidRPr="00B54141">
        <w:t xml:space="preserve">Families must report if the circumstances that made the family eligible for the hardship exemption are no longer applicable. </w:t>
      </w:r>
      <w:bookmarkEnd w:id="34"/>
      <w:r w:rsidRPr="00B54141">
        <w:t>At any time, the PHA may terminate the hardship exemption if the PHA determines that the family no longer qualifies for the exemption.</w:t>
      </w:r>
    </w:p>
    <w:p w:rsidR="00EE4FB1" w:rsidRDefault="00EE4FB1"/>
    <w:p w:rsidR="00EE4FB1" w:rsidRDefault="00EE4FB1"/>
    <w:p w:rsidR="00EE4FB1" w:rsidRPr="00B54141" w:rsidRDefault="00EE4FB1" w:rsidP="00EE4FB1">
      <w:pPr>
        <w:rPr>
          <w:b/>
          <w:i/>
        </w:rPr>
      </w:pPr>
      <w:r w:rsidRPr="00B54141">
        <w:rPr>
          <w:b/>
          <w:i/>
        </w:rPr>
        <w:t>Child Care Expenses [</w:t>
      </w:r>
      <w:r w:rsidRPr="00B54141">
        <w:rPr>
          <w:b/>
          <w:iCs/>
        </w:rPr>
        <w:t>24 CFR 5.611(d) and Notice PIH 2023-27</w:t>
      </w:r>
      <w:r w:rsidRPr="00B54141">
        <w:rPr>
          <w:b/>
          <w:i/>
        </w:rPr>
        <w:t>]</w:t>
      </w:r>
    </w:p>
    <w:p w:rsidR="00EE4FB1" w:rsidRPr="00B54141" w:rsidRDefault="00EE4FB1" w:rsidP="00EE4FB1">
      <w:pPr>
        <w:keepNext/>
      </w:pPr>
      <w:r w:rsidRPr="00B54141">
        <w:t xml:space="preserve">A family whose eligibility for the child care expense deduction is ending may request a financial hardship exemption to continue receiving the deduction. If the family demonstrates to the PHA’s satisfaction that the family is unable to pay their rent because of the loss of the child care expense deduction, and that the child care expense is still necessary even though the family member is </w:t>
      </w:r>
      <w:bookmarkStart w:id="35" w:name="_Hlk147327704"/>
      <w:r w:rsidRPr="00B54141">
        <w:t>not working, looking for work, or seeking to further their education</w:t>
      </w:r>
      <w:bookmarkEnd w:id="35"/>
      <w:r w:rsidRPr="00B54141">
        <w:t xml:space="preserve">, the PHA must recalculate the family’s adjusted income and continue the child care deduction. </w:t>
      </w:r>
    </w:p>
    <w:p w:rsidR="00EE4FB1" w:rsidRDefault="00EE4FB1"/>
    <w:p w:rsidR="00EE4FB1" w:rsidRDefault="00EE4FB1"/>
    <w:p w:rsidR="00EE4FB1" w:rsidRDefault="00EE4FB1" w:rsidP="00EE4FB1">
      <w:pPr>
        <w:pStyle w:val="BodyText"/>
        <w:spacing w:before="120"/>
        <w:ind w:left="820"/>
      </w:pPr>
      <w:r>
        <w:tab/>
      </w:r>
      <w:r>
        <w:tab/>
      </w:r>
      <w:r>
        <w:rPr>
          <w:u w:val="single"/>
        </w:rPr>
        <w:t>PHA Policy</w:t>
      </w:r>
    </w:p>
    <w:p w:rsidR="00EE4FB1" w:rsidRDefault="00EE4FB1"/>
    <w:p w:rsidR="00EE4FB1" w:rsidRDefault="00EE4FB1"/>
    <w:p w:rsidR="00EE4FB1" w:rsidRPr="00B54141" w:rsidRDefault="00EE4FB1" w:rsidP="00EE4FB1">
      <w:pPr>
        <w:keepNext/>
        <w:tabs>
          <w:tab w:val="left" w:pos="720"/>
        </w:tabs>
        <w:ind w:left="1800"/>
      </w:pPr>
      <w:r>
        <w:tab/>
      </w:r>
      <w:r>
        <w:tab/>
      </w:r>
      <w:r>
        <w:tab/>
      </w:r>
      <w:r>
        <w:tab/>
      </w:r>
      <w:bookmarkStart w:id="36" w:name="_Hlk135306942"/>
      <w:r w:rsidRPr="00B54141">
        <w:t xml:space="preserve">For a family to qualify, they must demonstrate that their inability to pay rent would be as a result of the loss of this deduction. </w:t>
      </w:r>
      <w:bookmarkEnd w:id="36"/>
      <w:r w:rsidRPr="00B54141">
        <w:t>The PHA defines this hardship as a potential decrease in income or increase in other expenses that would result from the loss of the child care expense and such loss would impact the family’s ability to pay their rent.</w:t>
      </w:r>
    </w:p>
    <w:p w:rsidR="00EE4FB1" w:rsidRPr="00B54141" w:rsidRDefault="00EE4FB1" w:rsidP="00EE4FB1">
      <w:pPr>
        <w:ind w:left="1800"/>
      </w:pPr>
      <w:r w:rsidRPr="00B54141">
        <w:t>Some factors to consider when determining if the family is unable to pay rent may include determining that the rent, utility payment, and applicable expenses (child care expenses or health and medical expenses) are more than 40 percent of the family’s adjusted income, or verifying whether the family has experienced unanticipated expenses, such as large medical bills, that have affected their ability to pay their rent.</w:t>
      </w:r>
    </w:p>
    <w:p w:rsidR="00EE4FB1" w:rsidRPr="00B54141" w:rsidRDefault="00EE4FB1" w:rsidP="00EE4FB1">
      <w:pPr>
        <w:ind w:left="1800"/>
      </w:pPr>
      <w:r w:rsidRPr="00B54141">
        <w:t>The family must also demonstrate that the child care expense is still necessary even though the family member is no longer employed or furthering their education. The PHA will consider qualification under this criterion on a case-by case basis (for example, if the family member who was employed has left their job in order to provide uncompensated care to an elderly friend or family member who is severely ill and lives across town).</w:t>
      </w:r>
    </w:p>
    <w:p w:rsidR="00EE4FB1" w:rsidRPr="00B54141" w:rsidRDefault="00EE4FB1" w:rsidP="00EE4FB1">
      <w:pPr>
        <w:tabs>
          <w:tab w:val="left" w:pos="720"/>
        </w:tabs>
        <w:ind w:left="1800"/>
      </w:pPr>
      <w:r w:rsidRPr="00B54141">
        <w:t>The family must provide third-party verification of the hardship with the request. If third-party verification is not available, the PHA will document the file with the reason and will attempt to obtain third-party verification prior to the end of the 90-day hardship exemption period.</w:t>
      </w:r>
    </w:p>
    <w:p w:rsidR="00EE4FB1" w:rsidRDefault="00EE4FB1"/>
    <w:p w:rsidR="00681A38" w:rsidRDefault="00681A38"/>
    <w:p w:rsidR="00E754E4" w:rsidRPr="00B54141" w:rsidRDefault="00681A38" w:rsidP="00E754E4">
      <w:pPr>
        <w:tabs>
          <w:tab w:val="left" w:pos="720"/>
        </w:tabs>
        <w:ind w:left="1800"/>
      </w:pPr>
      <w:r>
        <w:tab/>
      </w:r>
      <w:r>
        <w:tab/>
      </w:r>
      <w:r>
        <w:tab/>
      </w:r>
      <w:r w:rsidR="00E754E4" w:rsidRPr="00B54141">
        <w:t xml:space="preserve">The PHA will make a determination of whether the family qualifies within 30 calendar days and will notify the family in writing of the result within 10 business days of the determination. </w:t>
      </w:r>
    </w:p>
    <w:p w:rsidR="00E754E4" w:rsidRPr="00B54141" w:rsidRDefault="00E754E4" w:rsidP="00E754E4">
      <w:pPr>
        <w:tabs>
          <w:tab w:val="left" w:pos="720"/>
        </w:tabs>
        <w:ind w:left="2520"/>
      </w:pPr>
      <w:r w:rsidRPr="00B54141">
        <w:lastRenderedPageBreak/>
        <w:t>If the PHA denies the hardship exemption request, the PHA notice will also state that if the family does not agree with the PHA determination, the family may request an informal hearing.</w:t>
      </w:r>
    </w:p>
    <w:p w:rsidR="00E754E4" w:rsidRPr="00B54141" w:rsidRDefault="00E754E4" w:rsidP="00E754E4">
      <w:pPr>
        <w:keepNext/>
        <w:ind w:left="2520"/>
        <w:rPr>
          <w:b/>
          <w:bCs/>
        </w:rPr>
      </w:pPr>
      <w:r w:rsidRPr="00B54141">
        <w:t xml:space="preserve">If the family qualifies for an exemption, the PHA will include all required information listed above as well as information on how to request a 90-day extension based on family circumstances. </w:t>
      </w:r>
    </w:p>
    <w:p w:rsidR="00681A38" w:rsidRDefault="00681A38"/>
    <w:p w:rsidR="00E754E4" w:rsidRPr="00B54141" w:rsidRDefault="00E754E4" w:rsidP="00E754E4">
      <w:pPr>
        <w:ind w:left="1800"/>
      </w:pPr>
      <w:r>
        <w:t xml:space="preserve">                                                   </w:t>
      </w:r>
      <w:r w:rsidRPr="00B54141">
        <w:t>The family may request an extension either orally or in writing prior to the end of the hardship exemption period. The PHA will extend relief for an additional 90-days if the family demonstrates to the PHA’s satisfaction that the family continues to qualify for the hardship exemption. The PHA will require updated verification based on the family’s current circumstances. Additional extension may be granted on a case-by-case basis provided the family continues to request extensions prior to the end each hardship exemption period. At any time, the PHA may terminate the hardship exemption if the PHA determines that the family no longer qualifies for the exemption.</w:t>
      </w:r>
    </w:p>
    <w:p w:rsidR="00E754E4" w:rsidRDefault="00E754E4"/>
    <w:p w:rsidR="00E754E4" w:rsidRDefault="00E754E4"/>
    <w:p w:rsidR="00E754E4" w:rsidRDefault="00E754E4"/>
    <w:p w:rsidR="00E754E4" w:rsidRDefault="00E754E4" w:rsidP="00E754E4">
      <w:pPr>
        <w:spacing w:before="240"/>
        <w:rPr>
          <w:b/>
          <w:iCs/>
        </w:rPr>
      </w:pPr>
      <w:r w:rsidRPr="00B54141">
        <w:rPr>
          <w:b/>
          <w:iCs/>
        </w:rPr>
        <w:t>6-III.H. PERMISSIVE DEDUCTIONS [24 CFR 5.611(b)(1)]</w:t>
      </w:r>
    </w:p>
    <w:p w:rsidR="00E754E4" w:rsidRPr="00B54141" w:rsidRDefault="00E754E4" w:rsidP="00E754E4">
      <w:pPr>
        <w:spacing w:before="240"/>
        <w:rPr>
          <w:iCs/>
        </w:rPr>
      </w:pPr>
    </w:p>
    <w:p w:rsidR="00E754E4" w:rsidRPr="00B54141" w:rsidRDefault="00E754E4" w:rsidP="00E754E4">
      <w:pPr>
        <w:keepNext/>
      </w:pPr>
      <w:r w:rsidRPr="00B54141">
        <w:t>The PHA may adopt additional permissive deductions from annual income if they establish a policy in the administrative plan. Permissive deductions are additional, optional deductions that may be applied to annual income. As with mandatory deductions, permissive deductions must be based on need or family circumstance and deductions must be designed to encourage self-sufficiency or other economic purpose. If the PHA offers permissive deductions, they must be granted to all families that qualify for them and should complement existing income exclusions and deductions [PH Occ GB, p. 128].</w:t>
      </w:r>
    </w:p>
    <w:p w:rsidR="00E754E4" w:rsidRPr="00B54141" w:rsidRDefault="00E754E4" w:rsidP="00E754E4">
      <w:pPr>
        <w:keepNext/>
      </w:pPr>
      <w:r w:rsidRPr="00B54141">
        <w:t>A PHA that adopts such deductions must have sufficient funding to cover the increased housing assistance payment cost of the deductions. A PHA will not be eligible for an increase in HCV renewal funding for subsidy costs resulting from such deductions.</w:t>
      </w:r>
    </w:p>
    <w:p w:rsidR="00E754E4" w:rsidRDefault="00E754E4"/>
    <w:p w:rsidR="00E754E4" w:rsidRDefault="00E754E4" w:rsidP="00E754E4">
      <w:pPr>
        <w:pStyle w:val="BodyText"/>
        <w:spacing w:before="120"/>
        <w:ind w:left="820"/>
      </w:pPr>
      <w:r>
        <w:tab/>
      </w:r>
      <w:r>
        <w:tab/>
      </w:r>
      <w:r>
        <w:tab/>
      </w:r>
      <w:r>
        <w:tab/>
      </w:r>
      <w:r>
        <w:rPr>
          <w:u w:val="single"/>
        </w:rPr>
        <w:t>PHA Policy</w:t>
      </w:r>
    </w:p>
    <w:p w:rsidR="00E754E4" w:rsidRDefault="00E754E4"/>
    <w:p w:rsidR="00E754E4" w:rsidRPr="00B54141" w:rsidRDefault="00E754E4" w:rsidP="00E754E4">
      <w:pPr>
        <w:ind w:left="1800"/>
      </w:pPr>
      <w:r>
        <w:tab/>
      </w:r>
      <w:r>
        <w:tab/>
      </w:r>
      <w:r w:rsidRPr="00B54141">
        <w:t>The PHA has opted not to use permissive deductions.</w:t>
      </w:r>
    </w:p>
    <w:p w:rsidR="00E754E4" w:rsidRDefault="00E754E4">
      <w:pPr>
        <w:sectPr w:rsidR="00E754E4" w:rsidSect="00BF2931">
          <w:pgSz w:w="12240" w:h="15840"/>
          <w:pgMar w:top="1354" w:right="1339" w:bottom="634" w:left="1339" w:header="0" w:footer="446" w:gutter="0"/>
          <w:cols w:space="720"/>
        </w:sectPr>
      </w:pPr>
    </w:p>
    <w:p w:rsidR="004E13A5" w:rsidRDefault="00E754E4">
      <w:pPr>
        <w:pStyle w:val="Heading4"/>
        <w:spacing w:before="79"/>
        <w:ind w:left="1228"/>
      </w:pPr>
      <w:r w:rsidRPr="00B54141">
        <w:lastRenderedPageBreak/>
        <w:t>PART IV</w:t>
      </w:r>
      <w:r w:rsidR="00681463">
        <w:t>: CALCULATING FAMILY SHARE AND PHA SUBSIDY</w:t>
      </w:r>
    </w:p>
    <w:p w:rsidR="004E13A5" w:rsidRDefault="004E13A5">
      <w:pPr>
        <w:pStyle w:val="BodyText"/>
        <w:spacing w:before="9"/>
        <w:ind w:left="0"/>
        <w:rPr>
          <w:b/>
          <w:sz w:val="20"/>
        </w:rPr>
      </w:pPr>
    </w:p>
    <w:p w:rsidR="004E13A5" w:rsidRDefault="00E754E4">
      <w:pPr>
        <w:spacing w:line="343" w:lineRule="auto"/>
        <w:ind w:left="100" w:right="2452"/>
        <w:rPr>
          <w:b/>
          <w:sz w:val="24"/>
        </w:rPr>
      </w:pPr>
      <w:r w:rsidRPr="00B54141">
        <w:t>6-IV</w:t>
      </w:r>
      <w:r w:rsidR="00681463">
        <w:rPr>
          <w:b/>
          <w:sz w:val="24"/>
        </w:rPr>
        <w:t>.A. OVERVIEW OF RENT AND SUBSIDY CALCULATIONS TTP Formula [24 CFR 5.628]</w:t>
      </w:r>
    </w:p>
    <w:p w:rsidR="004E13A5" w:rsidRDefault="00681463">
      <w:pPr>
        <w:pStyle w:val="BodyText"/>
        <w:spacing w:before="5"/>
        <w:ind w:right="262"/>
      </w:pPr>
      <w:r>
        <w:t>HUD regulations specify the formula for calculating the total tenant payment (TTP) for an assisted family. TTP is the highest of the following amounts, rounded to the nearest dollar:</w:t>
      </w:r>
    </w:p>
    <w:p w:rsidR="004E13A5" w:rsidRDefault="00681463">
      <w:pPr>
        <w:pStyle w:val="ListParagraph"/>
        <w:numPr>
          <w:ilvl w:val="0"/>
          <w:numId w:val="93"/>
        </w:numPr>
        <w:tabs>
          <w:tab w:val="left" w:pos="460"/>
          <w:tab w:val="left" w:pos="461"/>
        </w:tabs>
        <w:rPr>
          <w:rFonts w:ascii="Symbol" w:hAnsi="Symbol"/>
          <w:sz w:val="24"/>
        </w:rPr>
      </w:pPr>
      <w:r>
        <w:rPr>
          <w:sz w:val="24"/>
        </w:rPr>
        <w:t>30 percent of the family’s monthly adjusted income (adjusted income is defined in Part</w:t>
      </w:r>
      <w:r>
        <w:rPr>
          <w:spacing w:val="-17"/>
          <w:sz w:val="24"/>
        </w:rPr>
        <w:t xml:space="preserve"> </w:t>
      </w:r>
      <w:r>
        <w:rPr>
          <w:sz w:val="24"/>
        </w:rPr>
        <w:t>II)</w:t>
      </w:r>
    </w:p>
    <w:p w:rsidR="004E13A5" w:rsidRDefault="00681463">
      <w:pPr>
        <w:pStyle w:val="ListParagraph"/>
        <w:numPr>
          <w:ilvl w:val="0"/>
          <w:numId w:val="93"/>
        </w:numPr>
        <w:tabs>
          <w:tab w:val="left" w:pos="460"/>
          <w:tab w:val="left" w:pos="461"/>
        </w:tabs>
        <w:spacing w:before="118"/>
        <w:ind w:right="112"/>
        <w:rPr>
          <w:rFonts w:ascii="Symbol" w:hAnsi="Symbol"/>
          <w:sz w:val="24"/>
        </w:rPr>
      </w:pPr>
      <w:r>
        <w:rPr>
          <w:sz w:val="24"/>
        </w:rPr>
        <w:t xml:space="preserve">10 percent of the family’s monthly gross income (annual income, as defined in Part </w:t>
      </w:r>
      <w:r>
        <w:rPr>
          <w:spacing w:val="-3"/>
          <w:sz w:val="24"/>
        </w:rPr>
        <w:t xml:space="preserve">I, </w:t>
      </w:r>
      <w:r>
        <w:rPr>
          <w:sz w:val="24"/>
        </w:rPr>
        <w:t>divided by</w:t>
      </w:r>
      <w:r>
        <w:rPr>
          <w:spacing w:val="-3"/>
          <w:sz w:val="24"/>
        </w:rPr>
        <w:t xml:space="preserve"> </w:t>
      </w:r>
      <w:r>
        <w:rPr>
          <w:sz w:val="24"/>
        </w:rPr>
        <w:t>12)</w:t>
      </w:r>
    </w:p>
    <w:p w:rsidR="004E13A5" w:rsidRDefault="00681463">
      <w:pPr>
        <w:pStyle w:val="ListParagraph"/>
        <w:numPr>
          <w:ilvl w:val="0"/>
          <w:numId w:val="93"/>
        </w:numPr>
        <w:tabs>
          <w:tab w:val="left" w:pos="460"/>
          <w:tab w:val="left" w:pos="461"/>
        </w:tabs>
        <w:rPr>
          <w:rFonts w:ascii="Symbol"/>
          <w:sz w:val="24"/>
        </w:rPr>
      </w:pPr>
      <w:r>
        <w:rPr>
          <w:sz w:val="24"/>
        </w:rPr>
        <w:t>The welfare rent (in as-paid states</w:t>
      </w:r>
      <w:r>
        <w:rPr>
          <w:spacing w:val="-10"/>
          <w:sz w:val="24"/>
        </w:rPr>
        <w:t xml:space="preserve"> </w:t>
      </w:r>
      <w:r>
        <w:rPr>
          <w:sz w:val="24"/>
        </w:rPr>
        <w:t>only)</w:t>
      </w:r>
    </w:p>
    <w:p w:rsidR="004E13A5" w:rsidRDefault="00681463">
      <w:pPr>
        <w:pStyle w:val="ListParagraph"/>
        <w:numPr>
          <w:ilvl w:val="0"/>
          <w:numId w:val="93"/>
        </w:numPr>
        <w:tabs>
          <w:tab w:val="left" w:pos="460"/>
          <w:tab w:val="left" w:pos="461"/>
        </w:tabs>
        <w:rPr>
          <w:rFonts w:ascii="Symbol"/>
          <w:sz w:val="24"/>
        </w:rPr>
      </w:pPr>
      <w:r>
        <w:rPr>
          <w:sz w:val="24"/>
        </w:rPr>
        <w:t>A minimum rent between $0 and $50 that is established by the</w:t>
      </w:r>
      <w:r>
        <w:rPr>
          <w:spacing w:val="-8"/>
          <w:sz w:val="24"/>
        </w:rPr>
        <w:t xml:space="preserve"> </w:t>
      </w:r>
      <w:r>
        <w:rPr>
          <w:sz w:val="24"/>
        </w:rPr>
        <w:t>PHA</w:t>
      </w:r>
    </w:p>
    <w:p w:rsidR="004E13A5" w:rsidRDefault="00681463">
      <w:pPr>
        <w:pStyle w:val="BodyText"/>
        <w:spacing w:before="121"/>
        <w:ind w:right="535"/>
      </w:pPr>
      <w:r>
        <w:t>The PHA has authority to suspend and exempt families from minimum rent when a financial hardship exists, as defined in section 6-III.B.</w:t>
      </w:r>
    </w:p>
    <w:p w:rsidR="004E13A5" w:rsidRDefault="00681463">
      <w:pPr>
        <w:pStyle w:val="BodyText"/>
      </w:pPr>
      <w:r>
        <w:t>The amount that a family pays for rent and utilities (the family share) will never be less than the family’s TTP but may be greater than the TTP depending on the rent charged for the unit the family selects.</w:t>
      </w:r>
    </w:p>
    <w:p w:rsidR="004E13A5" w:rsidRDefault="00681463">
      <w:pPr>
        <w:pStyle w:val="Heading5"/>
      </w:pPr>
      <w:r>
        <w:t>Welfare Rent [24 CFR 5.628]</w:t>
      </w:r>
    </w:p>
    <w:p w:rsidR="004E13A5" w:rsidRDefault="00681463">
      <w:pPr>
        <w:pStyle w:val="BodyText"/>
        <w:ind w:left="820"/>
      </w:pPr>
      <w:r>
        <w:rPr>
          <w:u w:val="single"/>
        </w:rPr>
        <w:t>PHA Policy</w:t>
      </w:r>
    </w:p>
    <w:p w:rsidR="004E13A5" w:rsidRDefault="00681463">
      <w:pPr>
        <w:pStyle w:val="BodyText"/>
        <w:ind w:left="820"/>
      </w:pPr>
      <w:r>
        <w:t>Welfare rent does not apply in this locality.</w:t>
      </w:r>
    </w:p>
    <w:p w:rsidR="004E13A5" w:rsidRDefault="00681463">
      <w:pPr>
        <w:pStyle w:val="Heading5"/>
      </w:pPr>
      <w:r>
        <w:t>Minimum Rent [24 CFR 5.630]</w:t>
      </w:r>
    </w:p>
    <w:p w:rsidR="004E13A5" w:rsidRDefault="00681463">
      <w:pPr>
        <w:pStyle w:val="BodyText"/>
        <w:spacing w:before="120"/>
        <w:ind w:left="820"/>
      </w:pPr>
      <w:r>
        <w:rPr>
          <w:u w:val="single"/>
        </w:rPr>
        <w:t>PHA Policy</w:t>
      </w:r>
    </w:p>
    <w:p w:rsidR="004E13A5" w:rsidRDefault="00681463">
      <w:pPr>
        <w:pStyle w:val="BodyText"/>
        <w:spacing w:before="120"/>
        <w:ind w:left="820"/>
      </w:pPr>
      <w:r>
        <w:t>The minimum rent for this locality is $50.</w:t>
      </w:r>
    </w:p>
    <w:p w:rsidR="004E13A5" w:rsidRDefault="00681463">
      <w:pPr>
        <w:pStyle w:val="Heading4"/>
        <w:spacing w:before="117"/>
      </w:pPr>
      <w:r>
        <w:t>Family Share [24 CFR 982.305(a)(5)]</w:t>
      </w:r>
    </w:p>
    <w:p w:rsidR="004E13A5" w:rsidRDefault="00681463">
      <w:pPr>
        <w:pStyle w:val="BodyText"/>
        <w:ind w:right="136"/>
      </w:pPr>
      <w:r>
        <w:t>If a family chooses a unit with a gross rent (rent to owner plus an allowance for tenant-paid utilities) that exceeds the PHA’s applicable payment standard: (1) the family will pay more than the TTP, and (2) at initial occupancy the PHA may not approve the tenancy if it would require the family share to exceed 40 percent of the family’s monthly adjusted income. The income used for this determination must have been verified no earlier than 60 days before the family’s voucher was issued. (For a discussion of the application of payment standards, see section 6- III.C.)</w:t>
      </w:r>
    </w:p>
    <w:p w:rsidR="004E13A5" w:rsidRDefault="00681463">
      <w:pPr>
        <w:pStyle w:val="Heading4"/>
        <w:spacing w:before="120"/>
      </w:pPr>
      <w:r>
        <w:t>PHA Subsidy [24 CFR 982.505(b)]</w:t>
      </w:r>
    </w:p>
    <w:p w:rsidR="004E13A5" w:rsidRDefault="00681463">
      <w:pPr>
        <w:pStyle w:val="BodyText"/>
        <w:spacing w:before="120"/>
      </w:pPr>
      <w:r>
        <w:t>The PHA will pay a monthly housing assistance payment (HAP) for a family that is equal to the lower of (1) the applicable payment standard for the family minus the family’s TTP or (2) the gross rent for the family’s unit minus the TTP. (For a discussion of the application of payment standards, see section 6-III.C.)</w:t>
      </w:r>
    </w:p>
    <w:p w:rsidR="004E13A5" w:rsidRDefault="00681463">
      <w:pPr>
        <w:pStyle w:val="Heading4"/>
        <w:spacing w:before="120"/>
      </w:pPr>
      <w:r>
        <w:t>Utility Reimbursement [24 CFR 982.514(b); 982.514(c)]</w:t>
      </w:r>
    </w:p>
    <w:p w:rsidR="004E13A5" w:rsidRDefault="00681463">
      <w:pPr>
        <w:pStyle w:val="BodyText"/>
        <w:spacing w:before="120"/>
      </w:pPr>
      <w:r>
        <w:t>When the PHA subsidy for a family exceeds the rent to owner, the family is due a utility reimbursement. HUD permits the PHA to pay the reimbursement to the family or directly to the utility provider.</w:t>
      </w:r>
    </w:p>
    <w:p w:rsidR="004E13A5" w:rsidRDefault="004E13A5">
      <w:pPr>
        <w:sectPr w:rsidR="004E13A5">
          <w:pgSz w:w="12240" w:h="15840"/>
          <w:pgMar w:top="1360" w:right="1340" w:bottom="640" w:left="1340" w:header="0" w:footer="441" w:gutter="0"/>
          <w:cols w:space="720"/>
        </w:sectPr>
      </w:pPr>
    </w:p>
    <w:p w:rsidR="004E13A5" w:rsidRDefault="00681463">
      <w:pPr>
        <w:pStyle w:val="BodyText"/>
        <w:spacing w:before="79"/>
        <w:ind w:left="820"/>
        <w:jc w:val="both"/>
      </w:pPr>
      <w:r>
        <w:rPr>
          <w:u w:val="single"/>
        </w:rPr>
        <w:lastRenderedPageBreak/>
        <w:t>PHA Policy</w:t>
      </w:r>
    </w:p>
    <w:p w:rsidR="004E13A5" w:rsidRDefault="00681463">
      <w:pPr>
        <w:pStyle w:val="BodyText"/>
        <w:ind w:left="820"/>
        <w:jc w:val="both"/>
      </w:pPr>
      <w:r>
        <w:t>The PHA will make utility reimbursements to the family.</w:t>
      </w:r>
    </w:p>
    <w:p w:rsidR="004E13A5" w:rsidRDefault="004E13A5">
      <w:pPr>
        <w:pStyle w:val="BodyText"/>
        <w:spacing w:before="11"/>
        <w:ind w:left="0"/>
        <w:rPr>
          <w:sz w:val="23"/>
        </w:rPr>
      </w:pPr>
    </w:p>
    <w:p w:rsidR="004E13A5" w:rsidRDefault="00681463">
      <w:pPr>
        <w:pStyle w:val="BodyText"/>
        <w:spacing w:before="0"/>
        <w:ind w:right="182"/>
      </w:pPr>
      <w:r>
        <w:t>The PHA may make all utility reimbursement payments to qualifying families on a monthly basis or may make quarterly payments when the monthly reimbursement amount is $15.00 or less. Reimbursements must be made once per calendar-year quarter and must be prorated if the family leaves the program in advance of its next quarterly reimbursement. The PHA must also adopt hardship policies for families for whom receiving quarterly reimbursement would create a financial hardship.</w:t>
      </w:r>
    </w:p>
    <w:p w:rsidR="004E13A5" w:rsidRDefault="00681463">
      <w:pPr>
        <w:pStyle w:val="BodyText"/>
        <w:spacing w:before="0"/>
        <w:ind w:left="820"/>
        <w:jc w:val="both"/>
      </w:pPr>
      <w:r>
        <w:rPr>
          <w:u w:val="single"/>
        </w:rPr>
        <w:t>PHA Policy</w:t>
      </w:r>
    </w:p>
    <w:p w:rsidR="004E13A5" w:rsidRDefault="00681463">
      <w:pPr>
        <w:pStyle w:val="BodyText"/>
        <w:spacing w:before="120"/>
        <w:ind w:left="820"/>
        <w:jc w:val="both"/>
      </w:pPr>
      <w:r>
        <w:t>The PHA will issue all utility reimbursements monthly.</w:t>
      </w:r>
    </w:p>
    <w:p w:rsidR="004E13A5" w:rsidRDefault="004E13A5">
      <w:pPr>
        <w:pStyle w:val="BodyText"/>
        <w:spacing w:before="10"/>
        <w:ind w:left="0"/>
        <w:rPr>
          <w:sz w:val="20"/>
        </w:rPr>
      </w:pPr>
    </w:p>
    <w:p w:rsidR="004E13A5" w:rsidRDefault="00E754E4">
      <w:pPr>
        <w:pStyle w:val="Heading4"/>
      </w:pPr>
      <w:r w:rsidRPr="00B54141">
        <w:t>6</w:t>
      </w:r>
      <w:r w:rsidRPr="00B54141">
        <w:rPr>
          <w:i/>
        </w:rPr>
        <w:t>-</w:t>
      </w:r>
      <w:r w:rsidRPr="00B54141">
        <w:t>IV</w:t>
      </w:r>
      <w:r w:rsidR="00681463">
        <w:t>.B. FINANCIAL HARDSHIPS AFFECTING MINIMUM RENT [24 CFR 5.630]</w:t>
      </w:r>
    </w:p>
    <w:p w:rsidR="004E13A5" w:rsidRDefault="00681463">
      <w:pPr>
        <w:pStyle w:val="BodyText"/>
        <w:ind w:left="820"/>
        <w:jc w:val="both"/>
      </w:pPr>
      <w:r>
        <w:rPr>
          <w:u w:val="single"/>
        </w:rPr>
        <w:t>PHA Policy</w:t>
      </w:r>
    </w:p>
    <w:p w:rsidR="004E13A5" w:rsidRDefault="00681463">
      <w:pPr>
        <w:pStyle w:val="BodyText"/>
        <w:ind w:left="820" w:right="168"/>
      </w:pPr>
      <w:r>
        <w:t>The financial hardship rules described below do not apply in this jurisdiction because the PHA has established a minimum rent of $0.</w:t>
      </w:r>
    </w:p>
    <w:p w:rsidR="004E13A5" w:rsidRDefault="00681463">
      <w:pPr>
        <w:pStyle w:val="Heading4"/>
        <w:spacing w:before="119"/>
      </w:pPr>
      <w:r>
        <w:t>Overview</w:t>
      </w:r>
    </w:p>
    <w:p w:rsidR="004E13A5" w:rsidRDefault="00681463">
      <w:pPr>
        <w:pStyle w:val="BodyText"/>
        <w:ind w:right="102"/>
      </w:pPr>
      <w:r>
        <w:t>If the PHA establishes a minimum rent greater than zero, the PHA must grant an exemption from the minimum rent if a family is unable to pay the minimum rent because of financial hardship.</w:t>
      </w:r>
    </w:p>
    <w:p w:rsidR="004E13A5" w:rsidRDefault="00681463">
      <w:pPr>
        <w:pStyle w:val="BodyText"/>
        <w:ind w:right="122"/>
      </w:pPr>
      <w:r>
        <w:t>The financial hardship exemption applies only to families required to pay the minimum rent. If a family’s TTP is higher than the minimum rent, the family is not eligible for a hardship exemption. If the PHA determines that a hardship exists, the family share is the highest of the remaining components of the family’s calculated TTP.</w:t>
      </w:r>
    </w:p>
    <w:p w:rsidR="004E13A5" w:rsidRDefault="00681463">
      <w:pPr>
        <w:pStyle w:val="Heading4"/>
        <w:spacing w:before="120"/>
      </w:pPr>
      <w:r>
        <w:t>HUD-Defined Financial Hardship</w:t>
      </w:r>
    </w:p>
    <w:p w:rsidR="004E13A5" w:rsidRDefault="00681463">
      <w:pPr>
        <w:pStyle w:val="BodyText"/>
        <w:spacing w:before="120"/>
      </w:pPr>
      <w:r>
        <w:t>Financial hardship includes the following situations:</w:t>
      </w:r>
    </w:p>
    <w:p w:rsidR="004E13A5" w:rsidRDefault="00681463">
      <w:pPr>
        <w:pStyle w:val="ListParagraph"/>
        <w:numPr>
          <w:ilvl w:val="0"/>
          <w:numId w:val="74"/>
        </w:numPr>
        <w:tabs>
          <w:tab w:val="left" w:pos="461"/>
        </w:tabs>
        <w:spacing w:before="120"/>
        <w:ind w:right="217"/>
        <w:rPr>
          <w:sz w:val="24"/>
        </w:rPr>
      </w:pPr>
      <w:r>
        <w:rPr>
          <w:sz w:val="24"/>
        </w:rPr>
        <w:t>The family has lost eligibility for or is awaiting an eligibility determination for a federal, state, or local assistance program. This includes a family member who is a noncitizen lawfully admitted for permanent residence under the Immigration and Nationality Act who would be entitled to public benefits but for Title IV of the Personal Responsibility and</w:t>
      </w:r>
      <w:r>
        <w:rPr>
          <w:spacing w:val="-19"/>
          <w:sz w:val="24"/>
        </w:rPr>
        <w:t xml:space="preserve"> </w:t>
      </w:r>
      <w:r>
        <w:rPr>
          <w:sz w:val="24"/>
        </w:rPr>
        <w:t>Work Opportunity Act of</w:t>
      </w:r>
      <w:r>
        <w:rPr>
          <w:spacing w:val="-6"/>
          <w:sz w:val="24"/>
        </w:rPr>
        <w:t xml:space="preserve"> </w:t>
      </w:r>
      <w:r>
        <w:rPr>
          <w:sz w:val="24"/>
        </w:rPr>
        <w:t>1996.</w:t>
      </w:r>
    </w:p>
    <w:p w:rsidR="004E13A5" w:rsidRDefault="00681463">
      <w:pPr>
        <w:pStyle w:val="BodyText"/>
        <w:spacing w:before="120"/>
        <w:ind w:left="820"/>
        <w:jc w:val="both"/>
      </w:pPr>
      <w:r>
        <w:rPr>
          <w:u w:val="single"/>
        </w:rPr>
        <w:t>PHA Policy</w:t>
      </w:r>
    </w:p>
    <w:p w:rsidR="004E13A5" w:rsidRDefault="00681463">
      <w:pPr>
        <w:pStyle w:val="BodyText"/>
        <w:spacing w:before="120"/>
        <w:ind w:left="820" w:right="314"/>
      </w:pPr>
      <w:r>
        <w:t>A hardship will be considered to exist only if the loss of eligibility has an impact on the family’s ability to pay the minimum rent.</w:t>
      </w:r>
    </w:p>
    <w:p w:rsidR="004E13A5" w:rsidRDefault="00681463">
      <w:pPr>
        <w:pStyle w:val="BodyText"/>
        <w:spacing w:before="120"/>
        <w:ind w:left="820" w:right="237"/>
        <w:jc w:val="both"/>
      </w:pPr>
      <w:r>
        <w:t>For a family waiting for a determination of eligibility, the hardship period will end as of the first of the month following: (1) implementation of assistance, if approved, or (2)</w:t>
      </w:r>
      <w:r>
        <w:rPr>
          <w:spacing w:val="-17"/>
        </w:rPr>
        <w:t xml:space="preserve"> </w:t>
      </w:r>
      <w:r>
        <w:t>the decision to deny assistance. A family whose request for assistance is denied may</w:t>
      </w:r>
      <w:r>
        <w:rPr>
          <w:spacing w:val="-14"/>
        </w:rPr>
        <w:t xml:space="preserve"> </w:t>
      </w:r>
      <w:r>
        <w:t>request a hardship exemption based upon one of the other allowable hardship</w:t>
      </w:r>
      <w:r>
        <w:rPr>
          <w:spacing w:val="-13"/>
        </w:rPr>
        <w:t xml:space="preserve"> </w:t>
      </w:r>
      <w:r>
        <w:t>circumstances.</w:t>
      </w:r>
    </w:p>
    <w:p w:rsidR="004E13A5" w:rsidRDefault="00681463">
      <w:pPr>
        <w:pStyle w:val="ListParagraph"/>
        <w:numPr>
          <w:ilvl w:val="0"/>
          <w:numId w:val="74"/>
        </w:numPr>
        <w:tabs>
          <w:tab w:val="left" w:pos="461"/>
        </w:tabs>
        <w:spacing w:line="343" w:lineRule="auto"/>
        <w:ind w:left="820" w:right="1917" w:hanging="720"/>
        <w:rPr>
          <w:sz w:val="24"/>
        </w:rPr>
      </w:pPr>
      <w:r>
        <w:rPr>
          <w:sz w:val="24"/>
        </w:rPr>
        <w:t>The family would be evicted because it is unable to pay the minimum</w:t>
      </w:r>
      <w:r>
        <w:rPr>
          <w:spacing w:val="-15"/>
          <w:sz w:val="24"/>
        </w:rPr>
        <w:t xml:space="preserve"> </w:t>
      </w:r>
      <w:r>
        <w:rPr>
          <w:sz w:val="24"/>
        </w:rPr>
        <w:t xml:space="preserve">rent. </w:t>
      </w:r>
      <w:r>
        <w:rPr>
          <w:sz w:val="24"/>
          <w:u w:val="single"/>
        </w:rPr>
        <w:t>PHA</w:t>
      </w:r>
      <w:r>
        <w:rPr>
          <w:spacing w:val="-1"/>
          <w:sz w:val="24"/>
          <w:u w:val="single"/>
        </w:rPr>
        <w:t xml:space="preserve"> </w:t>
      </w:r>
      <w:r>
        <w:rPr>
          <w:sz w:val="24"/>
          <w:u w:val="single"/>
        </w:rPr>
        <w:t>Policy</w:t>
      </w:r>
    </w:p>
    <w:p w:rsidR="004E13A5" w:rsidRDefault="00681463">
      <w:pPr>
        <w:pStyle w:val="BodyText"/>
        <w:spacing w:before="5"/>
        <w:ind w:left="820" w:right="401"/>
      </w:pPr>
      <w:r>
        <w:t>For a family to qualify under this provision, the cause of the potential eviction must be the family’s failure to pay rent to the owner or tenant-paid utilities.</w:t>
      </w:r>
    </w:p>
    <w:p w:rsidR="004E13A5" w:rsidRDefault="004E13A5">
      <w:pPr>
        <w:sectPr w:rsidR="004E13A5">
          <w:pgSz w:w="12240" w:h="15840"/>
          <w:pgMar w:top="1360" w:right="1340" w:bottom="640" w:left="1340" w:header="0" w:footer="441" w:gutter="0"/>
          <w:cols w:space="720"/>
        </w:sectPr>
      </w:pPr>
    </w:p>
    <w:p w:rsidR="004E13A5" w:rsidRDefault="00681463">
      <w:pPr>
        <w:pStyle w:val="ListParagraph"/>
        <w:numPr>
          <w:ilvl w:val="0"/>
          <w:numId w:val="74"/>
        </w:numPr>
        <w:tabs>
          <w:tab w:val="left" w:pos="461"/>
        </w:tabs>
        <w:spacing w:before="79"/>
        <w:ind w:right="111"/>
        <w:rPr>
          <w:sz w:val="24"/>
        </w:rPr>
      </w:pPr>
      <w:r>
        <w:rPr>
          <w:sz w:val="24"/>
        </w:rPr>
        <w:lastRenderedPageBreak/>
        <w:t>Family income has decreased because of changed family circumstances, including the loss</w:t>
      </w:r>
      <w:r>
        <w:rPr>
          <w:spacing w:val="-18"/>
          <w:sz w:val="24"/>
        </w:rPr>
        <w:t xml:space="preserve"> </w:t>
      </w:r>
      <w:r>
        <w:rPr>
          <w:sz w:val="24"/>
        </w:rPr>
        <w:t>of employment.</w:t>
      </w:r>
    </w:p>
    <w:p w:rsidR="004E13A5" w:rsidRDefault="00681463">
      <w:pPr>
        <w:pStyle w:val="ListParagraph"/>
        <w:numPr>
          <w:ilvl w:val="0"/>
          <w:numId w:val="74"/>
        </w:numPr>
        <w:tabs>
          <w:tab w:val="left" w:pos="461"/>
        </w:tabs>
        <w:spacing w:line="343" w:lineRule="auto"/>
        <w:ind w:left="820" w:right="5684" w:hanging="720"/>
        <w:rPr>
          <w:sz w:val="24"/>
        </w:rPr>
      </w:pPr>
      <w:r>
        <w:rPr>
          <w:sz w:val="24"/>
        </w:rPr>
        <w:t>A death has occurred in the</w:t>
      </w:r>
      <w:r>
        <w:rPr>
          <w:spacing w:val="-11"/>
          <w:sz w:val="24"/>
        </w:rPr>
        <w:t xml:space="preserve"> </w:t>
      </w:r>
      <w:r>
        <w:rPr>
          <w:sz w:val="24"/>
        </w:rPr>
        <w:t xml:space="preserve">family. </w:t>
      </w:r>
      <w:r>
        <w:rPr>
          <w:sz w:val="24"/>
          <w:u w:val="single"/>
        </w:rPr>
        <w:t>PHA</w:t>
      </w:r>
      <w:r>
        <w:rPr>
          <w:spacing w:val="-1"/>
          <w:sz w:val="24"/>
          <w:u w:val="single"/>
        </w:rPr>
        <w:t xml:space="preserve"> </w:t>
      </w:r>
      <w:r>
        <w:rPr>
          <w:sz w:val="24"/>
          <w:u w:val="single"/>
        </w:rPr>
        <w:t>Policy</w:t>
      </w:r>
    </w:p>
    <w:p w:rsidR="004E13A5" w:rsidRDefault="00681463">
      <w:pPr>
        <w:pStyle w:val="BodyText"/>
        <w:spacing w:before="5"/>
        <w:ind w:left="820" w:right="88"/>
      </w:pPr>
      <w:r>
        <w:t>In order to qualify under this provision, a family must describe how the death has created a financial hardship (e.g., because of funeral-related expenses or the loss of the family member’s income).</w:t>
      </w:r>
    </w:p>
    <w:p w:rsidR="004E13A5" w:rsidRDefault="00681463">
      <w:pPr>
        <w:pStyle w:val="ListParagraph"/>
        <w:numPr>
          <w:ilvl w:val="0"/>
          <w:numId w:val="74"/>
        </w:numPr>
        <w:tabs>
          <w:tab w:val="left" w:pos="461"/>
        </w:tabs>
        <w:spacing w:line="343" w:lineRule="auto"/>
        <w:ind w:left="820" w:right="2037" w:hanging="720"/>
        <w:rPr>
          <w:sz w:val="24"/>
        </w:rPr>
      </w:pPr>
      <w:r>
        <w:rPr>
          <w:sz w:val="24"/>
        </w:rPr>
        <w:t>The family has experienced other circumstances determined by the</w:t>
      </w:r>
      <w:r>
        <w:rPr>
          <w:spacing w:val="-14"/>
          <w:sz w:val="24"/>
        </w:rPr>
        <w:t xml:space="preserve"> </w:t>
      </w:r>
      <w:r>
        <w:rPr>
          <w:sz w:val="24"/>
        </w:rPr>
        <w:t xml:space="preserve">PHA. </w:t>
      </w:r>
      <w:r>
        <w:rPr>
          <w:sz w:val="24"/>
          <w:u w:val="single"/>
        </w:rPr>
        <w:t>PHA</w:t>
      </w:r>
      <w:r>
        <w:rPr>
          <w:spacing w:val="-1"/>
          <w:sz w:val="24"/>
          <w:u w:val="single"/>
        </w:rPr>
        <w:t xml:space="preserve"> </w:t>
      </w:r>
      <w:r>
        <w:rPr>
          <w:sz w:val="24"/>
          <w:u w:val="single"/>
        </w:rPr>
        <w:t>Policy</w:t>
      </w:r>
    </w:p>
    <w:p w:rsidR="004E13A5" w:rsidRDefault="00681463">
      <w:pPr>
        <w:pStyle w:val="BodyText"/>
        <w:spacing w:before="5"/>
        <w:ind w:left="820"/>
      </w:pPr>
      <w:r>
        <w:t>The PHA has not established any additional hardship criteria.</w:t>
      </w:r>
    </w:p>
    <w:p w:rsidR="004E13A5" w:rsidRDefault="00681463">
      <w:pPr>
        <w:pStyle w:val="Heading4"/>
        <w:spacing w:before="120"/>
      </w:pPr>
      <w:r>
        <w:t>Implementation of Hardship Exemption</w:t>
      </w:r>
    </w:p>
    <w:p w:rsidR="004E13A5" w:rsidRDefault="00681463">
      <w:pPr>
        <w:pStyle w:val="Heading5"/>
      </w:pPr>
      <w:r>
        <w:t>Determination of Hardship</w:t>
      </w:r>
    </w:p>
    <w:p w:rsidR="004E13A5" w:rsidRDefault="00681463">
      <w:pPr>
        <w:pStyle w:val="BodyText"/>
        <w:ind w:right="441"/>
      </w:pPr>
      <w:r>
        <w:t>When a family requests a financial hardship exemption, the PHA must suspend the minimum rent requirement beginning the first of the month following the family’s request.</w:t>
      </w:r>
    </w:p>
    <w:p w:rsidR="004E13A5" w:rsidRDefault="00681463">
      <w:pPr>
        <w:pStyle w:val="BodyText"/>
        <w:ind w:right="622"/>
      </w:pPr>
      <w:r>
        <w:t>The PHA then determines whether the financial hardship exists and whether the hardship is temporary or long-term.</w:t>
      </w:r>
    </w:p>
    <w:p w:rsidR="004E13A5" w:rsidRDefault="00681463">
      <w:pPr>
        <w:pStyle w:val="BodyText"/>
        <w:ind w:left="820"/>
      </w:pPr>
      <w:r>
        <w:rPr>
          <w:u w:val="single"/>
        </w:rPr>
        <w:t>PHA Policy</w:t>
      </w:r>
    </w:p>
    <w:p w:rsidR="004E13A5" w:rsidRDefault="00681463">
      <w:pPr>
        <w:pStyle w:val="BodyText"/>
        <w:ind w:left="820" w:right="695"/>
      </w:pPr>
      <w:r>
        <w:t>The PHA defines temporary hardship as a hardship expected to last 90 days or less. Long-term hardship is defined as a hardship expected to last more than 90 days.</w:t>
      </w:r>
    </w:p>
    <w:p w:rsidR="004E13A5" w:rsidRDefault="00681463">
      <w:pPr>
        <w:pStyle w:val="BodyText"/>
        <w:ind w:right="203"/>
      </w:pPr>
      <w:r>
        <w:t>When the minimum rent is suspended, the family share reverts to the highest of the remaining components of the calculated TTP. The example below demonstrates the effect of the minimum rent exemption.</w:t>
      </w:r>
    </w:p>
    <w:p w:rsidR="004E13A5" w:rsidRDefault="004E13A5">
      <w:pPr>
        <w:pStyle w:val="BodyText"/>
        <w:spacing w:before="5"/>
        <w:ind w:left="0"/>
        <w:rPr>
          <w:sz w:val="10"/>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3511"/>
        <w:gridCol w:w="900"/>
        <w:gridCol w:w="3529"/>
      </w:tblGrid>
      <w:tr w:rsidR="004E13A5">
        <w:trPr>
          <w:trHeight w:hRule="exact" w:val="802"/>
        </w:trPr>
        <w:tc>
          <w:tcPr>
            <w:tcW w:w="8858" w:type="dxa"/>
            <w:gridSpan w:val="4"/>
          </w:tcPr>
          <w:p w:rsidR="004E13A5" w:rsidRDefault="00681463">
            <w:pPr>
              <w:pStyle w:val="TableParagraph"/>
              <w:spacing w:before="119"/>
              <w:ind w:left="1646" w:right="1651"/>
              <w:jc w:val="center"/>
              <w:rPr>
                <w:b/>
                <w:sz w:val="24"/>
              </w:rPr>
            </w:pPr>
            <w:r>
              <w:rPr>
                <w:b/>
                <w:sz w:val="24"/>
              </w:rPr>
              <w:t>Example: Impact of Minimum Rent Exemption</w:t>
            </w:r>
          </w:p>
          <w:p w:rsidR="004E13A5" w:rsidRDefault="00681463">
            <w:pPr>
              <w:pStyle w:val="TableParagraph"/>
              <w:spacing w:before="120"/>
              <w:ind w:left="1651" w:right="1651"/>
              <w:jc w:val="center"/>
              <w:rPr>
                <w:sz w:val="24"/>
              </w:rPr>
            </w:pPr>
            <w:r>
              <w:rPr>
                <w:sz w:val="24"/>
              </w:rPr>
              <w:t>Assume the PHA has established a minimum rent of $50.</w:t>
            </w:r>
          </w:p>
        </w:tc>
      </w:tr>
      <w:tr w:rsidR="004E13A5">
        <w:trPr>
          <w:trHeight w:hRule="exact" w:val="406"/>
        </w:trPr>
        <w:tc>
          <w:tcPr>
            <w:tcW w:w="4429" w:type="dxa"/>
            <w:gridSpan w:val="2"/>
          </w:tcPr>
          <w:p w:rsidR="004E13A5" w:rsidRDefault="00681463">
            <w:pPr>
              <w:pStyle w:val="TableParagraph"/>
              <w:spacing w:before="119"/>
              <w:ind w:left="734"/>
              <w:rPr>
                <w:b/>
                <w:sz w:val="24"/>
              </w:rPr>
            </w:pPr>
            <w:r>
              <w:rPr>
                <w:b/>
                <w:sz w:val="24"/>
              </w:rPr>
              <w:t>Family Share – No Hardship</w:t>
            </w:r>
          </w:p>
        </w:tc>
        <w:tc>
          <w:tcPr>
            <w:tcW w:w="4429" w:type="dxa"/>
            <w:gridSpan w:val="2"/>
          </w:tcPr>
          <w:p w:rsidR="004E13A5" w:rsidRDefault="00681463">
            <w:pPr>
              <w:pStyle w:val="TableParagraph"/>
              <w:spacing w:before="119"/>
              <w:ind w:left="622"/>
              <w:rPr>
                <w:b/>
                <w:sz w:val="24"/>
              </w:rPr>
            </w:pPr>
            <w:r>
              <w:rPr>
                <w:b/>
                <w:sz w:val="24"/>
              </w:rPr>
              <w:t>Family Share – With Hardship</w:t>
            </w:r>
          </w:p>
        </w:tc>
      </w:tr>
      <w:tr w:rsidR="004E13A5">
        <w:trPr>
          <w:trHeight w:hRule="exact" w:val="1594"/>
        </w:trPr>
        <w:tc>
          <w:tcPr>
            <w:tcW w:w="918" w:type="dxa"/>
            <w:tcBorders>
              <w:right w:val="nil"/>
            </w:tcBorders>
          </w:tcPr>
          <w:p w:rsidR="004E13A5" w:rsidRDefault="00681463">
            <w:pPr>
              <w:pStyle w:val="TableParagraph"/>
              <w:spacing w:before="119"/>
              <w:ind w:left="546" w:right="87"/>
              <w:jc w:val="center"/>
              <w:rPr>
                <w:sz w:val="24"/>
              </w:rPr>
            </w:pPr>
            <w:r>
              <w:rPr>
                <w:sz w:val="24"/>
              </w:rPr>
              <w:t>$0</w:t>
            </w:r>
          </w:p>
          <w:p w:rsidR="004E13A5" w:rsidRDefault="00681463">
            <w:pPr>
              <w:pStyle w:val="TableParagraph"/>
              <w:spacing w:before="120"/>
              <w:ind w:left="373" w:right="34"/>
              <w:jc w:val="center"/>
              <w:rPr>
                <w:sz w:val="24"/>
              </w:rPr>
            </w:pPr>
            <w:r>
              <w:rPr>
                <w:sz w:val="24"/>
              </w:rPr>
              <w:t>$15</w:t>
            </w:r>
          </w:p>
          <w:p w:rsidR="004E13A5" w:rsidRDefault="00681463">
            <w:pPr>
              <w:pStyle w:val="TableParagraph"/>
              <w:spacing w:before="120"/>
              <w:ind w:left="373" w:right="87"/>
              <w:jc w:val="center"/>
              <w:rPr>
                <w:sz w:val="24"/>
              </w:rPr>
            </w:pPr>
            <w:r>
              <w:rPr>
                <w:sz w:val="24"/>
              </w:rPr>
              <w:t>N/A</w:t>
            </w:r>
          </w:p>
          <w:p w:rsidR="004E13A5" w:rsidRDefault="00681463">
            <w:pPr>
              <w:pStyle w:val="TableParagraph"/>
              <w:spacing w:before="120"/>
              <w:ind w:left="373" w:right="34"/>
              <w:jc w:val="center"/>
              <w:rPr>
                <w:sz w:val="24"/>
              </w:rPr>
            </w:pPr>
            <w:r>
              <w:rPr>
                <w:sz w:val="24"/>
              </w:rPr>
              <w:t>$50</w:t>
            </w:r>
          </w:p>
        </w:tc>
        <w:tc>
          <w:tcPr>
            <w:tcW w:w="3510" w:type="dxa"/>
            <w:tcBorders>
              <w:left w:val="nil"/>
            </w:tcBorders>
          </w:tcPr>
          <w:p w:rsidR="004E13A5" w:rsidRDefault="00681463">
            <w:pPr>
              <w:pStyle w:val="TableParagraph"/>
              <w:spacing w:before="119" w:line="343" w:lineRule="auto"/>
              <w:ind w:left="106" w:right="193"/>
              <w:rPr>
                <w:sz w:val="24"/>
              </w:rPr>
            </w:pPr>
            <w:r>
              <w:rPr>
                <w:sz w:val="24"/>
              </w:rPr>
              <w:t>30% of monthly adjusted income 10% of monthly gross income Welfare rent</w:t>
            </w:r>
          </w:p>
          <w:p w:rsidR="004E13A5" w:rsidRDefault="00681463">
            <w:pPr>
              <w:pStyle w:val="TableParagraph"/>
              <w:spacing w:before="5"/>
              <w:ind w:left="106"/>
              <w:rPr>
                <w:sz w:val="24"/>
              </w:rPr>
            </w:pPr>
            <w:r>
              <w:rPr>
                <w:sz w:val="24"/>
              </w:rPr>
              <w:t>Minimum rent</w:t>
            </w:r>
          </w:p>
        </w:tc>
        <w:tc>
          <w:tcPr>
            <w:tcW w:w="900" w:type="dxa"/>
            <w:tcBorders>
              <w:right w:val="nil"/>
            </w:tcBorders>
          </w:tcPr>
          <w:p w:rsidR="004E13A5" w:rsidRDefault="00681463">
            <w:pPr>
              <w:pStyle w:val="TableParagraph"/>
              <w:spacing w:before="119"/>
              <w:ind w:left="527" w:right="88"/>
              <w:jc w:val="center"/>
              <w:rPr>
                <w:sz w:val="24"/>
              </w:rPr>
            </w:pPr>
            <w:r>
              <w:rPr>
                <w:sz w:val="24"/>
              </w:rPr>
              <w:t>$0</w:t>
            </w:r>
          </w:p>
          <w:p w:rsidR="004E13A5" w:rsidRDefault="00681463">
            <w:pPr>
              <w:pStyle w:val="TableParagraph"/>
              <w:spacing w:before="120"/>
              <w:ind w:left="354" w:right="35"/>
              <w:jc w:val="center"/>
              <w:rPr>
                <w:sz w:val="24"/>
              </w:rPr>
            </w:pPr>
            <w:r>
              <w:rPr>
                <w:sz w:val="24"/>
              </w:rPr>
              <w:t>$15</w:t>
            </w:r>
          </w:p>
          <w:p w:rsidR="004E13A5" w:rsidRDefault="00681463">
            <w:pPr>
              <w:pStyle w:val="TableParagraph"/>
              <w:spacing w:before="120"/>
              <w:ind w:left="354" w:right="88"/>
              <w:jc w:val="center"/>
              <w:rPr>
                <w:sz w:val="24"/>
              </w:rPr>
            </w:pPr>
            <w:r>
              <w:rPr>
                <w:sz w:val="24"/>
              </w:rPr>
              <w:t>N/A</w:t>
            </w:r>
          </w:p>
          <w:p w:rsidR="004E13A5" w:rsidRDefault="00681463">
            <w:pPr>
              <w:pStyle w:val="TableParagraph"/>
              <w:spacing w:before="120"/>
              <w:ind w:left="354" w:right="35"/>
              <w:jc w:val="center"/>
              <w:rPr>
                <w:sz w:val="24"/>
              </w:rPr>
            </w:pPr>
            <w:r>
              <w:rPr>
                <w:sz w:val="24"/>
              </w:rPr>
              <w:t>$50</w:t>
            </w:r>
          </w:p>
        </w:tc>
        <w:tc>
          <w:tcPr>
            <w:tcW w:w="3529" w:type="dxa"/>
            <w:tcBorders>
              <w:left w:val="nil"/>
            </w:tcBorders>
          </w:tcPr>
          <w:p w:rsidR="004E13A5" w:rsidRDefault="00681463">
            <w:pPr>
              <w:pStyle w:val="TableParagraph"/>
              <w:spacing w:before="119" w:line="343" w:lineRule="auto"/>
              <w:ind w:left="107" w:right="210"/>
              <w:rPr>
                <w:sz w:val="24"/>
              </w:rPr>
            </w:pPr>
            <w:r>
              <w:rPr>
                <w:sz w:val="24"/>
              </w:rPr>
              <w:t>30% of monthly adjusted income 10% of monthly gross income Welfare rent</w:t>
            </w:r>
          </w:p>
          <w:p w:rsidR="004E13A5" w:rsidRDefault="00681463">
            <w:pPr>
              <w:pStyle w:val="TableParagraph"/>
              <w:spacing w:before="5"/>
              <w:ind w:left="107"/>
              <w:rPr>
                <w:sz w:val="24"/>
              </w:rPr>
            </w:pPr>
            <w:r>
              <w:rPr>
                <w:sz w:val="24"/>
              </w:rPr>
              <w:t>Minimum rent</w:t>
            </w:r>
          </w:p>
        </w:tc>
      </w:tr>
      <w:tr w:rsidR="004E13A5">
        <w:trPr>
          <w:trHeight w:hRule="exact" w:val="805"/>
        </w:trPr>
        <w:tc>
          <w:tcPr>
            <w:tcW w:w="4429" w:type="dxa"/>
            <w:gridSpan w:val="2"/>
          </w:tcPr>
          <w:p w:rsidR="004E13A5" w:rsidRDefault="00681463">
            <w:pPr>
              <w:pStyle w:val="TableParagraph"/>
              <w:spacing w:before="119"/>
              <w:ind w:left="1092" w:right="1093"/>
              <w:jc w:val="center"/>
              <w:rPr>
                <w:sz w:val="24"/>
              </w:rPr>
            </w:pPr>
            <w:r>
              <w:rPr>
                <w:sz w:val="24"/>
              </w:rPr>
              <w:t>Minimum rent applies.</w:t>
            </w:r>
          </w:p>
          <w:p w:rsidR="004E13A5" w:rsidRDefault="00681463">
            <w:pPr>
              <w:pStyle w:val="TableParagraph"/>
              <w:spacing w:before="119"/>
              <w:ind w:left="1092" w:right="1092"/>
              <w:jc w:val="center"/>
              <w:rPr>
                <w:sz w:val="24"/>
              </w:rPr>
            </w:pPr>
            <w:r>
              <w:rPr>
                <w:sz w:val="24"/>
              </w:rPr>
              <w:t>TTP = $50</w:t>
            </w:r>
          </w:p>
        </w:tc>
        <w:tc>
          <w:tcPr>
            <w:tcW w:w="4429" w:type="dxa"/>
            <w:gridSpan w:val="2"/>
          </w:tcPr>
          <w:p w:rsidR="004E13A5" w:rsidRDefault="00681463">
            <w:pPr>
              <w:pStyle w:val="TableParagraph"/>
              <w:spacing w:before="119"/>
              <w:ind w:left="793" w:right="793"/>
              <w:jc w:val="center"/>
              <w:rPr>
                <w:sz w:val="24"/>
              </w:rPr>
            </w:pPr>
            <w:r>
              <w:rPr>
                <w:sz w:val="24"/>
              </w:rPr>
              <w:t>Hardship exemption granted.</w:t>
            </w:r>
          </w:p>
          <w:p w:rsidR="004E13A5" w:rsidRDefault="00681463">
            <w:pPr>
              <w:pStyle w:val="TableParagraph"/>
              <w:spacing w:before="119"/>
              <w:ind w:left="793" w:right="793"/>
              <w:jc w:val="center"/>
              <w:rPr>
                <w:sz w:val="24"/>
              </w:rPr>
            </w:pPr>
            <w:r>
              <w:rPr>
                <w:sz w:val="24"/>
              </w:rPr>
              <w:t>TTP = $15</w:t>
            </w:r>
          </w:p>
        </w:tc>
      </w:tr>
    </w:tbl>
    <w:p w:rsidR="004E13A5" w:rsidRDefault="004E13A5">
      <w:pPr>
        <w:pStyle w:val="BodyText"/>
        <w:spacing w:before="9"/>
        <w:ind w:left="0"/>
        <w:rPr>
          <w:sz w:val="20"/>
        </w:rPr>
      </w:pPr>
    </w:p>
    <w:p w:rsidR="004E13A5" w:rsidRDefault="00681463">
      <w:pPr>
        <w:pStyle w:val="BodyText"/>
        <w:spacing w:before="0"/>
        <w:ind w:left="820"/>
      </w:pPr>
      <w:r>
        <w:rPr>
          <w:u w:val="single"/>
        </w:rPr>
        <w:t>PHA Policy</w:t>
      </w:r>
    </w:p>
    <w:p w:rsidR="004E13A5" w:rsidRDefault="00681463">
      <w:pPr>
        <w:pStyle w:val="BodyText"/>
        <w:spacing w:before="120"/>
        <w:ind w:left="820" w:right="382"/>
      </w:pPr>
      <w:r>
        <w:t>To qualify for a hardship exemption, a family must submit a request for a hardship exemption in writing. The request must explain the nature of the hardship and how the hardship has affected the family’s ability to pay the minimum rent.</w:t>
      </w:r>
    </w:p>
    <w:p w:rsidR="004E13A5" w:rsidRDefault="00681463">
      <w:pPr>
        <w:pStyle w:val="BodyText"/>
        <w:spacing w:before="120"/>
        <w:ind w:left="820"/>
      </w:pPr>
      <w:r>
        <w:t>The PHA will make the determination of hardship within 30 calendar days.</w:t>
      </w:r>
    </w:p>
    <w:p w:rsidR="004E13A5" w:rsidRDefault="004E13A5">
      <w:pPr>
        <w:sectPr w:rsidR="004E13A5">
          <w:pgSz w:w="12240" w:h="15840"/>
          <w:pgMar w:top="1360" w:right="1380" w:bottom="640" w:left="1340" w:header="0" w:footer="441" w:gutter="0"/>
          <w:cols w:space="720"/>
        </w:sectPr>
      </w:pPr>
    </w:p>
    <w:p w:rsidR="004E13A5" w:rsidRDefault="00681463">
      <w:pPr>
        <w:pStyle w:val="Heading5"/>
        <w:spacing w:before="79"/>
      </w:pPr>
      <w:r>
        <w:lastRenderedPageBreak/>
        <w:t>No Financial Hardship</w:t>
      </w:r>
    </w:p>
    <w:p w:rsidR="004E13A5" w:rsidRDefault="00681463">
      <w:pPr>
        <w:pStyle w:val="BodyText"/>
        <w:ind w:right="262"/>
      </w:pPr>
      <w:r>
        <w:t>If the PHA determines there is no financial hardship, the PHA will reinstate the minimum rent and require the family to repay the amounts suspended.</w:t>
      </w:r>
    </w:p>
    <w:p w:rsidR="004E13A5" w:rsidRDefault="00681463">
      <w:pPr>
        <w:pStyle w:val="BodyText"/>
        <w:ind w:left="820"/>
      </w:pPr>
      <w:r>
        <w:rPr>
          <w:u w:val="single"/>
        </w:rPr>
        <w:t>PHA Policy</w:t>
      </w:r>
    </w:p>
    <w:p w:rsidR="004E13A5" w:rsidRDefault="00681463">
      <w:pPr>
        <w:pStyle w:val="BodyText"/>
        <w:ind w:left="820" w:right="182"/>
      </w:pPr>
      <w:r>
        <w:t>The PHA will require the family to repay the suspended amount within 30 calendar days of the PHA’s notice that a hardship exemption has not been granted.</w:t>
      </w:r>
    </w:p>
    <w:p w:rsidR="004E13A5" w:rsidRDefault="00681463">
      <w:pPr>
        <w:pStyle w:val="Heading5"/>
      </w:pPr>
      <w:r>
        <w:t>Temporary Hardship</w:t>
      </w:r>
    </w:p>
    <w:p w:rsidR="004E13A5" w:rsidRDefault="00681463">
      <w:pPr>
        <w:pStyle w:val="BodyText"/>
        <w:ind w:right="56"/>
      </w:pPr>
      <w:r>
        <w:t>If the PHA determines that a qualifying financial hardship is temporary, the PHA must suspend the minimum rent for the 90-day period beginning the first of the month following the date of the family’s request for a hardship exemption.</w:t>
      </w:r>
    </w:p>
    <w:p w:rsidR="004E13A5" w:rsidRDefault="00681463">
      <w:pPr>
        <w:pStyle w:val="BodyText"/>
        <w:spacing w:before="120"/>
        <w:ind w:right="441"/>
      </w:pPr>
      <w:r>
        <w:t>At the end of the 90-day suspension period, the family must resume payment of the minimum rent and must repay the PHA the amounts suspended. HUD requires the PHA to offer a reasonable repayment agreement, on terms and conditions established by the PHA. The PHA also may determine that circumstances have changed and the hardship is now a long-term hardship.</w:t>
      </w:r>
    </w:p>
    <w:p w:rsidR="004E13A5" w:rsidRDefault="00681463">
      <w:pPr>
        <w:pStyle w:val="BodyText"/>
        <w:spacing w:before="120"/>
        <w:ind w:left="820"/>
      </w:pPr>
      <w:r>
        <w:rPr>
          <w:u w:val="single"/>
        </w:rPr>
        <w:t>PHA Policy</w:t>
      </w:r>
    </w:p>
    <w:p w:rsidR="004E13A5" w:rsidRDefault="00681463">
      <w:pPr>
        <w:pStyle w:val="BodyText"/>
        <w:spacing w:before="120"/>
        <w:ind w:left="820" w:right="143"/>
      </w:pPr>
      <w:r>
        <w:t>The PHA will enter into a repayment agreement in accordance with the procedures found in Chapter 16 of this plan.</w:t>
      </w:r>
    </w:p>
    <w:p w:rsidR="004E13A5" w:rsidRDefault="00681463">
      <w:pPr>
        <w:pStyle w:val="Heading5"/>
        <w:spacing w:before="120"/>
      </w:pPr>
      <w:r>
        <w:t>Long-Term Hardship</w:t>
      </w:r>
    </w:p>
    <w:p w:rsidR="004E13A5" w:rsidRDefault="00681463">
      <w:pPr>
        <w:pStyle w:val="BodyText"/>
        <w:spacing w:before="120"/>
        <w:ind w:right="202"/>
      </w:pPr>
      <w:r>
        <w:t>If the PHA determines that the financial hardship is long-term, the PHA must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 rent.</w:t>
      </w:r>
    </w:p>
    <w:p w:rsidR="004E13A5" w:rsidRDefault="00681463">
      <w:pPr>
        <w:pStyle w:val="BodyText"/>
        <w:spacing w:before="120"/>
        <w:ind w:left="820"/>
      </w:pPr>
      <w:r>
        <w:rPr>
          <w:u w:val="single"/>
        </w:rPr>
        <w:t>PHA Policy</w:t>
      </w:r>
    </w:p>
    <w:p w:rsidR="004E13A5" w:rsidRDefault="00681463">
      <w:pPr>
        <w:pStyle w:val="BodyText"/>
        <w:spacing w:before="120"/>
        <w:ind w:left="820"/>
      </w:pPr>
      <w:r>
        <w:t>The hardship period ends when any of the following circumstances apply:</w:t>
      </w:r>
    </w:p>
    <w:p w:rsidR="004E13A5" w:rsidRDefault="00681463">
      <w:pPr>
        <w:pStyle w:val="ListParagraph"/>
        <w:numPr>
          <w:ilvl w:val="1"/>
          <w:numId w:val="74"/>
        </w:numPr>
        <w:tabs>
          <w:tab w:val="left" w:pos="1181"/>
        </w:tabs>
        <w:spacing w:before="120"/>
        <w:ind w:right="145"/>
        <w:rPr>
          <w:sz w:val="24"/>
        </w:rPr>
      </w:pPr>
      <w:r>
        <w:rPr>
          <w:sz w:val="24"/>
        </w:rPr>
        <w:t>At an interim or annual reexamination, the family’s calculated TTP is greater than</w:t>
      </w:r>
      <w:r>
        <w:rPr>
          <w:spacing w:val="-17"/>
          <w:sz w:val="24"/>
        </w:rPr>
        <w:t xml:space="preserve"> </w:t>
      </w:r>
      <w:r>
        <w:rPr>
          <w:sz w:val="24"/>
        </w:rPr>
        <w:t>the minimum</w:t>
      </w:r>
      <w:r>
        <w:rPr>
          <w:spacing w:val="-2"/>
          <w:sz w:val="24"/>
        </w:rPr>
        <w:t xml:space="preserve"> </w:t>
      </w:r>
      <w:r>
        <w:rPr>
          <w:sz w:val="24"/>
        </w:rPr>
        <w:t>rent.</w:t>
      </w:r>
    </w:p>
    <w:p w:rsidR="004E13A5" w:rsidRDefault="00681463">
      <w:pPr>
        <w:pStyle w:val="ListParagraph"/>
        <w:numPr>
          <w:ilvl w:val="1"/>
          <w:numId w:val="74"/>
        </w:numPr>
        <w:tabs>
          <w:tab w:val="left" w:pos="1181"/>
        </w:tabs>
        <w:spacing w:before="120"/>
        <w:ind w:right="116"/>
        <w:rPr>
          <w:sz w:val="24"/>
        </w:rPr>
      </w:pPr>
      <w:r>
        <w:rPr>
          <w:sz w:val="24"/>
        </w:rPr>
        <w:t>For hardship conditions based on loss of income, the hardship condition will continue to be recognized until new sources of income are received that are at least equal to</w:t>
      </w:r>
      <w:r>
        <w:rPr>
          <w:spacing w:val="-13"/>
          <w:sz w:val="24"/>
        </w:rPr>
        <w:t xml:space="preserve"> </w:t>
      </w:r>
      <w:r>
        <w:rPr>
          <w:sz w:val="24"/>
        </w:rPr>
        <w:t>the amount lost. For example, if a hardship is approved because a family no longer receives a $60/month child support payment, the hardship will continue to exist until the family receives at least $60/month in income from another source or once again begins to receive the child</w:t>
      </w:r>
      <w:r>
        <w:rPr>
          <w:spacing w:val="-5"/>
          <w:sz w:val="24"/>
        </w:rPr>
        <w:t xml:space="preserve"> </w:t>
      </w:r>
      <w:r>
        <w:rPr>
          <w:sz w:val="24"/>
        </w:rPr>
        <w:t>support.</w:t>
      </w:r>
    </w:p>
    <w:p w:rsidR="004E13A5" w:rsidRDefault="00681463">
      <w:pPr>
        <w:pStyle w:val="ListParagraph"/>
        <w:numPr>
          <w:ilvl w:val="1"/>
          <w:numId w:val="74"/>
        </w:numPr>
        <w:tabs>
          <w:tab w:val="left" w:pos="1181"/>
        </w:tabs>
        <w:spacing w:before="120"/>
        <w:ind w:right="429"/>
        <w:rPr>
          <w:sz w:val="24"/>
        </w:rPr>
      </w:pPr>
      <w:r>
        <w:rPr>
          <w:sz w:val="24"/>
        </w:rPr>
        <w:t>For hardship conditions based upon hardship-related expenses, the minimum rent exemption will continue to be recognized until the cumulative amount exempted</w:t>
      </w:r>
      <w:r>
        <w:rPr>
          <w:spacing w:val="-15"/>
          <w:sz w:val="24"/>
        </w:rPr>
        <w:t xml:space="preserve"> </w:t>
      </w:r>
      <w:r>
        <w:rPr>
          <w:sz w:val="24"/>
        </w:rPr>
        <w:t>is equal to the expense</w:t>
      </w:r>
      <w:r>
        <w:rPr>
          <w:spacing w:val="-6"/>
          <w:sz w:val="24"/>
        </w:rPr>
        <w:t xml:space="preserve"> </w:t>
      </w:r>
      <w:r>
        <w:rPr>
          <w:sz w:val="24"/>
        </w:rPr>
        <w:t>incurred.</w:t>
      </w:r>
    </w:p>
    <w:p w:rsidR="004E13A5" w:rsidRDefault="004E13A5">
      <w:pPr>
        <w:rPr>
          <w:sz w:val="24"/>
        </w:rPr>
        <w:sectPr w:rsidR="004E13A5">
          <w:pgSz w:w="12240" w:h="15840"/>
          <w:pgMar w:top="1360" w:right="1340" w:bottom="640" w:left="1340" w:header="0" w:footer="441" w:gutter="0"/>
          <w:cols w:space="720"/>
        </w:sectPr>
      </w:pPr>
    </w:p>
    <w:p w:rsidR="004E13A5" w:rsidRDefault="009D45EA">
      <w:pPr>
        <w:pStyle w:val="Heading4"/>
        <w:spacing w:before="79"/>
      </w:pPr>
      <w:r w:rsidRPr="00B54141">
        <w:lastRenderedPageBreak/>
        <w:t>6-IV</w:t>
      </w:r>
      <w:r w:rsidR="00681463">
        <w:t>.C. APPLYING PAYMENT STANDARDS [24 CFR 982.505; 982.503(b)]</w:t>
      </w:r>
    </w:p>
    <w:p w:rsidR="004E13A5" w:rsidRDefault="00681463">
      <w:pPr>
        <w:spacing w:before="119"/>
        <w:ind w:left="100"/>
        <w:rPr>
          <w:b/>
          <w:sz w:val="24"/>
        </w:rPr>
      </w:pPr>
      <w:r>
        <w:rPr>
          <w:b/>
          <w:sz w:val="24"/>
        </w:rPr>
        <w:t>Overview</w:t>
      </w:r>
    </w:p>
    <w:p w:rsidR="004E13A5" w:rsidRDefault="00681463">
      <w:pPr>
        <w:pStyle w:val="BodyText"/>
        <w:ind w:right="62"/>
      </w:pPr>
      <w:r>
        <w:t>The PHA’s schedule of payment standards is used to calculate housing assistance payments for HCV families. This section covers the application of the PHA’s payment standards. The establishment and revision of the PHA’s payment standard schedule are covered in Chapter 16.</w:t>
      </w:r>
    </w:p>
    <w:p w:rsidR="004E13A5" w:rsidRDefault="00681463">
      <w:pPr>
        <w:pStyle w:val="BodyText"/>
        <w:ind w:right="148"/>
      </w:pPr>
      <w:r>
        <w:rPr>
          <w:i/>
        </w:rPr>
        <w:t xml:space="preserve">Payment standard </w:t>
      </w:r>
      <w:r>
        <w:t>is defined as “the maximum monthly assistance payment for a family assisted in the voucher program (before deducting the total tenant payment by the family)” [24 CFR 982.4(b)].</w:t>
      </w:r>
    </w:p>
    <w:p w:rsidR="004E13A5" w:rsidRDefault="00681463">
      <w:pPr>
        <w:pStyle w:val="BodyText"/>
        <w:ind w:right="149"/>
      </w:pPr>
      <w:r>
        <w:t>The payment standard for a family is the lower of (1) the payment standard for the family unit size, which is defined as the appropriate number of bedrooms for the family under the PHA’s subsidy standards [24 CFR 982.4(b)], or (2) the payment standard for the size of the dwelling unit rented by the family.</w:t>
      </w:r>
    </w:p>
    <w:p w:rsidR="004E13A5" w:rsidRDefault="00681463">
      <w:pPr>
        <w:pStyle w:val="BodyText"/>
        <w:ind w:right="316"/>
      </w:pPr>
      <w:r>
        <w:t>If the PHA has established an exception payment standard for a designated part of zip code are or FMR area and a family’s unit is located in the exception area, the PHA must use the appropriate payment standard for the exception area.</w:t>
      </w:r>
    </w:p>
    <w:p w:rsidR="004E13A5" w:rsidRDefault="00681463">
      <w:pPr>
        <w:pStyle w:val="BodyText"/>
        <w:ind w:right="153"/>
        <w:jc w:val="both"/>
      </w:pPr>
      <w:r>
        <w:t>The PHA is required to pay a monthly housing assistance payment (HAP) for a family that is the lower of (1) the payment standard for the family minus the family’s TTP or (2) the gross rent for the family’s unit minus the TTP.</w:t>
      </w:r>
    </w:p>
    <w:p w:rsidR="004E13A5" w:rsidRDefault="00681463">
      <w:pPr>
        <w:pStyle w:val="BodyText"/>
        <w:ind w:right="215"/>
      </w:pPr>
      <w:r>
        <w:t>If during the term of the HAP contract for a family’s unit, the owner lowers the rent, the PHA will recalculate the HAP using the lower of the initial payment standard or the gross rent for the unit [HCV GB, p. 7-8].</w:t>
      </w:r>
    </w:p>
    <w:p w:rsidR="004E13A5" w:rsidRDefault="00681463">
      <w:pPr>
        <w:pStyle w:val="Heading4"/>
        <w:spacing w:before="119"/>
      </w:pPr>
      <w:r>
        <w:t>Changes in Payment Standards</w:t>
      </w:r>
    </w:p>
    <w:p w:rsidR="004E13A5" w:rsidRDefault="00681463">
      <w:pPr>
        <w:pStyle w:val="BodyText"/>
        <w:spacing w:before="120"/>
        <w:ind w:right="62"/>
      </w:pPr>
      <w:r>
        <w:t>When the PHA revises its payment standards during the term of the HAP contract for a family’s unit, it will apply the new payment standards in accordance with HUD regulations.</w:t>
      </w:r>
    </w:p>
    <w:p w:rsidR="004E13A5" w:rsidRDefault="00681463">
      <w:pPr>
        <w:pStyle w:val="Heading5"/>
        <w:spacing w:before="120"/>
      </w:pPr>
      <w:r>
        <w:t>Decreases</w:t>
      </w:r>
    </w:p>
    <w:p w:rsidR="004E13A5" w:rsidRDefault="00681463">
      <w:pPr>
        <w:pStyle w:val="BodyText"/>
        <w:spacing w:before="120"/>
        <w:ind w:right="201"/>
        <w:jc w:val="both"/>
      </w:pPr>
      <w:r>
        <w:t>If a PHA changes its payment standard schedule, resulting in a lower payment standard amount, during the term of a HAP contract, the PHA is not required to reduce the payment standard used to calculate the subsidy for families under HAP contract as long as the HAP contract remains in effect [FR Notice 11/16/16].</w:t>
      </w:r>
    </w:p>
    <w:p w:rsidR="004E13A5" w:rsidRDefault="00681463">
      <w:pPr>
        <w:pStyle w:val="BodyText"/>
        <w:spacing w:before="120"/>
        <w:ind w:right="95"/>
      </w:pPr>
      <w:r>
        <w:t>However, if the PHA does choose to reduce the payment standard for families currently under HAP contract, the initial reduction to the payment standard may not be applied any earlier than the effective date of the family’s second regular reexamination following the effective date of the decrease in the payment standard amount. At that point, the PHA may either reduce the payment standard to the current amount in effect on the PHA’s payment standard schedule, or may reduce the payment standard to another amount that is higher than the normally applicable amount on the schedule. The PHA may also establish different policies for designated areas within their jurisdiction (e.g., different zip code areas).</w:t>
      </w:r>
    </w:p>
    <w:p w:rsidR="004E13A5" w:rsidRDefault="00681463">
      <w:pPr>
        <w:pStyle w:val="BodyText"/>
        <w:spacing w:before="120"/>
        <w:ind w:right="90"/>
      </w:pPr>
      <w:r>
        <w:t>In any case, the PHA must provide the family with at least 12 months’ notice that the payment standard is being reduced before the effective date of the change. The PHA’s policy on decreases in the payment standard during the term of the HAP contract apply to all families under HAP contract at the time of the effective date of the decrease in the payment standard within the designated area.</w:t>
      </w:r>
    </w:p>
    <w:p w:rsidR="004E13A5" w:rsidRDefault="004E13A5">
      <w:pPr>
        <w:sectPr w:rsidR="004E13A5">
          <w:pgSz w:w="12240" w:h="15840"/>
          <w:pgMar w:top="1360" w:right="1360" w:bottom="640" w:left="1340" w:header="0" w:footer="441"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ind w:left="820" w:right="169"/>
      </w:pPr>
      <w:r>
        <w:t>If the PHA changes its payment standard schedule resulting in a lower payment standard amount, during the term of a HAP contract, the PHA will not reduce the payment standard used to calculate subsidy for families under HAP contract as long as the HAP contract remains in effect.</w:t>
      </w:r>
    </w:p>
    <w:p w:rsidR="004E13A5" w:rsidRDefault="00681463">
      <w:pPr>
        <w:pStyle w:val="BodyText"/>
        <w:ind w:left="820"/>
      </w:pPr>
      <w:r>
        <w:t>The PHA will not establish different policies for decreases in the payment standard for designated areas within their jurisdiction.</w:t>
      </w:r>
    </w:p>
    <w:p w:rsidR="004E13A5" w:rsidRDefault="00681463">
      <w:pPr>
        <w:pStyle w:val="Heading5"/>
      </w:pPr>
      <w:r>
        <w:t>Increases</w:t>
      </w:r>
    </w:p>
    <w:p w:rsidR="004E13A5" w:rsidRDefault="00681463">
      <w:pPr>
        <w:pStyle w:val="BodyText"/>
        <w:ind w:right="135"/>
      </w:pPr>
      <w:r>
        <w:t>If the payment standard is increased during the term of the HAP contract, the increased payment standard will be used to calculate the monthly housing assistance payment for the family beginning on the effective date of the family’s first regular reexamination on or after the effective date of the increase in the payment standard.</w:t>
      </w:r>
    </w:p>
    <w:p w:rsidR="004E13A5" w:rsidRDefault="00681463">
      <w:pPr>
        <w:pStyle w:val="BodyText"/>
        <w:ind w:right="255"/>
      </w:pPr>
      <w:r>
        <w:t>Families requiring or requesting interim reexaminations will not have their HAP payments calculated using the higher payment standard until their next annual reexamination [HCV GB, p. 7-8].</w:t>
      </w:r>
    </w:p>
    <w:p w:rsidR="004E13A5" w:rsidRDefault="00681463">
      <w:pPr>
        <w:pStyle w:val="Heading5"/>
      </w:pPr>
      <w:r>
        <w:t>Changes in Family Unit Size (Voucher Size)</w:t>
      </w:r>
    </w:p>
    <w:p w:rsidR="004E13A5" w:rsidRDefault="00681463">
      <w:pPr>
        <w:pStyle w:val="BodyText"/>
        <w:ind w:right="137"/>
      </w:pPr>
      <w:r>
        <w:t>Irrespective of any increase or decrease in the payment standard, if the family unit size increases or decreases during the HAP contract term, the new family unit size must be used to determine the payment standard for the family beginning at the family’s first regular reexamination following the change in family unit size.</w:t>
      </w:r>
    </w:p>
    <w:p w:rsidR="004E13A5" w:rsidRDefault="00681463">
      <w:pPr>
        <w:pStyle w:val="Heading4"/>
        <w:spacing w:before="119"/>
      </w:pPr>
      <w:r>
        <w:t>Reasonable Accommodation</w:t>
      </w:r>
    </w:p>
    <w:p w:rsidR="004E13A5" w:rsidRDefault="00681463">
      <w:pPr>
        <w:pStyle w:val="BodyText"/>
        <w:ind w:right="623"/>
        <w:jc w:val="both"/>
      </w:pPr>
      <w:r>
        <w:t>If a family requires a higher payment standard as a reasonable accommodation for a family member who is a person with disabilities, the PHA is allowed to establish a higher</w:t>
      </w:r>
      <w:r>
        <w:rPr>
          <w:spacing w:val="-18"/>
        </w:rPr>
        <w:t xml:space="preserve"> </w:t>
      </w:r>
      <w:r>
        <w:t>payment standard for the family of not more than 120 percent of the published</w:t>
      </w:r>
      <w:r>
        <w:rPr>
          <w:spacing w:val="-11"/>
        </w:rPr>
        <w:t xml:space="preserve"> </w:t>
      </w:r>
      <w:r>
        <w:t>FMR.</w:t>
      </w:r>
    </w:p>
    <w:p w:rsidR="004E13A5" w:rsidRDefault="004E13A5">
      <w:pPr>
        <w:pStyle w:val="BodyText"/>
        <w:spacing w:before="9"/>
        <w:ind w:left="0"/>
        <w:rPr>
          <w:sz w:val="20"/>
        </w:rPr>
      </w:pPr>
    </w:p>
    <w:p w:rsidR="004E13A5" w:rsidRDefault="009D45EA">
      <w:pPr>
        <w:pStyle w:val="Heading4"/>
      </w:pPr>
      <w:r w:rsidRPr="00B54141">
        <w:t>6-IV</w:t>
      </w:r>
      <w:r w:rsidR="00681463">
        <w:t>.D. APPLYING UTILITY ALLOWANCES [24 CFR 982.517]</w:t>
      </w:r>
    </w:p>
    <w:p w:rsidR="004E13A5" w:rsidRDefault="00681463">
      <w:pPr>
        <w:spacing w:before="119"/>
        <w:ind w:left="100"/>
        <w:rPr>
          <w:b/>
          <w:sz w:val="24"/>
        </w:rPr>
      </w:pPr>
      <w:r>
        <w:rPr>
          <w:b/>
          <w:sz w:val="24"/>
        </w:rPr>
        <w:t>Overview</w:t>
      </w:r>
    </w:p>
    <w:p w:rsidR="004E13A5" w:rsidRDefault="00681463">
      <w:pPr>
        <w:pStyle w:val="BodyText"/>
        <w:ind w:right="188"/>
      </w:pPr>
      <w:r>
        <w:t>A PHA-established utility allowance schedule is used in determining family share and PHA subsidy. A family's utility allowance is determined by the size of dwelling unit leased by a family or the voucher unit size for which the family qualifies using PHA subsidy standards, whichever is the lowest of the two [FR Notice 06/25/14]. See Chapter 5 for information on the PHA’s subsidy standards.</w:t>
      </w:r>
    </w:p>
    <w:p w:rsidR="004E13A5" w:rsidRDefault="00681463">
      <w:pPr>
        <w:pStyle w:val="BodyText"/>
      </w:pPr>
      <w:r>
        <w:t>For policies on establishing and updating utility allowances, see Chapter 16.</w:t>
      </w:r>
    </w:p>
    <w:p w:rsidR="004E13A5" w:rsidRDefault="00681463">
      <w:pPr>
        <w:pStyle w:val="Heading4"/>
        <w:spacing w:before="120"/>
      </w:pPr>
      <w:r>
        <w:t>Reasonable Accommodation</w:t>
      </w:r>
    </w:p>
    <w:p w:rsidR="004E13A5" w:rsidRDefault="00681463">
      <w:pPr>
        <w:pStyle w:val="BodyText"/>
        <w:spacing w:before="120"/>
        <w:ind w:right="103"/>
      </w:pPr>
      <w:r>
        <w:t>HCV program regulations require a PHA to approve a utility allowance amount higher than shown on the PHA’s schedule if a higher allowance is needed as a reasonable accommodation for a family member with a disability. For example, if a family member with a disability</w:t>
      </w:r>
      <w:r>
        <w:rPr>
          <w:spacing w:val="-20"/>
        </w:rPr>
        <w:t xml:space="preserve"> </w:t>
      </w:r>
      <w:r>
        <w:t>requires such an accommodation, the PHA will approve an allowance for air-conditioning, even if the PHA has determined that an allowance for air-conditioning generally is not</w:t>
      </w:r>
      <w:r>
        <w:rPr>
          <w:spacing w:val="-15"/>
        </w:rPr>
        <w:t xml:space="preserve"> </w:t>
      </w:r>
      <w:r>
        <w:t>needed.</w:t>
      </w:r>
    </w:p>
    <w:p w:rsidR="004E13A5" w:rsidRDefault="004E13A5">
      <w:pPr>
        <w:sectPr w:rsidR="004E13A5">
          <w:pgSz w:w="12240" w:h="15840"/>
          <w:pgMar w:top="1360" w:right="1380" w:bottom="640" w:left="1340" w:header="0" w:footer="441" w:gutter="0"/>
          <w:cols w:space="720"/>
        </w:sectPr>
      </w:pPr>
    </w:p>
    <w:p w:rsidR="004E13A5" w:rsidRDefault="00681463">
      <w:pPr>
        <w:pStyle w:val="BodyText"/>
        <w:spacing w:before="79"/>
        <w:ind w:left="220" w:right="502"/>
      </w:pPr>
      <w:r>
        <w:lastRenderedPageBreak/>
        <w:t>The family must request the higher allowance and provide the PHA with an explanation of the need for the reasonable accommodation and information about the amount of additional allowance required [HCV GB, p. 18-8].</w:t>
      </w:r>
    </w:p>
    <w:p w:rsidR="004E13A5" w:rsidRDefault="00681463">
      <w:pPr>
        <w:pStyle w:val="Heading4"/>
        <w:spacing w:before="119"/>
        <w:ind w:left="220"/>
      </w:pPr>
      <w:r>
        <w:t>Utility Allowance Revisions</w:t>
      </w:r>
    </w:p>
    <w:p w:rsidR="004E13A5" w:rsidRDefault="00681463">
      <w:pPr>
        <w:pStyle w:val="BodyText"/>
        <w:ind w:left="220"/>
      </w:pPr>
      <w:r>
        <w:t xml:space="preserve">At reexamination, the PHA must use the current utility allowance schedule </w:t>
      </w:r>
    </w:p>
    <w:p w:rsidR="004E13A5" w:rsidRDefault="00681463">
      <w:pPr>
        <w:pStyle w:val="BodyText"/>
        <w:ind w:left="940"/>
      </w:pPr>
      <w:r>
        <w:rPr>
          <w:u w:val="single"/>
        </w:rPr>
        <w:t>PHA Policy</w:t>
      </w:r>
    </w:p>
    <w:p w:rsidR="004E13A5" w:rsidRDefault="00681463">
      <w:pPr>
        <w:pStyle w:val="BodyText"/>
        <w:ind w:left="940" w:right="355"/>
      </w:pPr>
      <w:r>
        <w:t>Revised utility allowances will be applied to a family’s rent and subsidy calculations at the first annual reexamination that is effective after the allowance is adopted.</w:t>
      </w:r>
    </w:p>
    <w:p w:rsidR="004E13A5" w:rsidRDefault="004E13A5">
      <w:pPr>
        <w:pStyle w:val="BodyText"/>
        <w:spacing w:before="9"/>
        <w:ind w:left="0"/>
        <w:rPr>
          <w:sz w:val="20"/>
        </w:rPr>
      </w:pPr>
    </w:p>
    <w:p w:rsidR="004E13A5" w:rsidRDefault="009D45EA">
      <w:pPr>
        <w:pStyle w:val="Heading4"/>
        <w:ind w:left="220"/>
      </w:pPr>
      <w:r w:rsidRPr="00B54141">
        <w:t>6-IV</w:t>
      </w:r>
      <w:r w:rsidR="00681463">
        <w:t>.E. PRORATED ASSISTANCE FOR MIXED FAMILIES [24 CFR 5.520]</w:t>
      </w:r>
    </w:p>
    <w:p w:rsidR="004E13A5" w:rsidRDefault="00681463">
      <w:pPr>
        <w:pStyle w:val="BodyText"/>
        <w:spacing w:after="82"/>
        <w:ind w:left="220" w:right="269"/>
      </w:pPr>
      <w:r>
        <w:t xml:space="preserve">HUD regulations prohibit assistance to ineligible family members. A </w:t>
      </w:r>
      <w:r>
        <w:rPr>
          <w:i/>
        </w:rPr>
        <w:t xml:space="preserve">mixed family </w:t>
      </w:r>
      <w:r>
        <w:t>is one that includes at least one U.S. citizen or eligible immigrant and any number of ineligible family members. The PHA must prorate the assistance provided to a mixed family. The PHA will first determine assistance as if all family members were eligible and then prorate the assistance based upon the percentage of family members that actually are eligible. For example, if the PHA subsidy for a family is calculated at $500 and two of four family members are ineligible, the PHA subsidy would be reduced to $250.</w:t>
      </w:r>
    </w:p>
    <w:p w:rsidR="004E13A5" w:rsidRDefault="00681463">
      <w:pPr>
        <w:ind w:left="102"/>
        <w:rPr>
          <w:sz w:val="20"/>
        </w:rPr>
      </w:pPr>
      <w:r>
        <w:rPr>
          <w:spacing w:val="-49"/>
          <w:sz w:val="20"/>
        </w:rPr>
        <w:t xml:space="preserve"> </w:t>
      </w:r>
      <w:r w:rsidR="003263D1">
        <w:rPr>
          <w:noProof/>
          <w:spacing w:val="-49"/>
          <w:sz w:val="20"/>
        </w:rPr>
        <mc:AlternateContent>
          <mc:Choice Requires="wps">
            <w:drawing>
              <wp:inline distT="0" distB="0" distL="0" distR="0">
                <wp:extent cx="6088380" cy="205740"/>
                <wp:effectExtent l="11430" t="13335" r="5715" b="9525"/>
                <wp:docPr id="7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2186"/>
                              <w:rPr>
                                <w:b/>
                                <w:sz w:val="24"/>
                              </w:rPr>
                            </w:pPr>
                            <w:r>
                              <w:rPr>
                                <w:b/>
                                <w:sz w:val="24"/>
                              </w:rPr>
                              <w:t>EXHIBIT 6-1: ANNUAL INCOME INCLUSIONS</w:t>
                            </w:r>
                          </w:p>
                        </w:txbxContent>
                      </wps:txbx>
                      <wps:bodyPr rot="0" vert="horz" wrap="square" lIns="0" tIns="0" rIns="0" bIns="0" anchor="t" anchorCtr="0" upright="1">
                        <a:noAutofit/>
                      </wps:bodyPr>
                    </wps:wsp>
                  </a:graphicData>
                </a:graphic>
              </wp:inline>
            </w:drawing>
          </mc:Choice>
          <mc:Fallback>
            <w:pict>
              <v:shape id="Text Box 98" o:spid="_x0000_s1033"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" filled="f" strokeweight=".48pt">
                <v:textbox inset="0,0,0,0">
                  <w:txbxContent>
                    <w:p w:rsidR="00BA59C9" w:rsidRDefault="00BA59C9">
                      <w:pPr>
                        <w:spacing w:before="18"/>
                        <w:ind w:left="2186"/>
                        <w:rPr>
                          <w:b/>
                          <w:sz w:val="24"/>
                        </w:rPr>
                      </w:pPr>
                      <w:r>
                        <w:rPr>
                          <w:b/>
                          <w:sz w:val="24"/>
                        </w:rPr>
                        <w:t>EXHIBIT 6-1: ANNUAL INCOME INCLUSIONS</w:t>
                      </w:r>
                    </w:p>
                  </w:txbxContent>
                </v:textbox>
                <w10:anchorlock/>
              </v:shape>
            </w:pict>
          </mc:Fallback>
        </mc:AlternateContent>
      </w:r>
    </w:p>
    <w:p w:rsidR="004E13A5" w:rsidRDefault="004E13A5">
      <w:pPr>
        <w:rPr>
          <w:sz w:val="20"/>
        </w:rPr>
        <w:sectPr w:rsidR="004E13A5">
          <w:pgSz w:w="12240" w:h="15840"/>
          <w:pgMar w:top="1360" w:right="1220" w:bottom="640" w:left="1220" w:header="0" w:footer="441" w:gutter="0"/>
          <w:cols w:space="720"/>
        </w:sectPr>
      </w:pPr>
    </w:p>
    <w:p w:rsidR="004E13A5" w:rsidRDefault="00681463">
      <w:pPr>
        <w:pStyle w:val="Heading4"/>
        <w:spacing w:before="41"/>
        <w:ind w:left="220"/>
      </w:pPr>
      <w:r>
        <w:t>24 CFR 5.609</w:t>
      </w:r>
    </w:p>
    <w:p w:rsidR="004E13A5" w:rsidRDefault="00681463">
      <w:pPr>
        <w:pStyle w:val="ListParagraph"/>
        <w:numPr>
          <w:ilvl w:val="0"/>
          <w:numId w:val="73"/>
        </w:numPr>
        <w:tabs>
          <w:tab w:val="left" w:pos="559"/>
        </w:tabs>
        <w:spacing w:before="78" w:line="242" w:lineRule="auto"/>
        <w:ind w:right="742" w:firstLine="0"/>
        <w:rPr>
          <w:i/>
          <w:sz w:val="24"/>
        </w:rPr>
      </w:pPr>
      <w:r>
        <w:rPr>
          <w:i/>
          <w:sz w:val="24"/>
        </w:rPr>
        <w:t>Annual income means all amounts, monetary or not,</w:t>
      </w:r>
      <w:r>
        <w:rPr>
          <w:i/>
          <w:spacing w:val="-4"/>
          <w:sz w:val="24"/>
        </w:rPr>
        <w:t xml:space="preserve"> </w:t>
      </w:r>
      <w:r>
        <w:rPr>
          <w:i/>
          <w:sz w:val="24"/>
        </w:rPr>
        <w:t>which:</w:t>
      </w:r>
    </w:p>
    <w:p w:rsidR="004E13A5" w:rsidRDefault="00681463">
      <w:pPr>
        <w:pStyle w:val="ListParagraph"/>
        <w:numPr>
          <w:ilvl w:val="1"/>
          <w:numId w:val="73"/>
        </w:numPr>
        <w:tabs>
          <w:tab w:val="left" w:pos="559"/>
        </w:tabs>
        <w:spacing w:before="76"/>
        <w:ind w:right="150" w:firstLine="0"/>
        <w:jc w:val="both"/>
        <w:rPr>
          <w:sz w:val="24"/>
        </w:rPr>
      </w:pPr>
      <w:r>
        <w:rPr>
          <w:sz w:val="24"/>
        </w:rPr>
        <w:t>Go to, or on behalf of, the family head or spouse (even if temporarily absent) or to any other family member;</w:t>
      </w:r>
      <w:r>
        <w:rPr>
          <w:spacing w:val="-5"/>
          <w:sz w:val="24"/>
        </w:rPr>
        <w:t xml:space="preserve"> </w:t>
      </w:r>
      <w:r>
        <w:rPr>
          <w:sz w:val="24"/>
        </w:rPr>
        <w:t>or</w:t>
      </w:r>
    </w:p>
    <w:p w:rsidR="004E13A5" w:rsidRDefault="00681463">
      <w:pPr>
        <w:pStyle w:val="ListParagraph"/>
        <w:numPr>
          <w:ilvl w:val="1"/>
          <w:numId w:val="73"/>
        </w:numPr>
        <w:tabs>
          <w:tab w:val="left" w:pos="559"/>
        </w:tabs>
        <w:spacing w:before="79"/>
        <w:ind w:firstLine="0"/>
        <w:rPr>
          <w:sz w:val="24"/>
        </w:rPr>
      </w:pPr>
      <w:r>
        <w:rPr>
          <w:sz w:val="24"/>
        </w:rPr>
        <w:t>Are anticipated to be received from a source outside the family during the</w:t>
      </w:r>
      <w:r>
        <w:rPr>
          <w:spacing w:val="-6"/>
          <w:sz w:val="24"/>
        </w:rPr>
        <w:t xml:space="preserve"> </w:t>
      </w:r>
      <w:r>
        <w:rPr>
          <w:sz w:val="24"/>
        </w:rPr>
        <w:t>12-month period following admission or annual reexamination effective date;</w:t>
      </w:r>
      <w:r>
        <w:rPr>
          <w:spacing w:val="-7"/>
          <w:sz w:val="24"/>
        </w:rPr>
        <w:t xml:space="preserve"> </w:t>
      </w:r>
      <w:r>
        <w:rPr>
          <w:sz w:val="24"/>
        </w:rPr>
        <w:t>and</w:t>
      </w:r>
    </w:p>
    <w:p w:rsidR="004E13A5" w:rsidRDefault="00681463">
      <w:pPr>
        <w:pStyle w:val="ListParagraph"/>
        <w:numPr>
          <w:ilvl w:val="1"/>
          <w:numId w:val="73"/>
        </w:numPr>
        <w:tabs>
          <w:tab w:val="left" w:pos="559"/>
        </w:tabs>
        <w:spacing w:before="79" w:line="242" w:lineRule="auto"/>
        <w:ind w:right="412" w:firstLine="0"/>
        <w:rPr>
          <w:sz w:val="24"/>
        </w:rPr>
      </w:pPr>
      <w:r>
        <w:rPr>
          <w:sz w:val="24"/>
        </w:rPr>
        <w:t>Which are not specifically excluded in paragraph (c) of this</w:t>
      </w:r>
      <w:r>
        <w:rPr>
          <w:spacing w:val="-6"/>
          <w:sz w:val="24"/>
        </w:rPr>
        <w:t xml:space="preserve"> </w:t>
      </w:r>
      <w:r>
        <w:rPr>
          <w:sz w:val="24"/>
        </w:rPr>
        <w:t>section.</w:t>
      </w:r>
    </w:p>
    <w:p w:rsidR="004E13A5" w:rsidRDefault="00681463">
      <w:pPr>
        <w:pStyle w:val="ListParagraph"/>
        <w:numPr>
          <w:ilvl w:val="1"/>
          <w:numId w:val="73"/>
        </w:numPr>
        <w:tabs>
          <w:tab w:val="left" w:pos="559"/>
        </w:tabs>
        <w:spacing w:before="76"/>
        <w:ind w:right="67" w:firstLine="0"/>
        <w:rPr>
          <w:sz w:val="24"/>
        </w:rPr>
      </w:pPr>
      <w:r>
        <w:rPr>
          <w:sz w:val="24"/>
        </w:rPr>
        <w:t>Annual income also means amounts derived (during the 12-month period) from assets to which any member of the family</w:t>
      </w:r>
      <w:r>
        <w:rPr>
          <w:spacing w:val="-9"/>
          <w:sz w:val="24"/>
        </w:rPr>
        <w:t xml:space="preserve"> </w:t>
      </w:r>
      <w:r>
        <w:rPr>
          <w:sz w:val="24"/>
        </w:rPr>
        <w:t>has access.</w:t>
      </w:r>
    </w:p>
    <w:p w:rsidR="004E13A5" w:rsidRDefault="00681463">
      <w:pPr>
        <w:pStyle w:val="ListParagraph"/>
        <w:numPr>
          <w:ilvl w:val="0"/>
          <w:numId w:val="73"/>
        </w:numPr>
        <w:tabs>
          <w:tab w:val="left" w:pos="559"/>
        </w:tabs>
        <w:spacing w:before="79"/>
        <w:ind w:right="64" w:firstLine="0"/>
        <w:rPr>
          <w:i/>
          <w:sz w:val="24"/>
        </w:rPr>
      </w:pPr>
      <w:r>
        <w:rPr>
          <w:i/>
          <w:sz w:val="24"/>
        </w:rPr>
        <w:t>Annual income includes, but is not limited to:</w:t>
      </w:r>
    </w:p>
    <w:p w:rsidR="004E13A5" w:rsidRDefault="00681463">
      <w:pPr>
        <w:pStyle w:val="ListParagraph"/>
        <w:numPr>
          <w:ilvl w:val="1"/>
          <w:numId w:val="73"/>
        </w:numPr>
        <w:tabs>
          <w:tab w:val="left" w:pos="559"/>
        </w:tabs>
        <w:spacing w:before="79"/>
        <w:ind w:right="54" w:firstLine="0"/>
        <w:rPr>
          <w:sz w:val="24"/>
        </w:rPr>
      </w:pPr>
      <w:r>
        <w:rPr>
          <w:sz w:val="24"/>
        </w:rPr>
        <w:t>The full amount, before any payroll deductions, of wages and salaries, overtime pay, commissions, fees, tips and bonuses,</w:t>
      </w:r>
      <w:r>
        <w:rPr>
          <w:spacing w:val="-9"/>
          <w:sz w:val="24"/>
        </w:rPr>
        <w:t xml:space="preserve"> </w:t>
      </w:r>
      <w:r>
        <w:rPr>
          <w:sz w:val="24"/>
        </w:rPr>
        <w:t>and other compensation for personal</w:t>
      </w:r>
      <w:r>
        <w:rPr>
          <w:spacing w:val="-8"/>
          <w:sz w:val="24"/>
        </w:rPr>
        <w:t xml:space="preserve"> </w:t>
      </w:r>
      <w:r>
        <w:rPr>
          <w:sz w:val="24"/>
        </w:rPr>
        <w:t>services;</w:t>
      </w:r>
    </w:p>
    <w:p w:rsidR="004E13A5" w:rsidRDefault="00681463">
      <w:pPr>
        <w:pStyle w:val="ListParagraph"/>
        <w:numPr>
          <w:ilvl w:val="1"/>
          <w:numId w:val="73"/>
        </w:numPr>
        <w:tabs>
          <w:tab w:val="left" w:pos="559"/>
        </w:tabs>
        <w:spacing w:before="79"/>
        <w:ind w:right="113" w:firstLine="0"/>
        <w:rPr>
          <w:sz w:val="24"/>
        </w:rPr>
      </w:pPr>
      <w:r>
        <w:rPr>
          <w:sz w:val="24"/>
        </w:rPr>
        <w:t>The net income from the operation of a business or profession. Expenditures for business expansion or amortization of</w:t>
      </w:r>
      <w:r>
        <w:rPr>
          <w:spacing w:val="-8"/>
          <w:sz w:val="24"/>
        </w:rPr>
        <w:t xml:space="preserve"> </w:t>
      </w:r>
      <w:r>
        <w:rPr>
          <w:sz w:val="24"/>
        </w:rPr>
        <w:t>capital</w:t>
      </w:r>
    </w:p>
    <w:p w:rsidR="004E13A5" w:rsidRDefault="00681463">
      <w:pPr>
        <w:pStyle w:val="BodyText"/>
        <w:spacing w:before="9"/>
        <w:ind w:left="0"/>
        <w:rPr>
          <w:sz w:val="32"/>
        </w:rPr>
      </w:pPr>
      <w:r>
        <w:br w:type="column"/>
      </w:r>
    </w:p>
    <w:p w:rsidR="004E13A5" w:rsidRDefault="00681463">
      <w:pPr>
        <w:pStyle w:val="BodyText"/>
        <w:spacing w:before="0"/>
        <w:ind w:left="220" w:right="210"/>
      </w:pPr>
      <w:r>
        <w:t>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4E13A5" w:rsidRDefault="003263D1">
      <w:pPr>
        <w:pStyle w:val="ListParagraph"/>
        <w:numPr>
          <w:ilvl w:val="1"/>
          <w:numId w:val="73"/>
        </w:numPr>
        <w:tabs>
          <w:tab w:val="left" w:pos="562"/>
        </w:tabs>
        <w:spacing w:before="78"/>
        <w:ind w:right="229" w:firstLine="0"/>
        <w:rPr>
          <w:sz w:val="24"/>
        </w:rPr>
      </w:pPr>
      <w:r>
        <w:rPr>
          <w:noProof/>
        </w:rPr>
        <mc:AlternateContent>
          <mc:Choice Requires="wps">
            <w:drawing>
              <wp:anchor distT="0" distB="0" distL="114300" distR="114300" simplePos="0" relativeHeight="1264" behindDoc="0" locked="0" layoutInCell="1" allowOverlap="1">
                <wp:simplePos x="0" y="0"/>
                <wp:positionH relativeFrom="page">
                  <wp:posOffset>3886835</wp:posOffset>
                </wp:positionH>
                <wp:positionV relativeFrom="paragraph">
                  <wp:posOffset>-1928495</wp:posOffset>
                </wp:positionV>
                <wp:extent cx="0" cy="4575810"/>
                <wp:effectExtent l="10160" t="13335" r="8890" b="11430"/>
                <wp:wrapNone/>
                <wp:docPr id="7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5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1E99" id="Line 62"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151.85pt" to="306.0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TE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" strokeweight=".72pt">
                <w10:wrap anchorx="page"/>
              </v:line>
            </w:pict>
          </mc:Fallback>
        </mc:AlternateContent>
      </w:r>
      <w:r w:rsidR="00681463">
        <w:rPr>
          <w:sz w:val="24"/>
        </w:rPr>
        <w:t>Interest, dividends, and other net income of any kind from real or personal property. Expenditures for amortization of capital indebtedness shall not be used as deductions in determining net income. An allowance for depreciation is permitted only as authorized in paragraph (b)(2) of this section. Any withdrawal of cash or assets from an investment will be included in income, except to the extent the withdrawal is reimbursement of cash or assets invested by the family.</w:t>
      </w:r>
      <w:r w:rsidR="00681463">
        <w:rPr>
          <w:spacing w:val="-9"/>
          <w:sz w:val="24"/>
        </w:rPr>
        <w:t xml:space="preserve"> </w:t>
      </w:r>
      <w:r w:rsidR="00681463">
        <w:rPr>
          <w:sz w:val="24"/>
        </w:rPr>
        <w:t>Where the family has net family assets in excess</w:t>
      </w:r>
      <w:r w:rsidR="00681463">
        <w:rPr>
          <w:spacing w:val="-9"/>
          <w:sz w:val="24"/>
        </w:rPr>
        <w:t xml:space="preserve"> </w:t>
      </w:r>
      <w:r w:rsidR="00681463">
        <w:rPr>
          <w:sz w:val="24"/>
        </w:rPr>
        <w:t>of</w:t>
      </w:r>
    </w:p>
    <w:p w:rsidR="004E13A5" w:rsidRDefault="00681463">
      <w:pPr>
        <w:pStyle w:val="BodyText"/>
        <w:spacing w:before="0"/>
        <w:ind w:left="220" w:right="451"/>
      </w:pPr>
      <w:r>
        <w:t>$5,000, annual income shall include the greater of the actual income derived from all</w:t>
      </w:r>
    </w:p>
    <w:p w:rsidR="004E13A5" w:rsidRDefault="004E13A5">
      <w:pPr>
        <w:sectPr w:rsidR="004E13A5">
          <w:type w:val="continuous"/>
          <w:pgSz w:w="12240" w:h="15840"/>
          <w:pgMar w:top="1500" w:right="1220" w:bottom="280" w:left="1220" w:header="720" w:footer="720" w:gutter="0"/>
          <w:cols w:num="2" w:space="720" w:equalWidth="0">
            <w:col w:w="4673" w:space="151"/>
            <w:col w:w="4976"/>
          </w:cols>
        </w:sectPr>
      </w:pPr>
    </w:p>
    <w:p w:rsidR="004E13A5" w:rsidRDefault="00681463">
      <w:pPr>
        <w:pStyle w:val="BodyText"/>
        <w:spacing w:before="79"/>
        <w:ind w:left="120" w:right="201"/>
        <w:jc w:val="both"/>
      </w:pPr>
      <w:r>
        <w:lastRenderedPageBreak/>
        <w:t>net family assets or a percentage of the</w:t>
      </w:r>
      <w:r>
        <w:rPr>
          <w:spacing w:val="-11"/>
        </w:rPr>
        <w:t xml:space="preserve"> </w:t>
      </w:r>
      <w:r>
        <w:t>value of such assets based on the current passbook savings rate, as determined by</w:t>
      </w:r>
      <w:r>
        <w:rPr>
          <w:spacing w:val="-8"/>
        </w:rPr>
        <w:t xml:space="preserve"> </w:t>
      </w:r>
      <w:r>
        <w:t>HUD;</w:t>
      </w:r>
    </w:p>
    <w:p w:rsidR="004E13A5" w:rsidRDefault="00681463">
      <w:pPr>
        <w:pStyle w:val="ListParagraph"/>
        <w:numPr>
          <w:ilvl w:val="1"/>
          <w:numId w:val="73"/>
        </w:numPr>
        <w:tabs>
          <w:tab w:val="left" w:pos="459"/>
        </w:tabs>
        <w:spacing w:before="78"/>
        <w:ind w:left="120" w:right="72" w:firstLine="0"/>
        <w:rPr>
          <w:sz w:val="24"/>
        </w:rPr>
      </w:pPr>
      <w:r>
        <w:rPr>
          <w:sz w:val="24"/>
        </w:rPr>
        <w:t>The full amount of periodic amounts received from Social Security, annuities, insurance policies, retirement funds,</w:t>
      </w:r>
      <w:r>
        <w:rPr>
          <w:spacing w:val="-7"/>
          <w:sz w:val="24"/>
        </w:rPr>
        <w:t xml:space="preserve"> </w:t>
      </w:r>
      <w:r>
        <w:rPr>
          <w:sz w:val="24"/>
        </w:rPr>
        <w:t>pensions, disability or death benefits, and other similar types of periodic receipts, including a lump- sum amount or prospective monthly amounts for the delayed start of a periodic amount (except as provided in paragraph (c)(14) of this</w:t>
      </w:r>
      <w:r>
        <w:rPr>
          <w:spacing w:val="-3"/>
          <w:sz w:val="24"/>
        </w:rPr>
        <w:t xml:space="preserve"> </w:t>
      </w:r>
      <w:r>
        <w:rPr>
          <w:sz w:val="24"/>
        </w:rPr>
        <w:t>section);</w:t>
      </w:r>
    </w:p>
    <w:p w:rsidR="004E13A5" w:rsidRDefault="00681463">
      <w:pPr>
        <w:pStyle w:val="ListParagraph"/>
        <w:numPr>
          <w:ilvl w:val="1"/>
          <w:numId w:val="73"/>
        </w:numPr>
        <w:tabs>
          <w:tab w:val="left" w:pos="459"/>
        </w:tabs>
        <w:spacing w:before="79"/>
        <w:ind w:left="120" w:right="101" w:firstLine="0"/>
        <w:rPr>
          <w:sz w:val="24"/>
        </w:rPr>
      </w:pPr>
      <w:r>
        <w:rPr>
          <w:sz w:val="24"/>
        </w:rPr>
        <w:t>Payments in lieu of earnings, such as unemployment and disability compensation, worker's compensation and severance pay (except as provided in paragraph (c)(3) of</w:t>
      </w:r>
      <w:r>
        <w:rPr>
          <w:spacing w:val="-8"/>
          <w:sz w:val="24"/>
        </w:rPr>
        <w:t xml:space="preserve"> </w:t>
      </w:r>
      <w:r>
        <w:rPr>
          <w:sz w:val="24"/>
        </w:rPr>
        <w:t>this section);</w:t>
      </w:r>
    </w:p>
    <w:p w:rsidR="004E13A5" w:rsidRDefault="00681463">
      <w:pPr>
        <w:pStyle w:val="ListParagraph"/>
        <w:numPr>
          <w:ilvl w:val="1"/>
          <w:numId w:val="73"/>
        </w:numPr>
        <w:tabs>
          <w:tab w:val="left" w:pos="459"/>
        </w:tabs>
        <w:spacing w:before="79"/>
        <w:ind w:left="458" w:hanging="338"/>
        <w:rPr>
          <w:sz w:val="24"/>
        </w:rPr>
      </w:pPr>
      <w:r>
        <w:rPr>
          <w:sz w:val="24"/>
        </w:rPr>
        <w:t>Welfare assistance</w:t>
      </w:r>
      <w:r>
        <w:rPr>
          <w:spacing w:val="-8"/>
          <w:sz w:val="24"/>
        </w:rPr>
        <w:t xml:space="preserve"> </w:t>
      </w:r>
      <w:r>
        <w:rPr>
          <w:sz w:val="24"/>
        </w:rPr>
        <w:t>payments.</w:t>
      </w:r>
    </w:p>
    <w:p w:rsidR="004E13A5" w:rsidRDefault="00681463">
      <w:pPr>
        <w:pStyle w:val="ListParagraph"/>
        <w:numPr>
          <w:ilvl w:val="2"/>
          <w:numId w:val="73"/>
        </w:numPr>
        <w:tabs>
          <w:tab w:val="left" w:pos="407"/>
        </w:tabs>
        <w:spacing w:before="79"/>
        <w:ind w:right="99" w:firstLine="0"/>
        <w:rPr>
          <w:sz w:val="24"/>
        </w:rPr>
      </w:pPr>
      <w:r>
        <w:rPr>
          <w:sz w:val="24"/>
        </w:rPr>
        <w:t>Welfare assistance payments made under the Temporary Assistance for Needy</w:t>
      </w:r>
      <w:r>
        <w:rPr>
          <w:spacing w:val="-11"/>
          <w:sz w:val="24"/>
        </w:rPr>
        <w:t xml:space="preserve"> </w:t>
      </w:r>
      <w:r>
        <w:rPr>
          <w:sz w:val="24"/>
        </w:rPr>
        <w:t>Families (TANF) program are included in annual income only to the extent such</w:t>
      </w:r>
      <w:r>
        <w:rPr>
          <w:spacing w:val="-8"/>
          <w:sz w:val="24"/>
        </w:rPr>
        <w:t xml:space="preserve"> </w:t>
      </w:r>
      <w:r>
        <w:rPr>
          <w:sz w:val="24"/>
        </w:rPr>
        <w:t>payments:</w:t>
      </w:r>
    </w:p>
    <w:p w:rsidR="004E13A5" w:rsidRDefault="00681463">
      <w:pPr>
        <w:pStyle w:val="ListParagraph"/>
        <w:numPr>
          <w:ilvl w:val="0"/>
          <w:numId w:val="72"/>
        </w:numPr>
        <w:tabs>
          <w:tab w:val="left" w:pos="513"/>
        </w:tabs>
        <w:spacing w:before="82" w:line="276" w:lineRule="exact"/>
        <w:ind w:right="386" w:firstLine="0"/>
        <w:rPr>
          <w:sz w:val="24"/>
        </w:rPr>
      </w:pPr>
      <w:r>
        <w:rPr>
          <w:sz w:val="24"/>
        </w:rPr>
        <w:t>Qualify as assistance under the TANF program definition at 45 CFR 260.31</w:t>
      </w:r>
      <w:r>
        <w:rPr>
          <w:position w:val="9"/>
          <w:sz w:val="16"/>
        </w:rPr>
        <w:t>1</w:t>
      </w:r>
      <w:r>
        <w:rPr>
          <w:sz w:val="24"/>
        </w:rPr>
        <w:t>;</w:t>
      </w:r>
      <w:r>
        <w:rPr>
          <w:spacing w:val="-4"/>
          <w:sz w:val="24"/>
        </w:rPr>
        <w:t xml:space="preserve"> </w:t>
      </w:r>
      <w:r>
        <w:rPr>
          <w:sz w:val="24"/>
        </w:rPr>
        <w:t>and</w:t>
      </w:r>
    </w:p>
    <w:p w:rsidR="004E13A5" w:rsidRDefault="00681463">
      <w:pPr>
        <w:pStyle w:val="ListParagraph"/>
        <w:numPr>
          <w:ilvl w:val="0"/>
          <w:numId w:val="72"/>
        </w:numPr>
        <w:tabs>
          <w:tab w:val="left" w:pos="500"/>
        </w:tabs>
        <w:spacing w:before="76" w:line="242" w:lineRule="auto"/>
        <w:ind w:right="887" w:firstLine="0"/>
        <w:rPr>
          <w:sz w:val="24"/>
        </w:rPr>
      </w:pPr>
      <w:r>
        <w:rPr>
          <w:sz w:val="24"/>
        </w:rPr>
        <w:t>Are not otherwise excluded</w:t>
      </w:r>
      <w:r>
        <w:rPr>
          <w:spacing w:val="-8"/>
          <w:sz w:val="24"/>
        </w:rPr>
        <w:t xml:space="preserve"> </w:t>
      </w:r>
      <w:r>
        <w:rPr>
          <w:sz w:val="24"/>
        </w:rPr>
        <w:t>under paragraph (c) of this</w:t>
      </w:r>
      <w:r>
        <w:rPr>
          <w:spacing w:val="-6"/>
          <w:sz w:val="24"/>
        </w:rPr>
        <w:t xml:space="preserve"> </w:t>
      </w:r>
      <w:r>
        <w:rPr>
          <w:sz w:val="24"/>
        </w:rPr>
        <w:t>section.</w:t>
      </w:r>
    </w:p>
    <w:p w:rsidR="004E13A5" w:rsidRDefault="00681463">
      <w:pPr>
        <w:pStyle w:val="ListParagraph"/>
        <w:numPr>
          <w:ilvl w:val="2"/>
          <w:numId w:val="73"/>
        </w:numPr>
        <w:tabs>
          <w:tab w:val="left" w:pos="476"/>
        </w:tabs>
        <w:spacing w:before="76"/>
        <w:ind w:firstLine="0"/>
        <w:rPr>
          <w:sz w:val="24"/>
        </w:rPr>
      </w:pPr>
      <w:r>
        <w:rPr>
          <w:sz w:val="24"/>
        </w:rPr>
        <w:t>If the welfare assistance payment includes an amount specifically designated for shelter and utilities that is subject to adjustment by</w:t>
      </w:r>
      <w:r>
        <w:rPr>
          <w:spacing w:val="-9"/>
          <w:sz w:val="24"/>
        </w:rPr>
        <w:t xml:space="preserve"> </w:t>
      </w:r>
      <w:r>
        <w:rPr>
          <w:sz w:val="24"/>
        </w:rPr>
        <w:t>the welfare assistance agency in accordance with the actual cost of shelter and utilities, the amount of welfare assistance income to be included as income shall consist</w:t>
      </w:r>
      <w:r>
        <w:rPr>
          <w:spacing w:val="-4"/>
          <w:sz w:val="24"/>
        </w:rPr>
        <w:t xml:space="preserve"> </w:t>
      </w:r>
      <w:r>
        <w:rPr>
          <w:sz w:val="24"/>
        </w:rPr>
        <w:t>of:</w:t>
      </w:r>
    </w:p>
    <w:p w:rsidR="004E13A5" w:rsidRDefault="00681463">
      <w:pPr>
        <w:pStyle w:val="ListParagraph"/>
        <w:numPr>
          <w:ilvl w:val="3"/>
          <w:numId w:val="73"/>
        </w:numPr>
        <w:tabs>
          <w:tab w:val="left" w:pos="513"/>
        </w:tabs>
        <w:spacing w:before="78"/>
        <w:ind w:right="513" w:firstLine="0"/>
        <w:rPr>
          <w:sz w:val="24"/>
        </w:rPr>
      </w:pPr>
      <w:r>
        <w:rPr>
          <w:sz w:val="24"/>
        </w:rPr>
        <w:t>The amount of the allowance or grant exclusive of the amount specifically designated for shelter or utilities;</w:t>
      </w:r>
      <w:r>
        <w:rPr>
          <w:spacing w:val="-6"/>
          <w:sz w:val="24"/>
        </w:rPr>
        <w:t xml:space="preserve"> </w:t>
      </w:r>
      <w:r>
        <w:rPr>
          <w:sz w:val="24"/>
        </w:rPr>
        <w:t>plus</w:t>
      </w:r>
    </w:p>
    <w:p w:rsidR="004E13A5" w:rsidRDefault="00681463">
      <w:pPr>
        <w:pStyle w:val="ListParagraph"/>
        <w:numPr>
          <w:ilvl w:val="3"/>
          <w:numId w:val="73"/>
        </w:numPr>
        <w:tabs>
          <w:tab w:val="left" w:pos="498"/>
        </w:tabs>
        <w:spacing w:before="79"/>
        <w:ind w:right="213" w:firstLine="0"/>
        <w:rPr>
          <w:sz w:val="24"/>
        </w:rPr>
      </w:pPr>
      <w:r>
        <w:rPr>
          <w:sz w:val="24"/>
        </w:rPr>
        <w:t xml:space="preserve">The maximum amount that the welfare assistance agency could in fact allow the family for shelter and utilities. </w:t>
      </w:r>
      <w:r>
        <w:rPr>
          <w:spacing w:val="-3"/>
          <w:sz w:val="24"/>
        </w:rPr>
        <w:t xml:space="preserve">If </w:t>
      </w:r>
      <w:r>
        <w:rPr>
          <w:sz w:val="24"/>
        </w:rPr>
        <w:t>the</w:t>
      </w:r>
      <w:r>
        <w:rPr>
          <w:spacing w:val="-8"/>
          <w:sz w:val="24"/>
        </w:rPr>
        <w:t xml:space="preserve"> </w:t>
      </w:r>
      <w:r>
        <w:rPr>
          <w:sz w:val="24"/>
        </w:rPr>
        <w:t>family's</w:t>
      </w:r>
    </w:p>
    <w:p w:rsidR="004E13A5" w:rsidRDefault="004E13A5">
      <w:pPr>
        <w:pStyle w:val="BodyText"/>
        <w:spacing w:before="0"/>
        <w:ind w:left="0"/>
        <w:rPr>
          <w:sz w:val="20"/>
        </w:rPr>
      </w:pPr>
    </w:p>
    <w:p w:rsidR="004E13A5" w:rsidRDefault="003263D1">
      <w:pPr>
        <w:pStyle w:val="BodyText"/>
        <w:spacing w:before="3"/>
        <w:ind w:left="0"/>
        <w:rPr>
          <w:sz w:val="16"/>
        </w:rPr>
      </w:pPr>
      <w:r>
        <w:rPr>
          <w:noProof/>
        </w:rPr>
        <mc:AlternateContent>
          <mc:Choice Requires="wps">
            <w:drawing>
              <wp:anchor distT="0" distB="0" distL="0" distR="0" simplePos="0" relativeHeight="1288" behindDoc="0" locked="0" layoutInCell="1" allowOverlap="1">
                <wp:simplePos x="0" y="0"/>
                <wp:positionH relativeFrom="page">
                  <wp:posOffset>914400</wp:posOffset>
                </wp:positionH>
                <wp:positionV relativeFrom="paragraph">
                  <wp:posOffset>147955</wp:posOffset>
                </wp:positionV>
                <wp:extent cx="1829435" cy="0"/>
                <wp:effectExtent l="9525" t="6985" r="8890" b="12065"/>
                <wp:wrapTopAndBottom/>
                <wp:docPr id="7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9C2A0" id="Line 61"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65pt" to="21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sOFQIAACoEAAAOAAAAZHJzL2Uyb0RvYy54bWysU8uO2jAU3VfqP1jeQxLI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" strokeweight=".6pt">
                <w10:wrap type="topAndBottom" anchorx="page"/>
              </v:line>
            </w:pict>
          </mc:Fallback>
        </mc:AlternateContent>
      </w:r>
    </w:p>
    <w:p w:rsidR="004E13A5" w:rsidRDefault="00681463">
      <w:pPr>
        <w:pStyle w:val="BodyText"/>
        <w:spacing w:before="79"/>
        <w:ind w:left="120" w:right="136"/>
      </w:pPr>
      <w:r>
        <w:br w:type="column"/>
      </w:r>
      <w:r>
        <w:t>welfare assistance is ratably reduced from the standard of need by applying a percentage, the amount calculated under this paragraph shall be the amount resulting from one application of the percentage.</w:t>
      </w:r>
    </w:p>
    <w:p w:rsidR="004E13A5" w:rsidRDefault="00681463">
      <w:pPr>
        <w:pStyle w:val="ListParagraph"/>
        <w:numPr>
          <w:ilvl w:val="1"/>
          <w:numId w:val="73"/>
        </w:numPr>
        <w:tabs>
          <w:tab w:val="left" w:pos="459"/>
        </w:tabs>
        <w:spacing w:before="78"/>
        <w:ind w:left="120" w:right="322" w:firstLine="0"/>
        <w:rPr>
          <w:sz w:val="24"/>
        </w:rPr>
      </w:pPr>
      <w:r>
        <w:rPr>
          <w:sz w:val="24"/>
        </w:rPr>
        <w:t>Periodic and determinable allowances, such as alimony and child support</w:t>
      </w:r>
      <w:r>
        <w:rPr>
          <w:spacing w:val="-7"/>
          <w:sz w:val="24"/>
        </w:rPr>
        <w:t xml:space="preserve"> </w:t>
      </w:r>
      <w:r>
        <w:rPr>
          <w:sz w:val="24"/>
        </w:rPr>
        <w:t>payments, and regular contributions or gifts received from organizations or from persons not residing in the</w:t>
      </w:r>
      <w:r>
        <w:rPr>
          <w:spacing w:val="-8"/>
          <w:sz w:val="24"/>
        </w:rPr>
        <w:t xml:space="preserve"> </w:t>
      </w:r>
      <w:r>
        <w:rPr>
          <w:sz w:val="24"/>
        </w:rPr>
        <w:t>dwelling;</w:t>
      </w:r>
    </w:p>
    <w:p w:rsidR="004E13A5" w:rsidRDefault="00681463">
      <w:pPr>
        <w:pStyle w:val="ListParagraph"/>
        <w:numPr>
          <w:ilvl w:val="1"/>
          <w:numId w:val="73"/>
        </w:numPr>
        <w:tabs>
          <w:tab w:val="left" w:pos="459"/>
        </w:tabs>
        <w:spacing w:before="78" w:line="242" w:lineRule="auto"/>
        <w:ind w:left="120" w:right="120" w:firstLine="0"/>
        <w:rPr>
          <w:sz w:val="24"/>
        </w:rPr>
      </w:pPr>
      <w:r>
        <w:rPr>
          <w:sz w:val="24"/>
        </w:rPr>
        <w:t>All regular pay, special pay and</w:t>
      </w:r>
      <w:r>
        <w:rPr>
          <w:spacing w:val="-11"/>
          <w:sz w:val="24"/>
        </w:rPr>
        <w:t xml:space="preserve"> </w:t>
      </w:r>
      <w:r>
        <w:rPr>
          <w:sz w:val="24"/>
        </w:rPr>
        <w:t>allowances of a member of the Armed Forces (except as provided in paragraph (c)(7) of this</w:t>
      </w:r>
      <w:r>
        <w:rPr>
          <w:spacing w:val="-10"/>
          <w:sz w:val="24"/>
        </w:rPr>
        <w:t xml:space="preserve"> </w:t>
      </w:r>
      <w:r>
        <w:rPr>
          <w:sz w:val="24"/>
        </w:rPr>
        <w:t>section)</w:t>
      </w:r>
    </w:p>
    <w:p w:rsidR="004E13A5" w:rsidRDefault="00681463">
      <w:pPr>
        <w:pStyle w:val="ListParagraph"/>
        <w:numPr>
          <w:ilvl w:val="1"/>
          <w:numId w:val="73"/>
        </w:numPr>
        <w:tabs>
          <w:tab w:val="left" w:pos="459"/>
        </w:tabs>
        <w:spacing w:before="76"/>
        <w:ind w:left="120" w:right="100" w:firstLine="0"/>
        <w:rPr>
          <w:sz w:val="24"/>
        </w:rPr>
      </w:pPr>
      <w:r>
        <w:rPr>
          <w:sz w:val="24"/>
        </w:rPr>
        <w:t>For section 8 programs only and as provided in 24 CFR 5.612, any financial assistance, in excess of amounts received for tuition and any other required fees and charges, that an individual receives under the Higher Education Act of 1965 (20 U.S.C. 1001 et seq.), from private sources, or from an institution of higher education (as defined under the Higher Education Act of 1965</w:t>
      </w:r>
      <w:r>
        <w:rPr>
          <w:spacing w:val="-7"/>
          <w:sz w:val="24"/>
        </w:rPr>
        <w:t xml:space="preserve"> </w:t>
      </w:r>
      <w:r>
        <w:rPr>
          <w:sz w:val="24"/>
        </w:rPr>
        <w:t>(20</w:t>
      </w:r>
    </w:p>
    <w:p w:rsidR="004E13A5" w:rsidRDefault="00681463">
      <w:pPr>
        <w:pStyle w:val="BodyText"/>
        <w:spacing w:before="0"/>
        <w:ind w:left="120"/>
      </w:pPr>
      <w:r>
        <w:t>U.S.C. 1002)), shall be considered income to that individual, except that financial assistance described in this paragraph is not considered annual income for persons over the age of 23 with dependent children. For purposes of this paragraph, “financial assistance” does not include loan proceeds for the purpose of determining income.</w:t>
      </w:r>
    </w:p>
    <w:p w:rsidR="004E13A5" w:rsidRDefault="004E13A5">
      <w:pPr>
        <w:pStyle w:val="BodyText"/>
        <w:spacing w:before="1"/>
        <w:ind w:left="0"/>
        <w:rPr>
          <w:sz w:val="7"/>
        </w:rPr>
      </w:pPr>
    </w:p>
    <w:p w:rsidR="004E13A5" w:rsidRDefault="00681463">
      <w:pPr>
        <w:ind w:left="93"/>
        <w:rPr>
          <w:sz w:val="20"/>
        </w:rPr>
      </w:pPr>
      <w:r>
        <w:rPr>
          <w:spacing w:val="-49"/>
          <w:sz w:val="20"/>
        </w:rPr>
        <w:t xml:space="preserve"> </w:t>
      </w:r>
      <w:r w:rsidR="003263D1">
        <w:rPr>
          <w:noProof/>
          <w:spacing w:val="-49"/>
          <w:sz w:val="20"/>
        </w:rPr>
        <mc:AlternateContent>
          <mc:Choice Requires="wps">
            <w:drawing>
              <wp:inline distT="0" distB="0" distL="0" distR="0">
                <wp:extent cx="2738120" cy="381000"/>
                <wp:effectExtent l="8890" t="12065" r="5715" b="6985"/>
                <wp:docPr id="7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381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262" w:right="936" w:hanging="320"/>
                              <w:rPr>
                                <w:b/>
                                <w:sz w:val="24"/>
                              </w:rPr>
                            </w:pPr>
                            <w:r>
                              <w:rPr>
                                <w:b/>
                                <w:sz w:val="24"/>
                              </w:rPr>
                              <w:t>HHS DEFINITION OF "ASSISTANCE"</w:t>
                            </w:r>
                          </w:p>
                        </w:txbxContent>
                      </wps:txbx>
                      <wps:bodyPr rot="0" vert="horz" wrap="square" lIns="0" tIns="0" rIns="0" bIns="0" anchor="t" anchorCtr="0" upright="1">
                        <a:noAutofit/>
                      </wps:bodyPr>
                    </wps:wsp>
                  </a:graphicData>
                </a:graphic>
              </wp:inline>
            </w:drawing>
          </mc:Choice>
          <mc:Fallback>
            <w:pict>
              <v:shape id="Text Box 97" o:spid="_x0000_s1034" type="#_x0000_t202" style="width:215.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" filled="f" strokeweight=".48pt">
                <v:textbox inset="0,0,0,0">
                  <w:txbxContent>
                    <w:p w:rsidR="00BA59C9" w:rsidRDefault="00BA59C9">
                      <w:pPr>
                        <w:spacing w:before="18"/>
                        <w:ind w:left="1262" w:right="936" w:hanging="320"/>
                        <w:rPr>
                          <w:b/>
                          <w:sz w:val="24"/>
                        </w:rPr>
                      </w:pPr>
                      <w:r>
                        <w:rPr>
                          <w:b/>
                          <w:sz w:val="24"/>
                        </w:rPr>
                        <w:t>HHS DEFINITION OF "ASSISTANCE"</w:t>
                      </w:r>
                    </w:p>
                  </w:txbxContent>
                </v:textbox>
                <w10:anchorlock/>
              </v:shape>
            </w:pict>
          </mc:Fallback>
        </mc:AlternateContent>
      </w:r>
    </w:p>
    <w:p w:rsidR="004E13A5" w:rsidRDefault="00681463">
      <w:pPr>
        <w:spacing w:before="48"/>
        <w:ind w:left="120" w:right="1170"/>
        <w:rPr>
          <w:b/>
          <w:sz w:val="19"/>
        </w:rPr>
      </w:pPr>
      <w:r>
        <w:rPr>
          <w:b/>
          <w:sz w:val="24"/>
        </w:rPr>
        <w:t>45 CFR: G</w:t>
      </w:r>
      <w:r>
        <w:rPr>
          <w:b/>
          <w:sz w:val="19"/>
        </w:rPr>
        <w:t xml:space="preserve">ENERAL </w:t>
      </w:r>
      <w:r>
        <w:rPr>
          <w:b/>
          <w:sz w:val="24"/>
        </w:rPr>
        <w:t>T</w:t>
      </w:r>
      <w:r>
        <w:rPr>
          <w:b/>
          <w:sz w:val="19"/>
        </w:rPr>
        <w:t xml:space="preserve">EMPORARY </w:t>
      </w:r>
      <w:r>
        <w:rPr>
          <w:b/>
          <w:sz w:val="24"/>
        </w:rPr>
        <w:t>A</w:t>
      </w:r>
      <w:r>
        <w:rPr>
          <w:b/>
          <w:sz w:val="19"/>
        </w:rPr>
        <w:t xml:space="preserve">SSISTANCE FOR </w:t>
      </w:r>
      <w:r>
        <w:rPr>
          <w:b/>
          <w:sz w:val="24"/>
        </w:rPr>
        <w:t>N</w:t>
      </w:r>
      <w:r>
        <w:rPr>
          <w:b/>
          <w:sz w:val="19"/>
        </w:rPr>
        <w:t xml:space="preserve">EEDY </w:t>
      </w:r>
      <w:r>
        <w:rPr>
          <w:b/>
          <w:sz w:val="24"/>
        </w:rPr>
        <w:t>F</w:t>
      </w:r>
      <w:r>
        <w:rPr>
          <w:b/>
          <w:sz w:val="19"/>
        </w:rPr>
        <w:t>AMILIES</w:t>
      </w:r>
    </w:p>
    <w:p w:rsidR="004E13A5" w:rsidRDefault="00681463">
      <w:pPr>
        <w:pStyle w:val="Heading4"/>
        <w:spacing w:before="78" w:line="242" w:lineRule="auto"/>
        <w:ind w:left="120" w:right="562"/>
      </w:pPr>
      <w:r>
        <w:t>260.31 What does the term “assistance” mean?</w:t>
      </w:r>
    </w:p>
    <w:p w:rsidR="004E13A5" w:rsidRDefault="00681463">
      <w:pPr>
        <w:pStyle w:val="BodyText"/>
        <w:spacing w:before="76"/>
        <w:ind w:left="120" w:right="392"/>
      </w:pPr>
      <w:r>
        <w:t>(a)(1) The term “assistance” includes cash, payments, vouchers, and other forms of benefits designed to meet a family’s ongoing basic needs (i.e., for food,</w:t>
      </w:r>
      <w:r>
        <w:rPr>
          <w:spacing w:val="-10"/>
        </w:rPr>
        <w:t xml:space="preserve"> </w:t>
      </w:r>
      <w:r>
        <w:t>clothing, shelter, utilities, household goods, personal care items, and general incidental expenses).</w:t>
      </w:r>
    </w:p>
    <w:p w:rsidR="004E13A5" w:rsidRDefault="004E13A5">
      <w:pPr>
        <w:sectPr w:rsidR="004E13A5">
          <w:footerReference w:type="default" r:id="rId35"/>
          <w:pgSz w:w="12240" w:h="15840"/>
          <w:pgMar w:top="1360" w:right="1340" w:bottom="400" w:left="1320" w:header="0" w:footer="203" w:gutter="0"/>
          <w:pgNumType w:start="149"/>
          <w:cols w:num="2" w:space="720" w:equalWidth="0">
            <w:col w:w="4639" w:space="186"/>
            <w:col w:w="4755"/>
          </w:cols>
        </w:sectPr>
      </w:pPr>
    </w:p>
    <w:p w:rsidR="004E13A5" w:rsidRDefault="003263D1">
      <w:pPr>
        <w:pStyle w:val="BodyText"/>
        <w:spacing w:before="0"/>
        <w:ind w:left="0"/>
        <w:rPr>
          <w:sz w:val="13"/>
        </w:rPr>
      </w:pPr>
      <w:r>
        <w:rPr>
          <w:noProof/>
        </w:rPr>
        <mc:AlternateContent>
          <mc:Choice Requires="wps">
            <w:drawing>
              <wp:anchor distT="0" distB="0" distL="114300" distR="114300" simplePos="0" relativeHeight="1336" behindDoc="0" locked="0" layoutInCell="1" allowOverlap="1">
                <wp:simplePos x="0" y="0"/>
                <wp:positionH relativeFrom="page">
                  <wp:posOffset>3886835</wp:posOffset>
                </wp:positionH>
                <wp:positionV relativeFrom="page">
                  <wp:posOffset>914400</wp:posOffset>
                </wp:positionV>
                <wp:extent cx="0" cy="8230870"/>
                <wp:effectExtent l="10160" t="9525" r="8890" b="8255"/>
                <wp:wrapNone/>
                <wp:docPr id="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087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0A96" id="Line 59"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05pt,1in" to="306.05pt,7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rg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" strokeweight=".72pt">
                <w10:wrap anchorx="page" anchory="page"/>
              </v:line>
            </w:pict>
          </mc:Fallback>
        </mc:AlternateContent>
      </w:r>
    </w:p>
    <w:p w:rsidR="004E13A5" w:rsidRDefault="00681463">
      <w:pPr>
        <w:spacing w:before="93"/>
        <w:ind w:left="120"/>
        <w:rPr>
          <w:rFonts w:ascii="Arial"/>
          <w:sz w:val="20"/>
        </w:rPr>
      </w:pPr>
      <w:r>
        <w:rPr>
          <w:rFonts w:ascii="Arial"/>
          <w:position w:val="6"/>
          <w:sz w:val="13"/>
        </w:rPr>
        <w:t xml:space="preserve">1 </w:t>
      </w:r>
      <w:r>
        <w:rPr>
          <w:rFonts w:ascii="Arial"/>
          <w:sz w:val="20"/>
        </w:rPr>
        <w:t>Text of 45 CFR 260.31 follows.</w:t>
      </w:r>
    </w:p>
    <w:p w:rsidR="004E13A5" w:rsidRDefault="004E13A5">
      <w:pPr>
        <w:rPr>
          <w:rFonts w:ascii="Arial"/>
          <w:sz w:val="20"/>
        </w:rPr>
        <w:sectPr w:rsidR="004E13A5">
          <w:type w:val="continuous"/>
          <w:pgSz w:w="12240" w:h="15840"/>
          <w:pgMar w:top="1500" w:right="1340" w:bottom="280" w:left="1320" w:header="720" w:footer="720" w:gutter="0"/>
          <w:cols w:space="720"/>
        </w:sectPr>
      </w:pPr>
    </w:p>
    <w:p w:rsidR="004E13A5" w:rsidRDefault="00681463">
      <w:pPr>
        <w:pStyle w:val="ListParagraph"/>
        <w:numPr>
          <w:ilvl w:val="0"/>
          <w:numId w:val="71"/>
        </w:numPr>
        <w:tabs>
          <w:tab w:val="left" w:pos="442"/>
        </w:tabs>
        <w:spacing w:before="79"/>
        <w:ind w:firstLine="0"/>
        <w:rPr>
          <w:sz w:val="24"/>
        </w:rPr>
      </w:pPr>
      <w:r>
        <w:rPr>
          <w:sz w:val="24"/>
        </w:rPr>
        <w:lastRenderedPageBreak/>
        <w:t>It includes such benefits even when</w:t>
      </w:r>
      <w:r>
        <w:rPr>
          <w:spacing w:val="-7"/>
          <w:sz w:val="24"/>
        </w:rPr>
        <w:t xml:space="preserve"> </w:t>
      </w:r>
      <w:r>
        <w:rPr>
          <w:sz w:val="24"/>
        </w:rPr>
        <w:t>they are:</w:t>
      </w:r>
    </w:p>
    <w:p w:rsidR="004E13A5" w:rsidRDefault="00681463">
      <w:pPr>
        <w:pStyle w:val="ListParagraph"/>
        <w:numPr>
          <w:ilvl w:val="1"/>
          <w:numId w:val="71"/>
        </w:numPr>
        <w:tabs>
          <w:tab w:val="left" w:pos="387"/>
        </w:tabs>
        <w:spacing w:before="78"/>
        <w:ind w:right="246" w:firstLine="0"/>
        <w:rPr>
          <w:sz w:val="24"/>
        </w:rPr>
      </w:pPr>
      <w:r>
        <w:rPr>
          <w:sz w:val="24"/>
        </w:rPr>
        <w:t xml:space="preserve">Provided in the form of payments </w:t>
      </w:r>
      <w:r>
        <w:rPr>
          <w:spacing w:val="2"/>
          <w:sz w:val="24"/>
        </w:rPr>
        <w:t>by</w:t>
      </w:r>
      <w:r>
        <w:rPr>
          <w:spacing w:val="-12"/>
          <w:sz w:val="24"/>
        </w:rPr>
        <w:t xml:space="preserve"> </w:t>
      </w:r>
      <w:r>
        <w:rPr>
          <w:sz w:val="24"/>
        </w:rPr>
        <w:t>a TANF agency, or other agency on its behalf, to individual recipients;</w:t>
      </w:r>
      <w:r>
        <w:rPr>
          <w:spacing w:val="-6"/>
          <w:sz w:val="24"/>
        </w:rPr>
        <w:t xml:space="preserve"> </w:t>
      </w:r>
      <w:r>
        <w:rPr>
          <w:sz w:val="24"/>
        </w:rPr>
        <w:t>and</w:t>
      </w:r>
    </w:p>
    <w:p w:rsidR="004E13A5" w:rsidRDefault="00681463">
      <w:pPr>
        <w:pStyle w:val="ListParagraph"/>
        <w:numPr>
          <w:ilvl w:val="1"/>
          <w:numId w:val="71"/>
        </w:numPr>
        <w:tabs>
          <w:tab w:val="left" w:pos="454"/>
        </w:tabs>
        <w:spacing w:before="78"/>
        <w:ind w:right="290" w:firstLine="0"/>
        <w:rPr>
          <w:sz w:val="24"/>
        </w:rPr>
      </w:pPr>
      <w:r>
        <w:rPr>
          <w:sz w:val="24"/>
        </w:rPr>
        <w:t>Conditioned on participation in work experience or community service (or any other work activity under 261.30 of this chapter).</w:t>
      </w:r>
    </w:p>
    <w:p w:rsidR="004E13A5" w:rsidRDefault="00681463">
      <w:pPr>
        <w:pStyle w:val="ListParagraph"/>
        <w:numPr>
          <w:ilvl w:val="0"/>
          <w:numId w:val="71"/>
        </w:numPr>
        <w:tabs>
          <w:tab w:val="left" w:pos="439"/>
        </w:tabs>
        <w:spacing w:before="78"/>
        <w:ind w:left="438" w:hanging="338"/>
        <w:rPr>
          <w:sz w:val="24"/>
        </w:rPr>
      </w:pPr>
      <w:r>
        <w:rPr>
          <w:sz w:val="24"/>
        </w:rPr>
        <w:t>Except where excluded under</w:t>
      </w:r>
      <w:r>
        <w:rPr>
          <w:spacing w:val="-9"/>
          <w:sz w:val="24"/>
        </w:rPr>
        <w:t xml:space="preserve"> </w:t>
      </w:r>
      <w:r>
        <w:rPr>
          <w:sz w:val="24"/>
        </w:rPr>
        <w:t>paragraph</w:t>
      </w:r>
    </w:p>
    <w:p w:rsidR="004E13A5" w:rsidRDefault="00681463">
      <w:pPr>
        <w:pStyle w:val="BodyText"/>
        <w:spacing w:before="0"/>
        <w:ind w:right="47"/>
      </w:pPr>
      <w:r>
        <w:t>(b) of this section, it also includes supportive services such as transportation and child care provided to families who are not employed.</w:t>
      </w:r>
    </w:p>
    <w:p w:rsidR="004E13A5" w:rsidRDefault="00681463">
      <w:pPr>
        <w:pStyle w:val="ListParagraph"/>
        <w:numPr>
          <w:ilvl w:val="0"/>
          <w:numId w:val="70"/>
        </w:numPr>
        <w:tabs>
          <w:tab w:val="left" w:pos="439"/>
        </w:tabs>
        <w:spacing w:before="80"/>
        <w:ind w:right="512" w:firstLine="0"/>
        <w:jc w:val="left"/>
        <w:rPr>
          <w:sz w:val="24"/>
        </w:rPr>
      </w:pPr>
      <w:r>
        <w:rPr>
          <w:sz w:val="24"/>
        </w:rPr>
        <w:t>[The definition of “assistance”] excludes: (1) Nonrecurring, short-term benefits</w:t>
      </w:r>
      <w:r>
        <w:rPr>
          <w:spacing w:val="-4"/>
          <w:sz w:val="24"/>
        </w:rPr>
        <w:t xml:space="preserve"> </w:t>
      </w:r>
      <w:r>
        <w:rPr>
          <w:sz w:val="24"/>
        </w:rPr>
        <w:t>that:</w:t>
      </w:r>
    </w:p>
    <w:p w:rsidR="004E13A5" w:rsidRDefault="00681463">
      <w:pPr>
        <w:pStyle w:val="ListParagraph"/>
        <w:numPr>
          <w:ilvl w:val="0"/>
          <w:numId w:val="69"/>
        </w:numPr>
        <w:tabs>
          <w:tab w:val="left" w:pos="387"/>
        </w:tabs>
        <w:spacing w:before="79"/>
        <w:ind w:right="507" w:firstLine="0"/>
        <w:rPr>
          <w:sz w:val="24"/>
        </w:rPr>
      </w:pPr>
      <w:r>
        <w:rPr>
          <w:sz w:val="24"/>
        </w:rPr>
        <w:t>Are designed to deal with a</w:t>
      </w:r>
      <w:r>
        <w:rPr>
          <w:spacing w:val="-6"/>
          <w:sz w:val="24"/>
        </w:rPr>
        <w:t xml:space="preserve"> </w:t>
      </w:r>
      <w:r>
        <w:rPr>
          <w:sz w:val="24"/>
        </w:rPr>
        <w:t>specific crisis situation or episode of</w:t>
      </w:r>
      <w:r>
        <w:rPr>
          <w:spacing w:val="-9"/>
          <w:sz w:val="24"/>
        </w:rPr>
        <w:t xml:space="preserve"> </w:t>
      </w:r>
      <w:r>
        <w:rPr>
          <w:sz w:val="24"/>
        </w:rPr>
        <w:t>need;</w:t>
      </w:r>
    </w:p>
    <w:p w:rsidR="004E13A5" w:rsidRDefault="00681463">
      <w:pPr>
        <w:pStyle w:val="ListParagraph"/>
        <w:numPr>
          <w:ilvl w:val="0"/>
          <w:numId w:val="69"/>
        </w:numPr>
        <w:tabs>
          <w:tab w:val="left" w:pos="454"/>
        </w:tabs>
        <w:spacing w:before="79" w:line="242" w:lineRule="auto"/>
        <w:ind w:right="304" w:firstLine="0"/>
        <w:rPr>
          <w:sz w:val="24"/>
        </w:rPr>
      </w:pPr>
      <w:r>
        <w:rPr>
          <w:sz w:val="24"/>
        </w:rPr>
        <w:t>Are not intended to meet recurrent or ongoing needs;</w:t>
      </w:r>
      <w:r>
        <w:rPr>
          <w:spacing w:val="-5"/>
          <w:sz w:val="24"/>
        </w:rPr>
        <w:t xml:space="preserve"> </w:t>
      </w:r>
      <w:r>
        <w:rPr>
          <w:sz w:val="24"/>
        </w:rPr>
        <w:t>and</w:t>
      </w:r>
    </w:p>
    <w:p w:rsidR="004E13A5" w:rsidRDefault="00681463">
      <w:pPr>
        <w:pStyle w:val="ListParagraph"/>
        <w:numPr>
          <w:ilvl w:val="0"/>
          <w:numId w:val="69"/>
        </w:numPr>
        <w:tabs>
          <w:tab w:val="left" w:pos="521"/>
        </w:tabs>
        <w:spacing w:before="76"/>
        <w:ind w:left="520" w:hanging="420"/>
        <w:rPr>
          <w:sz w:val="24"/>
        </w:rPr>
      </w:pPr>
      <w:r>
        <w:rPr>
          <w:sz w:val="24"/>
        </w:rPr>
        <w:t>Will not extend beyond four</w:t>
      </w:r>
      <w:r>
        <w:rPr>
          <w:spacing w:val="-10"/>
          <w:sz w:val="24"/>
        </w:rPr>
        <w:t xml:space="preserve"> </w:t>
      </w:r>
      <w:r>
        <w:rPr>
          <w:sz w:val="24"/>
        </w:rPr>
        <w:t>months.</w:t>
      </w:r>
    </w:p>
    <w:p w:rsidR="004E13A5" w:rsidRDefault="00681463">
      <w:pPr>
        <w:pStyle w:val="ListParagraph"/>
        <w:numPr>
          <w:ilvl w:val="0"/>
          <w:numId w:val="68"/>
        </w:numPr>
        <w:tabs>
          <w:tab w:val="left" w:pos="439"/>
        </w:tabs>
        <w:spacing w:before="79"/>
        <w:ind w:right="238" w:firstLine="0"/>
        <w:rPr>
          <w:sz w:val="24"/>
        </w:rPr>
      </w:pPr>
      <w:r>
        <w:rPr>
          <w:spacing w:val="1"/>
          <w:w w:val="99"/>
          <w:sz w:val="24"/>
        </w:rPr>
        <w:br w:type="column"/>
      </w:r>
      <w:r>
        <w:rPr>
          <w:sz w:val="24"/>
        </w:rPr>
        <w:t>Work subsidies (i.e., payments to employers or third parties to help cover</w:t>
      </w:r>
      <w:r>
        <w:rPr>
          <w:spacing w:val="-9"/>
          <w:sz w:val="24"/>
        </w:rPr>
        <w:t xml:space="preserve"> </w:t>
      </w:r>
      <w:r>
        <w:rPr>
          <w:sz w:val="24"/>
        </w:rPr>
        <w:t>the costs of employee wages, benefits, supervision, and</w:t>
      </w:r>
      <w:r>
        <w:rPr>
          <w:spacing w:val="-3"/>
          <w:sz w:val="24"/>
        </w:rPr>
        <w:t xml:space="preserve"> </w:t>
      </w:r>
      <w:r>
        <w:rPr>
          <w:sz w:val="24"/>
        </w:rPr>
        <w:t>training);</w:t>
      </w:r>
    </w:p>
    <w:p w:rsidR="004E13A5" w:rsidRDefault="003263D1">
      <w:pPr>
        <w:pStyle w:val="ListParagraph"/>
        <w:numPr>
          <w:ilvl w:val="0"/>
          <w:numId w:val="68"/>
        </w:numPr>
        <w:tabs>
          <w:tab w:val="left" w:pos="439"/>
        </w:tabs>
        <w:spacing w:before="78"/>
        <w:ind w:right="168" w:firstLine="0"/>
        <w:rPr>
          <w:sz w:val="24"/>
        </w:rPr>
      </w:pPr>
      <w:r>
        <w:rPr>
          <w:noProof/>
        </w:rPr>
        <mc:AlternateContent>
          <mc:Choice Requires="wps">
            <w:drawing>
              <wp:anchor distT="0" distB="0" distL="114300" distR="114300" simplePos="0" relativeHeight="1360" behindDoc="0" locked="0" layoutInCell="1" allowOverlap="1">
                <wp:simplePos x="0" y="0"/>
                <wp:positionH relativeFrom="page">
                  <wp:posOffset>3886835</wp:posOffset>
                </wp:positionH>
                <wp:positionV relativeFrom="paragraph">
                  <wp:posOffset>-701675</wp:posOffset>
                </wp:positionV>
                <wp:extent cx="0" cy="4249420"/>
                <wp:effectExtent l="10160" t="8255" r="8890" b="9525"/>
                <wp:wrapNone/>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94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4EE4" id="Line 58"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55.25pt" to="306.0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GeFA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" strokeweight=".72pt">
                <w10:wrap anchorx="page"/>
              </v:line>
            </w:pict>
          </mc:Fallback>
        </mc:AlternateContent>
      </w:r>
      <w:r w:rsidR="00681463">
        <w:rPr>
          <w:sz w:val="24"/>
        </w:rPr>
        <w:t>Supportive services such as child care and transportation provided to families who are</w:t>
      </w:r>
      <w:r w:rsidR="00681463">
        <w:rPr>
          <w:spacing w:val="-6"/>
          <w:sz w:val="24"/>
        </w:rPr>
        <w:t xml:space="preserve"> </w:t>
      </w:r>
      <w:r w:rsidR="00681463">
        <w:rPr>
          <w:sz w:val="24"/>
        </w:rPr>
        <w:t>employed;</w:t>
      </w:r>
    </w:p>
    <w:p w:rsidR="004E13A5" w:rsidRDefault="00681463">
      <w:pPr>
        <w:pStyle w:val="ListParagraph"/>
        <w:numPr>
          <w:ilvl w:val="0"/>
          <w:numId w:val="68"/>
        </w:numPr>
        <w:tabs>
          <w:tab w:val="left" w:pos="439"/>
        </w:tabs>
        <w:spacing w:before="78"/>
        <w:ind w:left="438" w:hanging="338"/>
        <w:rPr>
          <w:sz w:val="24"/>
        </w:rPr>
      </w:pPr>
      <w:r>
        <w:rPr>
          <w:sz w:val="24"/>
        </w:rPr>
        <w:t>Refundable earned income tax</w:t>
      </w:r>
      <w:r>
        <w:rPr>
          <w:spacing w:val="-6"/>
          <w:sz w:val="24"/>
        </w:rPr>
        <w:t xml:space="preserve"> </w:t>
      </w:r>
      <w:r>
        <w:rPr>
          <w:sz w:val="24"/>
        </w:rPr>
        <w:t>credits;</w:t>
      </w:r>
    </w:p>
    <w:p w:rsidR="004E13A5" w:rsidRDefault="00681463">
      <w:pPr>
        <w:pStyle w:val="ListParagraph"/>
        <w:numPr>
          <w:ilvl w:val="0"/>
          <w:numId w:val="68"/>
        </w:numPr>
        <w:tabs>
          <w:tab w:val="left" w:pos="439"/>
        </w:tabs>
        <w:spacing w:before="81"/>
        <w:ind w:right="153" w:firstLine="0"/>
        <w:rPr>
          <w:sz w:val="24"/>
        </w:rPr>
      </w:pPr>
      <w:r>
        <w:rPr>
          <w:sz w:val="24"/>
        </w:rPr>
        <w:t>Contributions to, and distributions from, Individual Development</w:t>
      </w:r>
      <w:r>
        <w:rPr>
          <w:spacing w:val="-8"/>
          <w:sz w:val="24"/>
        </w:rPr>
        <w:t xml:space="preserve"> </w:t>
      </w:r>
      <w:r>
        <w:rPr>
          <w:sz w:val="24"/>
        </w:rPr>
        <w:t>Accounts;</w:t>
      </w:r>
    </w:p>
    <w:p w:rsidR="004E13A5" w:rsidRDefault="00681463">
      <w:pPr>
        <w:pStyle w:val="ListParagraph"/>
        <w:numPr>
          <w:ilvl w:val="0"/>
          <w:numId w:val="68"/>
        </w:numPr>
        <w:tabs>
          <w:tab w:val="left" w:pos="439"/>
        </w:tabs>
        <w:spacing w:before="79"/>
        <w:ind w:right="228" w:firstLine="0"/>
        <w:rPr>
          <w:sz w:val="24"/>
        </w:rPr>
      </w:pPr>
      <w:r>
        <w:rPr>
          <w:sz w:val="24"/>
        </w:rPr>
        <w:t>Services such as counseling, case management, peer support, child care information and referral, transitional services, job retention, job advancement, and other employment-related services that do not provide basic income support;</w:t>
      </w:r>
      <w:r>
        <w:rPr>
          <w:spacing w:val="-4"/>
          <w:sz w:val="24"/>
        </w:rPr>
        <w:t xml:space="preserve"> </w:t>
      </w:r>
      <w:r>
        <w:rPr>
          <w:sz w:val="24"/>
        </w:rPr>
        <w:t>and</w:t>
      </w:r>
    </w:p>
    <w:p w:rsidR="004E13A5" w:rsidRDefault="00681463">
      <w:pPr>
        <w:pStyle w:val="ListParagraph"/>
        <w:numPr>
          <w:ilvl w:val="0"/>
          <w:numId w:val="68"/>
        </w:numPr>
        <w:tabs>
          <w:tab w:val="left" w:pos="439"/>
        </w:tabs>
        <w:spacing w:before="79"/>
        <w:ind w:right="116" w:firstLine="0"/>
        <w:rPr>
          <w:sz w:val="24"/>
        </w:rPr>
      </w:pPr>
      <w:r>
        <w:rPr>
          <w:sz w:val="24"/>
        </w:rPr>
        <w:t>Transportation benefits provided under a Job Access or Reverse Commute project, pursuant to section 404(k) of [the Social Security] Act, to an individual who is not otherwise receiving</w:t>
      </w:r>
      <w:r>
        <w:rPr>
          <w:spacing w:val="-9"/>
          <w:sz w:val="24"/>
        </w:rPr>
        <w:t xml:space="preserve"> </w:t>
      </w:r>
      <w:r>
        <w:rPr>
          <w:sz w:val="24"/>
        </w:rPr>
        <w:t>assistance.</w:t>
      </w:r>
    </w:p>
    <w:p w:rsidR="004E13A5" w:rsidRDefault="004E13A5">
      <w:pPr>
        <w:rPr>
          <w:sz w:val="24"/>
        </w:rPr>
        <w:sectPr w:rsidR="004E13A5">
          <w:pgSz w:w="12240" w:h="15840"/>
          <w:pgMar w:top="1360" w:right="1600" w:bottom="400" w:left="1340" w:header="0" w:footer="203" w:gutter="0"/>
          <w:cols w:num="2" w:space="720" w:equalWidth="0">
            <w:col w:w="4333" w:space="491"/>
            <w:col w:w="4476"/>
          </w:cols>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088380" cy="206375"/>
                <wp:effectExtent l="11430" t="12700" r="5715" b="9525"/>
                <wp:docPr id="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2152"/>
                              <w:rPr>
                                <w:b/>
                                <w:sz w:val="24"/>
                              </w:rPr>
                            </w:pPr>
                            <w:r>
                              <w:rPr>
                                <w:b/>
                                <w:sz w:val="24"/>
                              </w:rPr>
                              <w:t>EXHIBIT 6-2: ANNUAL INCOME EXCLUSIONS</w:t>
                            </w:r>
                          </w:p>
                        </w:txbxContent>
                      </wps:txbx>
                      <wps:bodyPr rot="0" vert="horz" wrap="square" lIns="0" tIns="0" rIns="0" bIns="0" anchor="t" anchorCtr="0" upright="1">
                        <a:noAutofit/>
                      </wps:bodyPr>
                    </wps:wsp>
                  </a:graphicData>
                </a:graphic>
              </wp:inline>
            </w:drawing>
          </mc:Choice>
          <mc:Fallback>
            <w:pict>
              <v:shape id="Text Box 96" o:spid="_x0000_s1035" type="#_x0000_t202" style="width:479.4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" filled="f" strokeweight=".48pt">
                <v:textbox inset="0,0,0,0">
                  <w:txbxContent>
                    <w:p w:rsidR="00BA59C9" w:rsidRDefault="00BA59C9">
                      <w:pPr>
                        <w:spacing w:before="18"/>
                        <w:ind w:left="2152"/>
                        <w:rPr>
                          <w:b/>
                          <w:sz w:val="24"/>
                        </w:rPr>
                      </w:pPr>
                      <w:r>
                        <w:rPr>
                          <w:b/>
                          <w:sz w:val="24"/>
                        </w:rPr>
                        <w:t>EXHIBIT 6-2: ANNUAL INCOME EXCLUSIONS</w:t>
                      </w:r>
                    </w:p>
                  </w:txbxContent>
                </v:textbox>
                <w10:anchorlock/>
              </v:shape>
            </w:pict>
          </mc:Fallback>
        </mc:AlternateContent>
      </w:r>
    </w:p>
    <w:p w:rsidR="004E13A5" w:rsidRDefault="004E13A5">
      <w:pPr>
        <w:rPr>
          <w:sz w:val="20"/>
        </w:rPr>
        <w:sectPr w:rsidR="004E13A5">
          <w:pgSz w:w="12240" w:h="15840"/>
          <w:pgMar w:top="1460" w:right="1220" w:bottom="460" w:left="1220" w:header="0" w:footer="203" w:gutter="0"/>
          <w:cols w:space="720"/>
        </w:sectPr>
      </w:pPr>
    </w:p>
    <w:p w:rsidR="004E13A5" w:rsidRDefault="00681463">
      <w:pPr>
        <w:pStyle w:val="Heading4"/>
        <w:spacing w:before="42"/>
        <w:ind w:left="220"/>
      </w:pPr>
      <w:r>
        <w:t>24 CFR 5.609</w:t>
      </w:r>
    </w:p>
    <w:p w:rsidR="004E13A5" w:rsidRDefault="00681463">
      <w:pPr>
        <w:pStyle w:val="ListParagraph"/>
        <w:numPr>
          <w:ilvl w:val="0"/>
          <w:numId w:val="70"/>
        </w:numPr>
        <w:tabs>
          <w:tab w:val="left" w:pos="545"/>
        </w:tabs>
        <w:spacing w:before="81"/>
        <w:ind w:left="220" w:right="757" w:firstLine="0"/>
        <w:jc w:val="left"/>
        <w:rPr>
          <w:i/>
          <w:sz w:val="24"/>
        </w:rPr>
      </w:pPr>
      <w:r>
        <w:rPr>
          <w:i/>
          <w:sz w:val="24"/>
        </w:rPr>
        <w:t>Annual income does not include the following:</w:t>
      </w:r>
    </w:p>
    <w:p w:rsidR="004E13A5" w:rsidRDefault="00681463">
      <w:pPr>
        <w:pStyle w:val="ListParagraph"/>
        <w:numPr>
          <w:ilvl w:val="1"/>
          <w:numId w:val="70"/>
        </w:numPr>
        <w:tabs>
          <w:tab w:val="left" w:pos="562"/>
        </w:tabs>
        <w:spacing w:before="78"/>
        <w:ind w:right="88" w:firstLine="0"/>
        <w:jc w:val="left"/>
        <w:rPr>
          <w:sz w:val="24"/>
        </w:rPr>
      </w:pPr>
      <w:r>
        <w:rPr>
          <w:sz w:val="24"/>
        </w:rPr>
        <w:t>Income from employment of children (including foster children) under the age of</w:t>
      </w:r>
      <w:r>
        <w:rPr>
          <w:spacing w:val="-10"/>
          <w:sz w:val="24"/>
        </w:rPr>
        <w:t xml:space="preserve"> </w:t>
      </w:r>
      <w:r>
        <w:rPr>
          <w:sz w:val="24"/>
        </w:rPr>
        <w:t>18 years;</w:t>
      </w:r>
    </w:p>
    <w:p w:rsidR="004E13A5" w:rsidRDefault="00681463">
      <w:pPr>
        <w:pStyle w:val="ListParagraph"/>
        <w:numPr>
          <w:ilvl w:val="1"/>
          <w:numId w:val="70"/>
        </w:numPr>
        <w:tabs>
          <w:tab w:val="left" w:pos="559"/>
        </w:tabs>
        <w:spacing w:before="78"/>
        <w:ind w:right="1" w:firstLine="0"/>
        <w:jc w:val="left"/>
        <w:rPr>
          <w:sz w:val="24"/>
        </w:rPr>
      </w:pPr>
      <w:r>
        <w:rPr>
          <w:sz w:val="24"/>
        </w:rPr>
        <w:t>Payments received for the care of foster children or foster adults (usually persons with disabilities, unrelated to the tenant family,</w:t>
      </w:r>
      <w:r>
        <w:rPr>
          <w:spacing w:val="-9"/>
          <w:sz w:val="24"/>
        </w:rPr>
        <w:t xml:space="preserve"> </w:t>
      </w:r>
      <w:r>
        <w:rPr>
          <w:sz w:val="24"/>
        </w:rPr>
        <w:t>who are unable to live</w:t>
      </w:r>
      <w:r>
        <w:rPr>
          <w:spacing w:val="-7"/>
          <w:sz w:val="24"/>
        </w:rPr>
        <w:t xml:space="preserve"> </w:t>
      </w:r>
      <w:r>
        <w:rPr>
          <w:sz w:val="24"/>
        </w:rPr>
        <w:t>alone);</w:t>
      </w:r>
    </w:p>
    <w:p w:rsidR="004E13A5" w:rsidRDefault="00681463">
      <w:pPr>
        <w:pStyle w:val="ListParagraph"/>
        <w:numPr>
          <w:ilvl w:val="1"/>
          <w:numId w:val="70"/>
        </w:numPr>
        <w:tabs>
          <w:tab w:val="left" w:pos="562"/>
        </w:tabs>
        <w:spacing w:before="79"/>
        <w:ind w:right="31" w:firstLine="0"/>
        <w:jc w:val="left"/>
        <w:rPr>
          <w:sz w:val="24"/>
        </w:rPr>
      </w:pPr>
      <w:r>
        <w:rPr>
          <w:sz w:val="24"/>
        </w:rPr>
        <w:t>Lump-sum additions to family assets, such as inheritances, insurance payments (including payments under health and accident insurance and worker's compensation), capital gains and settlement for personal or property losses (except as provided in paragraph (b)(5) of this section);</w:t>
      </w:r>
    </w:p>
    <w:p w:rsidR="004E13A5" w:rsidRDefault="00681463">
      <w:pPr>
        <w:pStyle w:val="ListParagraph"/>
        <w:numPr>
          <w:ilvl w:val="1"/>
          <w:numId w:val="70"/>
        </w:numPr>
        <w:tabs>
          <w:tab w:val="left" w:pos="559"/>
        </w:tabs>
        <w:spacing w:before="79"/>
        <w:ind w:right="313" w:firstLine="0"/>
        <w:jc w:val="left"/>
        <w:rPr>
          <w:sz w:val="24"/>
        </w:rPr>
      </w:pPr>
      <w:r>
        <w:rPr>
          <w:sz w:val="24"/>
        </w:rPr>
        <w:t>Amounts received by the family that are specifically for, or in reimbursement of, the cost of medical expenses for any family member;</w:t>
      </w:r>
    </w:p>
    <w:p w:rsidR="004E13A5" w:rsidRDefault="00681463">
      <w:pPr>
        <w:pStyle w:val="ListParagraph"/>
        <w:numPr>
          <w:ilvl w:val="1"/>
          <w:numId w:val="70"/>
        </w:numPr>
        <w:tabs>
          <w:tab w:val="left" w:pos="562"/>
        </w:tabs>
        <w:spacing w:before="79"/>
        <w:ind w:right="539" w:firstLine="0"/>
        <w:jc w:val="left"/>
        <w:rPr>
          <w:sz w:val="24"/>
        </w:rPr>
      </w:pPr>
      <w:r>
        <w:rPr>
          <w:sz w:val="24"/>
        </w:rPr>
        <w:t>Income of a live-in aide, as defined</w:t>
      </w:r>
      <w:r>
        <w:rPr>
          <w:spacing w:val="-11"/>
          <w:sz w:val="24"/>
        </w:rPr>
        <w:t xml:space="preserve"> </w:t>
      </w:r>
      <w:r>
        <w:rPr>
          <w:sz w:val="24"/>
        </w:rPr>
        <w:t>in Sec.</w:t>
      </w:r>
      <w:r>
        <w:rPr>
          <w:spacing w:val="-3"/>
          <w:sz w:val="24"/>
        </w:rPr>
        <w:t xml:space="preserve"> </w:t>
      </w:r>
      <w:r>
        <w:rPr>
          <w:sz w:val="24"/>
        </w:rPr>
        <w:t>5.403;</w:t>
      </w:r>
    </w:p>
    <w:p w:rsidR="004E13A5" w:rsidRDefault="00681463">
      <w:pPr>
        <w:pStyle w:val="ListParagraph"/>
        <w:numPr>
          <w:ilvl w:val="1"/>
          <w:numId w:val="70"/>
        </w:numPr>
        <w:tabs>
          <w:tab w:val="left" w:pos="559"/>
        </w:tabs>
        <w:spacing w:before="79"/>
        <w:ind w:right="106" w:firstLine="0"/>
        <w:jc w:val="left"/>
        <w:rPr>
          <w:sz w:val="24"/>
        </w:rPr>
      </w:pPr>
      <w:r>
        <w:rPr>
          <w:sz w:val="24"/>
        </w:rPr>
        <w:t>Subject to paragraph (b)(9) of this section, the full amount of student financial assistance paid directly to the student or to the educational</w:t>
      </w:r>
      <w:r>
        <w:rPr>
          <w:spacing w:val="-4"/>
          <w:sz w:val="24"/>
        </w:rPr>
        <w:t xml:space="preserve"> </w:t>
      </w:r>
      <w:r>
        <w:rPr>
          <w:sz w:val="24"/>
        </w:rPr>
        <w:t>institution;</w:t>
      </w:r>
    </w:p>
    <w:p w:rsidR="004E13A5" w:rsidRDefault="00681463">
      <w:pPr>
        <w:pStyle w:val="ListParagraph"/>
        <w:numPr>
          <w:ilvl w:val="1"/>
          <w:numId w:val="70"/>
        </w:numPr>
        <w:tabs>
          <w:tab w:val="left" w:pos="559"/>
        </w:tabs>
        <w:spacing w:before="79"/>
        <w:ind w:firstLine="0"/>
        <w:jc w:val="left"/>
        <w:rPr>
          <w:sz w:val="24"/>
        </w:rPr>
      </w:pPr>
      <w:r>
        <w:rPr>
          <w:sz w:val="24"/>
        </w:rPr>
        <w:t>The special pay to a family member serving in the Armed Forces who is exposed</w:t>
      </w:r>
      <w:r>
        <w:rPr>
          <w:spacing w:val="-8"/>
          <w:sz w:val="24"/>
        </w:rPr>
        <w:t xml:space="preserve"> </w:t>
      </w:r>
      <w:r>
        <w:rPr>
          <w:sz w:val="24"/>
        </w:rPr>
        <w:t>to hostile</w:t>
      </w:r>
      <w:r>
        <w:rPr>
          <w:spacing w:val="-3"/>
          <w:sz w:val="24"/>
        </w:rPr>
        <w:t xml:space="preserve"> </w:t>
      </w:r>
      <w:r>
        <w:rPr>
          <w:sz w:val="24"/>
        </w:rPr>
        <w:t>fire;</w:t>
      </w:r>
    </w:p>
    <w:p w:rsidR="004E13A5" w:rsidRDefault="00681463">
      <w:pPr>
        <w:pStyle w:val="ListParagraph"/>
        <w:numPr>
          <w:ilvl w:val="1"/>
          <w:numId w:val="70"/>
        </w:numPr>
        <w:tabs>
          <w:tab w:val="left" w:pos="559"/>
        </w:tabs>
        <w:spacing w:before="79"/>
        <w:ind w:right="724" w:firstLine="0"/>
        <w:jc w:val="left"/>
        <w:rPr>
          <w:sz w:val="24"/>
        </w:rPr>
      </w:pPr>
      <w:r>
        <w:rPr>
          <w:sz w:val="24"/>
        </w:rPr>
        <w:t>(i) Amounts received under training programs funded by</w:t>
      </w:r>
      <w:r>
        <w:rPr>
          <w:spacing w:val="-3"/>
          <w:sz w:val="24"/>
        </w:rPr>
        <w:t xml:space="preserve"> </w:t>
      </w:r>
      <w:r>
        <w:rPr>
          <w:sz w:val="24"/>
        </w:rPr>
        <w:t>HUD;</w:t>
      </w:r>
    </w:p>
    <w:p w:rsidR="004E13A5" w:rsidRDefault="00681463">
      <w:pPr>
        <w:pStyle w:val="ListParagraph"/>
        <w:numPr>
          <w:ilvl w:val="0"/>
          <w:numId w:val="67"/>
        </w:numPr>
        <w:tabs>
          <w:tab w:val="left" w:pos="574"/>
        </w:tabs>
        <w:spacing w:before="79"/>
        <w:ind w:right="281" w:firstLine="0"/>
        <w:rPr>
          <w:sz w:val="24"/>
        </w:rPr>
      </w:pPr>
      <w:r>
        <w:rPr>
          <w:sz w:val="24"/>
        </w:rPr>
        <w:t>Amounts received by a person with a disability that are disregarded for a limited time for purposes of Supplemental Security Income eligibility and benefits because they are set aside for use under a Plan to Attain Self-Sufficiency</w:t>
      </w:r>
      <w:r>
        <w:rPr>
          <w:spacing w:val="-5"/>
          <w:sz w:val="24"/>
        </w:rPr>
        <w:t xml:space="preserve"> </w:t>
      </w:r>
      <w:r>
        <w:rPr>
          <w:sz w:val="24"/>
        </w:rPr>
        <w:t>(PASS);</w:t>
      </w:r>
    </w:p>
    <w:p w:rsidR="004E13A5" w:rsidRDefault="00681463">
      <w:pPr>
        <w:pStyle w:val="BodyText"/>
        <w:spacing w:before="8"/>
        <w:ind w:left="0"/>
        <w:rPr>
          <w:sz w:val="34"/>
        </w:rPr>
      </w:pPr>
      <w:r>
        <w:br w:type="column"/>
      </w:r>
    </w:p>
    <w:p w:rsidR="004E13A5" w:rsidRDefault="00681463">
      <w:pPr>
        <w:pStyle w:val="ListParagraph"/>
        <w:numPr>
          <w:ilvl w:val="0"/>
          <w:numId w:val="67"/>
        </w:numPr>
        <w:tabs>
          <w:tab w:val="left" w:pos="641"/>
        </w:tabs>
        <w:spacing w:before="0"/>
        <w:ind w:right="231" w:firstLine="0"/>
        <w:rPr>
          <w:sz w:val="24"/>
        </w:rPr>
      </w:pPr>
      <w:r>
        <w:rPr>
          <w:sz w:val="24"/>
        </w:rPr>
        <w:t>Amounts received by a participant in</w:t>
      </w:r>
      <w:r>
        <w:rPr>
          <w:spacing w:val="-9"/>
          <w:sz w:val="24"/>
        </w:rPr>
        <w:t xml:space="preserve"> </w:t>
      </w:r>
      <w:r>
        <w:rPr>
          <w:sz w:val="24"/>
        </w:rPr>
        <w:t>other publicly assisted programs which are specifically for or in reimbursement of out-of- pocket expenses incurred (special equipment, clothing, transportation, child care, etc.) and which are made solely to allow participation in a specific</w:t>
      </w:r>
      <w:r>
        <w:rPr>
          <w:spacing w:val="-6"/>
          <w:sz w:val="24"/>
        </w:rPr>
        <w:t xml:space="preserve"> </w:t>
      </w:r>
      <w:r>
        <w:rPr>
          <w:sz w:val="24"/>
        </w:rPr>
        <w:t>program;</w:t>
      </w:r>
    </w:p>
    <w:p w:rsidR="004E13A5" w:rsidRDefault="003263D1">
      <w:pPr>
        <w:pStyle w:val="ListParagraph"/>
        <w:numPr>
          <w:ilvl w:val="0"/>
          <w:numId w:val="67"/>
        </w:numPr>
        <w:tabs>
          <w:tab w:val="left" w:pos="627"/>
        </w:tabs>
        <w:spacing w:before="78"/>
        <w:ind w:right="262" w:firstLine="0"/>
        <w:rPr>
          <w:sz w:val="24"/>
        </w:rPr>
      </w:pPr>
      <w:r>
        <w:rPr>
          <w:noProof/>
        </w:rPr>
        <mc:AlternateContent>
          <mc:Choice Requires="wps">
            <w:drawing>
              <wp:anchor distT="0" distB="0" distL="114300" distR="114300" simplePos="0" relativeHeight="1408" behindDoc="0" locked="0" layoutInCell="1" allowOverlap="1">
                <wp:simplePos x="0" y="0"/>
                <wp:positionH relativeFrom="page">
                  <wp:posOffset>3886835</wp:posOffset>
                </wp:positionH>
                <wp:positionV relativeFrom="paragraph">
                  <wp:posOffset>-1238885</wp:posOffset>
                </wp:positionV>
                <wp:extent cx="0" cy="7665085"/>
                <wp:effectExtent l="10160" t="6350" r="8890" b="5715"/>
                <wp:wrapNone/>
                <wp:docPr id="6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50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B262" id="Line 56"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97.55pt" to="306.0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Y6EgIAACo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" strokeweight=".72pt">
                <w10:wrap anchorx="page"/>
              </v:line>
            </w:pict>
          </mc:Fallback>
        </mc:AlternateContent>
      </w:r>
      <w:r w:rsidR="00681463">
        <w:rPr>
          <w:sz w:val="24"/>
        </w:rPr>
        <w:t>Amounts received under a resident</w:t>
      </w:r>
      <w:r w:rsidR="00681463">
        <w:rPr>
          <w:spacing w:val="-6"/>
          <w:sz w:val="24"/>
        </w:rPr>
        <w:t xml:space="preserve"> </w:t>
      </w:r>
      <w:r w:rsidR="00681463">
        <w:rPr>
          <w:sz w:val="24"/>
        </w:rPr>
        <w:t>service stipend. A resident service stipend is a modest amount (not to exceed $200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w:t>
      </w:r>
      <w:r w:rsidR="00681463">
        <w:rPr>
          <w:spacing w:val="-5"/>
          <w:sz w:val="24"/>
        </w:rPr>
        <w:t xml:space="preserve"> </w:t>
      </w:r>
      <w:r w:rsidR="00681463">
        <w:rPr>
          <w:sz w:val="24"/>
        </w:rPr>
        <w:t>time;</w:t>
      </w:r>
    </w:p>
    <w:p w:rsidR="004E13A5" w:rsidRDefault="00681463">
      <w:pPr>
        <w:pStyle w:val="ListParagraph"/>
        <w:numPr>
          <w:ilvl w:val="0"/>
          <w:numId w:val="67"/>
        </w:numPr>
        <w:tabs>
          <w:tab w:val="left" w:pos="562"/>
        </w:tabs>
        <w:spacing w:before="78"/>
        <w:ind w:right="269" w:firstLine="0"/>
        <w:rPr>
          <w:sz w:val="24"/>
        </w:rPr>
      </w:pPr>
      <w:r>
        <w:rPr>
          <w:sz w:val="24"/>
        </w:rPr>
        <w:t>Incremental earnings and benefits</w:t>
      </w:r>
      <w:r>
        <w:rPr>
          <w:spacing w:val="-8"/>
          <w:sz w:val="24"/>
        </w:rPr>
        <w:t xml:space="preserve"> </w:t>
      </w:r>
      <w:r>
        <w:rPr>
          <w:sz w:val="24"/>
        </w:rPr>
        <w:t>resulting to any family member from participation in qualifying State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w:t>
      </w:r>
    </w:p>
    <w:p w:rsidR="004E13A5" w:rsidRDefault="00681463">
      <w:pPr>
        <w:pStyle w:val="ListParagraph"/>
        <w:numPr>
          <w:ilvl w:val="1"/>
          <w:numId w:val="70"/>
        </w:numPr>
        <w:tabs>
          <w:tab w:val="left" w:pos="559"/>
        </w:tabs>
        <w:spacing w:before="78" w:line="242" w:lineRule="auto"/>
        <w:ind w:right="858" w:firstLine="0"/>
        <w:jc w:val="left"/>
        <w:rPr>
          <w:sz w:val="24"/>
        </w:rPr>
      </w:pPr>
      <w:r>
        <w:rPr>
          <w:sz w:val="24"/>
        </w:rPr>
        <w:t>Temporary, nonrecurring or</w:t>
      </w:r>
      <w:r>
        <w:rPr>
          <w:spacing w:val="-8"/>
          <w:sz w:val="24"/>
        </w:rPr>
        <w:t xml:space="preserve"> </w:t>
      </w:r>
      <w:r>
        <w:rPr>
          <w:sz w:val="24"/>
        </w:rPr>
        <w:t>sporadic income (including</w:t>
      </w:r>
      <w:r>
        <w:rPr>
          <w:spacing w:val="-6"/>
          <w:sz w:val="24"/>
        </w:rPr>
        <w:t xml:space="preserve"> </w:t>
      </w:r>
      <w:r>
        <w:rPr>
          <w:sz w:val="24"/>
        </w:rPr>
        <w:t>gifts);</w:t>
      </w:r>
    </w:p>
    <w:p w:rsidR="004E13A5" w:rsidRDefault="00681463">
      <w:pPr>
        <w:pStyle w:val="ListParagraph"/>
        <w:numPr>
          <w:ilvl w:val="1"/>
          <w:numId w:val="70"/>
        </w:numPr>
        <w:tabs>
          <w:tab w:val="left" w:pos="679"/>
        </w:tabs>
        <w:spacing w:before="76"/>
        <w:ind w:right="329" w:firstLine="0"/>
        <w:jc w:val="left"/>
        <w:rPr>
          <w:sz w:val="24"/>
        </w:rPr>
      </w:pPr>
      <w:r>
        <w:rPr>
          <w:sz w:val="24"/>
        </w:rPr>
        <w:t>Reparation payments paid by a foreign government pursuant to claims filed under</w:t>
      </w:r>
      <w:r>
        <w:rPr>
          <w:spacing w:val="-6"/>
          <w:sz w:val="24"/>
        </w:rPr>
        <w:t xml:space="preserve"> </w:t>
      </w:r>
      <w:r>
        <w:rPr>
          <w:sz w:val="24"/>
        </w:rPr>
        <w:t>the laws of that government by persons who were persecuted during the Nazi</w:t>
      </w:r>
      <w:r>
        <w:rPr>
          <w:spacing w:val="-8"/>
          <w:sz w:val="24"/>
        </w:rPr>
        <w:t xml:space="preserve"> </w:t>
      </w:r>
      <w:r>
        <w:rPr>
          <w:sz w:val="24"/>
        </w:rPr>
        <w:t>era;</w:t>
      </w:r>
    </w:p>
    <w:p w:rsidR="004E13A5" w:rsidRDefault="00681463">
      <w:pPr>
        <w:pStyle w:val="ListParagraph"/>
        <w:numPr>
          <w:ilvl w:val="1"/>
          <w:numId w:val="70"/>
        </w:numPr>
        <w:tabs>
          <w:tab w:val="left" w:pos="679"/>
        </w:tabs>
        <w:spacing w:before="79"/>
        <w:ind w:right="395" w:firstLine="0"/>
        <w:jc w:val="both"/>
        <w:rPr>
          <w:sz w:val="24"/>
        </w:rPr>
      </w:pPr>
      <w:r>
        <w:rPr>
          <w:sz w:val="24"/>
        </w:rPr>
        <w:t>Earnings in excess of $480 for each full- time student 18 years old or older (excluding the head of household and</w:t>
      </w:r>
      <w:r>
        <w:rPr>
          <w:spacing w:val="-5"/>
          <w:sz w:val="24"/>
        </w:rPr>
        <w:t xml:space="preserve"> </w:t>
      </w:r>
      <w:r>
        <w:rPr>
          <w:sz w:val="24"/>
        </w:rPr>
        <w:t>spouse);</w:t>
      </w:r>
    </w:p>
    <w:p w:rsidR="004E13A5" w:rsidRDefault="004E13A5">
      <w:pPr>
        <w:jc w:val="both"/>
        <w:rPr>
          <w:sz w:val="24"/>
        </w:rPr>
        <w:sectPr w:rsidR="004E13A5">
          <w:type w:val="continuous"/>
          <w:pgSz w:w="12240" w:h="15840"/>
          <w:pgMar w:top="1500" w:right="1220" w:bottom="280" w:left="1220" w:header="720" w:footer="720" w:gutter="0"/>
          <w:cols w:num="2" w:space="720" w:equalWidth="0">
            <w:col w:w="4739" w:space="86"/>
            <w:col w:w="4975"/>
          </w:cols>
        </w:sectPr>
      </w:pPr>
    </w:p>
    <w:p w:rsidR="004E13A5" w:rsidRDefault="00681463">
      <w:pPr>
        <w:pStyle w:val="ListParagraph"/>
        <w:numPr>
          <w:ilvl w:val="1"/>
          <w:numId w:val="70"/>
        </w:numPr>
        <w:tabs>
          <w:tab w:val="left" w:pos="559"/>
        </w:tabs>
        <w:spacing w:before="79"/>
        <w:ind w:left="100" w:right="146" w:firstLine="0"/>
        <w:jc w:val="left"/>
        <w:rPr>
          <w:sz w:val="24"/>
        </w:rPr>
      </w:pPr>
      <w:r>
        <w:rPr>
          <w:sz w:val="24"/>
        </w:rPr>
        <w:lastRenderedPageBreak/>
        <w:t>Adoption assistance payments in excess of $480 per adopted</w:t>
      </w:r>
      <w:r>
        <w:rPr>
          <w:spacing w:val="-2"/>
          <w:sz w:val="24"/>
        </w:rPr>
        <w:t xml:space="preserve"> </w:t>
      </w:r>
      <w:r>
        <w:rPr>
          <w:sz w:val="24"/>
        </w:rPr>
        <w:t>child;</w:t>
      </w:r>
    </w:p>
    <w:p w:rsidR="004E13A5" w:rsidRDefault="00681463">
      <w:pPr>
        <w:pStyle w:val="ListParagraph"/>
        <w:numPr>
          <w:ilvl w:val="1"/>
          <w:numId w:val="70"/>
        </w:numPr>
        <w:tabs>
          <w:tab w:val="left" w:pos="559"/>
        </w:tabs>
        <w:spacing w:before="78"/>
        <w:ind w:left="558" w:hanging="458"/>
        <w:jc w:val="left"/>
        <w:rPr>
          <w:sz w:val="24"/>
        </w:rPr>
      </w:pPr>
      <w:r>
        <w:rPr>
          <w:sz w:val="24"/>
        </w:rPr>
        <w:t>[Reserved]</w:t>
      </w:r>
    </w:p>
    <w:p w:rsidR="004E13A5" w:rsidRDefault="00681463">
      <w:pPr>
        <w:pStyle w:val="ListParagraph"/>
        <w:numPr>
          <w:ilvl w:val="1"/>
          <w:numId w:val="70"/>
        </w:numPr>
        <w:tabs>
          <w:tab w:val="left" w:pos="559"/>
        </w:tabs>
        <w:spacing w:before="78"/>
        <w:ind w:left="100" w:firstLine="0"/>
        <w:jc w:val="left"/>
        <w:rPr>
          <w:sz w:val="24"/>
        </w:rPr>
      </w:pPr>
      <w:r>
        <w:rPr>
          <w:sz w:val="24"/>
        </w:rPr>
        <w:t>Deferred periodic amounts from supplemental security income and social security benefits that are received in a lump sum amount or in prospective monthly amounts, or any deferred Department of Veterans Affairs disability benefits that are received in a lump sum amount or</w:t>
      </w:r>
      <w:r>
        <w:rPr>
          <w:spacing w:val="-6"/>
          <w:sz w:val="24"/>
        </w:rPr>
        <w:t xml:space="preserve"> </w:t>
      </w:r>
      <w:r>
        <w:rPr>
          <w:sz w:val="24"/>
        </w:rPr>
        <w:t>prospective monthly</w:t>
      </w:r>
      <w:r>
        <w:rPr>
          <w:spacing w:val="-5"/>
          <w:sz w:val="24"/>
        </w:rPr>
        <w:t xml:space="preserve"> </w:t>
      </w:r>
      <w:r>
        <w:rPr>
          <w:sz w:val="24"/>
        </w:rPr>
        <w:t>amounts.</w:t>
      </w:r>
    </w:p>
    <w:p w:rsidR="004E13A5" w:rsidRDefault="00681463">
      <w:pPr>
        <w:pStyle w:val="ListParagraph"/>
        <w:numPr>
          <w:ilvl w:val="1"/>
          <w:numId w:val="70"/>
        </w:numPr>
        <w:tabs>
          <w:tab w:val="left" w:pos="559"/>
        </w:tabs>
        <w:spacing w:before="78"/>
        <w:ind w:left="100" w:right="8" w:firstLine="0"/>
        <w:jc w:val="left"/>
        <w:rPr>
          <w:sz w:val="24"/>
        </w:rPr>
      </w:pPr>
      <w:r>
        <w:rPr>
          <w:sz w:val="24"/>
        </w:rPr>
        <w:t>Amounts received by the family in the form of refunds or rebates under State or</w:t>
      </w:r>
      <w:r>
        <w:rPr>
          <w:spacing w:val="-10"/>
          <w:sz w:val="24"/>
        </w:rPr>
        <w:t xml:space="preserve"> </w:t>
      </w:r>
      <w:r>
        <w:rPr>
          <w:sz w:val="24"/>
        </w:rPr>
        <w:t>local law for property taxes paid on</w:t>
      </w:r>
      <w:r>
        <w:rPr>
          <w:spacing w:val="-4"/>
          <w:sz w:val="24"/>
        </w:rPr>
        <w:t xml:space="preserve"> </w:t>
      </w:r>
      <w:r>
        <w:rPr>
          <w:sz w:val="24"/>
        </w:rPr>
        <w:t>the</w:t>
      </w:r>
    </w:p>
    <w:p w:rsidR="004E13A5" w:rsidRDefault="00681463">
      <w:pPr>
        <w:pStyle w:val="BodyText"/>
        <w:spacing w:before="0"/>
      </w:pPr>
      <w:r>
        <w:t>dwelling unit;</w:t>
      </w:r>
    </w:p>
    <w:p w:rsidR="004E13A5" w:rsidRDefault="00681463">
      <w:pPr>
        <w:pStyle w:val="ListParagraph"/>
        <w:numPr>
          <w:ilvl w:val="1"/>
          <w:numId w:val="70"/>
        </w:numPr>
        <w:tabs>
          <w:tab w:val="left" w:pos="559"/>
        </w:tabs>
        <w:spacing w:before="79"/>
        <w:ind w:left="100" w:right="196" w:firstLine="0"/>
        <w:jc w:val="left"/>
        <w:rPr>
          <w:sz w:val="24"/>
        </w:rPr>
      </w:pPr>
      <w:r>
        <w:rPr>
          <w:w w:val="99"/>
          <w:sz w:val="24"/>
        </w:rPr>
        <w:br w:type="column"/>
      </w:r>
      <w:r>
        <w:rPr>
          <w:sz w:val="24"/>
        </w:rPr>
        <w:t xml:space="preserve">Amounts paid </w:t>
      </w:r>
      <w:r>
        <w:rPr>
          <w:spacing w:val="2"/>
          <w:sz w:val="24"/>
        </w:rPr>
        <w:t xml:space="preserve">by </w:t>
      </w:r>
      <w:r>
        <w:rPr>
          <w:sz w:val="24"/>
        </w:rPr>
        <w:t>a State agency to a family with a member who has a developmental disability and is living at</w:t>
      </w:r>
      <w:r>
        <w:rPr>
          <w:spacing w:val="-8"/>
          <w:sz w:val="24"/>
        </w:rPr>
        <w:t xml:space="preserve"> </w:t>
      </w:r>
      <w:r>
        <w:rPr>
          <w:sz w:val="24"/>
        </w:rPr>
        <w:t>home to offset the cost of services and equipment needed to keep the developmentally disabled family member at home;</w:t>
      </w:r>
      <w:r>
        <w:rPr>
          <w:spacing w:val="-5"/>
          <w:sz w:val="24"/>
        </w:rPr>
        <w:t xml:space="preserve"> </w:t>
      </w:r>
      <w:r>
        <w:rPr>
          <w:sz w:val="24"/>
        </w:rPr>
        <w:t>or</w:t>
      </w:r>
    </w:p>
    <w:p w:rsidR="004E13A5" w:rsidRDefault="003263D1">
      <w:pPr>
        <w:pStyle w:val="ListParagraph"/>
        <w:numPr>
          <w:ilvl w:val="1"/>
          <w:numId w:val="70"/>
        </w:numPr>
        <w:tabs>
          <w:tab w:val="left" w:pos="559"/>
        </w:tabs>
        <w:spacing w:before="78"/>
        <w:ind w:left="100" w:right="100" w:firstLine="0"/>
        <w:jc w:val="left"/>
        <w:rPr>
          <w:sz w:val="24"/>
        </w:rPr>
      </w:pPr>
      <w:r>
        <w:rPr>
          <w:noProof/>
        </w:rPr>
        <mc:AlternateContent>
          <mc:Choice Requires="wps">
            <w:drawing>
              <wp:anchor distT="0" distB="0" distL="114300" distR="114300" simplePos="0" relativeHeight="1432" behindDoc="0" locked="0" layoutInCell="1" allowOverlap="1">
                <wp:simplePos x="0" y="0"/>
                <wp:positionH relativeFrom="page">
                  <wp:posOffset>3886835</wp:posOffset>
                </wp:positionH>
                <wp:positionV relativeFrom="paragraph">
                  <wp:posOffset>-1052195</wp:posOffset>
                </wp:positionV>
                <wp:extent cx="0" cy="3586480"/>
                <wp:effectExtent l="10160" t="8255" r="8890" b="5715"/>
                <wp:wrapNone/>
                <wp:docPr id="6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64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11BD" id="Line 55"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82.85pt" to="306.05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UQ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" strokeweight=".72pt">
                <w10:wrap anchorx="page"/>
              </v:line>
            </w:pict>
          </mc:Fallback>
        </mc:AlternateContent>
      </w:r>
      <w:r w:rsidR="00681463">
        <w:rPr>
          <w:sz w:val="24"/>
        </w:rPr>
        <w:t>Amounts specifically excluded by any other Federal statute from consideration as income for purposes of determining eligibility or benefits under a category of assistance programs that includes assistance under any program to which the exclusions set forth in 24 CFR 5.609(c) apply. A notice will be published in the Federal Register and distributed to PHAs and housing owners identifying the benefits that qualify for this exclusion. Updates will be published and distributed when necessary. [See</w:t>
      </w:r>
      <w:r w:rsidR="00681463">
        <w:rPr>
          <w:spacing w:val="-10"/>
          <w:sz w:val="24"/>
        </w:rPr>
        <w:t xml:space="preserve"> </w:t>
      </w:r>
      <w:r w:rsidR="00681463">
        <w:rPr>
          <w:sz w:val="24"/>
        </w:rPr>
        <w:t>Section</w:t>
      </w:r>
    </w:p>
    <w:p w:rsidR="004E13A5" w:rsidRDefault="00681463">
      <w:pPr>
        <w:pStyle w:val="BodyText"/>
        <w:spacing w:before="0"/>
        <w:ind w:right="562"/>
      </w:pPr>
      <w:r>
        <w:t>6-I.M. for a list of benefits that qualify for this exclusion.]</w:t>
      </w:r>
    </w:p>
    <w:p w:rsidR="004E13A5" w:rsidRDefault="004E13A5">
      <w:pPr>
        <w:sectPr w:rsidR="004E13A5">
          <w:pgSz w:w="12240" w:h="15840"/>
          <w:pgMar w:top="1360" w:right="1340" w:bottom="460" w:left="1340" w:header="0" w:footer="203" w:gutter="0"/>
          <w:cols w:num="2" w:space="720" w:equalWidth="0">
            <w:col w:w="4546" w:space="279"/>
            <w:col w:w="4735"/>
          </w:cols>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088380" cy="206375"/>
                <wp:effectExtent l="11430" t="12700" r="5715" b="9525"/>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2049"/>
                              <w:rPr>
                                <w:b/>
                                <w:sz w:val="24"/>
                              </w:rPr>
                            </w:pPr>
                            <w:r>
                              <w:rPr>
                                <w:b/>
                                <w:sz w:val="24"/>
                              </w:rPr>
                              <w:t>EXHIBIT 6-3: TREATMENT OF FAMILY ASSETS</w:t>
                            </w:r>
                          </w:p>
                        </w:txbxContent>
                      </wps:txbx>
                      <wps:bodyPr rot="0" vert="horz" wrap="square" lIns="0" tIns="0" rIns="0" bIns="0" anchor="t" anchorCtr="0" upright="1">
                        <a:noAutofit/>
                      </wps:bodyPr>
                    </wps:wsp>
                  </a:graphicData>
                </a:graphic>
              </wp:inline>
            </w:drawing>
          </mc:Choice>
          <mc:Fallback>
            <w:pict>
              <v:shape id="Text Box 95" o:spid="_x0000_s1036" type="#_x0000_t202" style="width:479.4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" filled="f" strokeweight=".48pt">
                <v:textbox inset="0,0,0,0">
                  <w:txbxContent>
                    <w:p w:rsidR="00BA59C9" w:rsidRDefault="00BA59C9">
                      <w:pPr>
                        <w:spacing w:before="18"/>
                        <w:ind w:left="2049"/>
                        <w:rPr>
                          <w:b/>
                          <w:sz w:val="24"/>
                        </w:rPr>
                      </w:pPr>
                      <w:r>
                        <w:rPr>
                          <w:b/>
                          <w:sz w:val="24"/>
                        </w:rPr>
                        <w:t>EXHIBIT 6-3: TREATMENT OF FAMILY ASSETS</w:t>
                      </w:r>
                    </w:p>
                  </w:txbxContent>
                </v:textbox>
                <w10:anchorlock/>
              </v:shape>
            </w:pict>
          </mc:Fallback>
        </mc:AlternateContent>
      </w:r>
    </w:p>
    <w:p w:rsidR="004E13A5" w:rsidRDefault="004E13A5">
      <w:pPr>
        <w:rPr>
          <w:sz w:val="20"/>
        </w:rPr>
        <w:sectPr w:rsidR="004E13A5">
          <w:pgSz w:w="12240" w:h="15840"/>
          <w:pgMar w:top="1460" w:right="1220" w:bottom="460" w:left="1220" w:header="0" w:footer="203" w:gutter="0"/>
          <w:cols w:space="720"/>
        </w:sectPr>
      </w:pPr>
    </w:p>
    <w:p w:rsidR="004E13A5" w:rsidRDefault="00681463">
      <w:pPr>
        <w:pStyle w:val="Heading4"/>
        <w:spacing w:before="42"/>
        <w:ind w:left="220"/>
      </w:pPr>
      <w:r>
        <w:t>24 CFR 5.603(b) Net Family Assets</w:t>
      </w:r>
    </w:p>
    <w:p w:rsidR="004E13A5" w:rsidRDefault="00681463">
      <w:pPr>
        <w:pStyle w:val="ListParagraph"/>
        <w:numPr>
          <w:ilvl w:val="0"/>
          <w:numId w:val="66"/>
        </w:numPr>
        <w:tabs>
          <w:tab w:val="left" w:pos="559"/>
        </w:tabs>
        <w:spacing w:before="81"/>
        <w:ind w:right="8" w:firstLine="0"/>
        <w:rPr>
          <w:sz w:val="24"/>
        </w:rPr>
      </w:pPr>
      <w:r>
        <w:rPr>
          <w:sz w:val="24"/>
        </w:rPr>
        <w:t>Net cash value after deducting reasonable costs that would be incurred in disposing of real property, savings, stocks, bonds, and</w:t>
      </w:r>
      <w:r>
        <w:rPr>
          <w:spacing w:val="-9"/>
          <w:sz w:val="24"/>
        </w:rPr>
        <w:t xml:space="preserve"> </w:t>
      </w:r>
      <w:r>
        <w:rPr>
          <w:sz w:val="24"/>
        </w:rPr>
        <w:t>other forms of capital investment, excluding interests in Indian trust land and excluding equity accounts in HUD homeownership programs. The value of necessary items of personal property such as furniture and automobiles shall be</w:t>
      </w:r>
      <w:r>
        <w:rPr>
          <w:spacing w:val="-4"/>
          <w:sz w:val="24"/>
        </w:rPr>
        <w:t xml:space="preserve"> </w:t>
      </w:r>
      <w:r>
        <w:rPr>
          <w:sz w:val="24"/>
        </w:rPr>
        <w:t>excluded.</w:t>
      </w:r>
    </w:p>
    <w:p w:rsidR="004E13A5" w:rsidRDefault="00681463">
      <w:pPr>
        <w:pStyle w:val="ListParagraph"/>
        <w:numPr>
          <w:ilvl w:val="0"/>
          <w:numId w:val="66"/>
        </w:numPr>
        <w:tabs>
          <w:tab w:val="left" w:pos="562"/>
        </w:tabs>
        <w:spacing w:before="78"/>
        <w:ind w:firstLine="0"/>
        <w:rPr>
          <w:sz w:val="24"/>
        </w:rPr>
      </w:pPr>
      <w:r>
        <w:rPr>
          <w:sz w:val="24"/>
        </w:rPr>
        <w:t>In cases where a trust fund has been established and the trust is not revocable by,</w:t>
      </w:r>
      <w:r>
        <w:rPr>
          <w:spacing w:val="-4"/>
          <w:sz w:val="24"/>
        </w:rPr>
        <w:t xml:space="preserve"> </w:t>
      </w:r>
      <w:r>
        <w:rPr>
          <w:sz w:val="24"/>
        </w:rPr>
        <w:t>or under the control of, any member of the family or household, the value of the trust fund will not be considered an asset so long as the fund continues to be held in trust. Any income distributed from the trust fund shall be</w:t>
      </w:r>
      <w:r>
        <w:rPr>
          <w:spacing w:val="-7"/>
          <w:sz w:val="24"/>
        </w:rPr>
        <w:t xml:space="preserve"> </w:t>
      </w:r>
      <w:r>
        <w:rPr>
          <w:sz w:val="24"/>
        </w:rPr>
        <w:t>counted when determining annual income under Sec. 5.609.</w:t>
      </w:r>
    </w:p>
    <w:p w:rsidR="004E13A5" w:rsidRDefault="00681463">
      <w:pPr>
        <w:pStyle w:val="BodyText"/>
        <w:spacing w:before="8"/>
        <w:ind w:left="0"/>
        <w:rPr>
          <w:sz w:val="34"/>
        </w:rPr>
      </w:pPr>
      <w:r>
        <w:br w:type="column"/>
      </w:r>
    </w:p>
    <w:p w:rsidR="004E13A5" w:rsidRDefault="00681463">
      <w:pPr>
        <w:pStyle w:val="ListParagraph"/>
        <w:numPr>
          <w:ilvl w:val="0"/>
          <w:numId w:val="66"/>
        </w:numPr>
        <w:tabs>
          <w:tab w:val="left" w:pos="562"/>
        </w:tabs>
        <w:spacing w:before="0"/>
        <w:ind w:right="223" w:firstLine="0"/>
        <w:rPr>
          <w:sz w:val="24"/>
        </w:rPr>
      </w:pPr>
      <w:r>
        <w:rPr>
          <w:sz w:val="24"/>
        </w:rPr>
        <w:t>In determining net family assets, PHAs or owners, as applicable, shall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w:t>
      </w:r>
      <w:r>
        <w:rPr>
          <w:spacing w:val="-10"/>
          <w:sz w:val="24"/>
        </w:rPr>
        <w:t xml:space="preserve"> </w:t>
      </w:r>
      <w:r>
        <w:rPr>
          <w:sz w:val="24"/>
        </w:rPr>
        <w:t>in excess of the consideration received therefor. In the case of a disposition as part of a separation or divorce settlement, the disposition will not be considered to be for</w:t>
      </w:r>
      <w:r>
        <w:rPr>
          <w:spacing w:val="-9"/>
          <w:sz w:val="24"/>
        </w:rPr>
        <w:t xml:space="preserve"> </w:t>
      </w:r>
      <w:r>
        <w:rPr>
          <w:sz w:val="24"/>
        </w:rPr>
        <w:t>less than fair market value if the applicant or tenant receives important consideration not measurable in dollar</w:t>
      </w:r>
      <w:r>
        <w:rPr>
          <w:spacing w:val="-5"/>
          <w:sz w:val="24"/>
        </w:rPr>
        <w:t xml:space="preserve"> </w:t>
      </w:r>
      <w:r>
        <w:rPr>
          <w:sz w:val="24"/>
        </w:rPr>
        <w:t>terms.</w:t>
      </w:r>
    </w:p>
    <w:p w:rsidR="004E13A5" w:rsidRDefault="003263D1">
      <w:pPr>
        <w:pStyle w:val="ListParagraph"/>
        <w:numPr>
          <w:ilvl w:val="0"/>
          <w:numId w:val="66"/>
        </w:numPr>
        <w:tabs>
          <w:tab w:val="left" w:pos="559"/>
        </w:tabs>
        <w:spacing w:before="78"/>
        <w:ind w:right="226" w:firstLine="0"/>
        <w:rPr>
          <w:sz w:val="24"/>
        </w:rPr>
      </w:pPr>
      <w:r>
        <w:rPr>
          <w:noProof/>
        </w:rPr>
        <mc:AlternateContent>
          <mc:Choice Requires="wps">
            <w:drawing>
              <wp:anchor distT="0" distB="0" distL="114300" distR="114300" simplePos="0" relativeHeight="1480" behindDoc="0" locked="0" layoutInCell="1" allowOverlap="1">
                <wp:simplePos x="0" y="0"/>
                <wp:positionH relativeFrom="page">
                  <wp:posOffset>3886835</wp:posOffset>
                </wp:positionH>
                <wp:positionV relativeFrom="paragraph">
                  <wp:posOffset>-2641600</wp:posOffset>
                </wp:positionV>
                <wp:extent cx="0" cy="3956685"/>
                <wp:effectExtent l="10160" t="5715" r="8890" b="9525"/>
                <wp:wrapNone/>
                <wp:docPr id="6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6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519D" id="Line 53"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208pt" to="306.0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" strokeweight=".72pt">
                <w10:wrap anchorx="page"/>
              </v:line>
            </w:pict>
          </mc:Fallback>
        </mc:AlternateContent>
      </w:r>
      <w:r w:rsidR="00681463">
        <w:rPr>
          <w:sz w:val="24"/>
        </w:rPr>
        <w:t>For purposes of determining annual</w:t>
      </w:r>
      <w:r w:rsidR="00681463">
        <w:rPr>
          <w:spacing w:val="-7"/>
          <w:sz w:val="24"/>
        </w:rPr>
        <w:t xml:space="preserve"> </w:t>
      </w:r>
      <w:r w:rsidR="00681463">
        <w:rPr>
          <w:sz w:val="24"/>
        </w:rPr>
        <w:t>income under Sec. 5.609, the term "net family assets'' does not include the value of a home currently being purchased with assistance under part 982, subpart M of this title. This exclusion is limited to the first 10 years after the purchase date of the</w:t>
      </w:r>
      <w:r w:rsidR="00681463">
        <w:rPr>
          <w:spacing w:val="-4"/>
          <w:sz w:val="24"/>
        </w:rPr>
        <w:t xml:space="preserve"> </w:t>
      </w:r>
      <w:r w:rsidR="00681463">
        <w:rPr>
          <w:sz w:val="24"/>
        </w:rPr>
        <w:t>home.</w:t>
      </w:r>
    </w:p>
    <w:p w:rsidR="004E13A5" w:rsidRDefault="004E13A5">
      <w:pPr>
        <w:rPr>
          <w:sz w:val="24"/>
        </w:rPr>
        <w:sectPr w:rsidR="004E13A5">
          <w:type w:val="continuous"/>
          <w:pgSz w:w="12240" w:h="15840"/>
          <w:pgMar w:top="1500" w:right="1220" w:bottom="280" w:left="1220" w:header="720" w:footer="720" w:gutter="0"/>
          <w:cols w:num="2" w:space="720" w:equalWidth="0">
            <w:col w:w="4734" w:space="91"/>
            <w:col w:w="4975"/>
          </w:cols>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088380" cy="381635"/>
                <wp:effectExtent l="11430" t="12700" r="5715" b="5715"/>
                <wp:docPr id="6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3974" w:right="701" w:hanging="3275"/>
                              <w:rPr>
                                <w:b/>
                                <w:sz w:val="24"/>
                              </w:rPr>
                            </w:pPr>
                            <w:r>
                              <w:rPr>
                                <w:b/>
                                <w:sz w:val="24"/>
                              </w:rPr>
                              <w:t>EXHIBIT 6-4: EARNED INCOME DISALLOWANCE FOR PERSONS WITH DISABILITIES</w:t>
                            </w:r>
                          </w:p>
                        </w:txbxContent>
                      </wps:txbx>
                      <wps:bodyPr rot="0" vert="horz" wrap="square" lIns="0" tIns="0" rIns="0" bIns="0" anchor="t" anchorCtr="0" upright="1">
                        <a:noAutofit/>
                      </wps:bodyPr>
                    </wps:wsp>
                  </a:graphicData>
                </a:graphic>
              </wp:inline>
            </w:drawing>
          </mc:Choice>
          <mc:Fallback>
            <w:pict>
              <v:shape id="Text Box 94" o:spid="_x0000_s1037" type="#_x0000_t202" style="width:479.4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" filled="f" strokeweight=".48pt">
                <v:textbox inset="0,0,0,0">
                  <w:txbxContent>
                    <w:p w:rsidR="00BA59C9" w:rsidRDefault="00BA59C9">
                      <w:pPr>
                        <w:spacing w:before="18"/>
                        <w:ind w:left="3974" w:right="701" w:hanging="3275"/>
                        <w:rPr>
                          <w:b/>
                          <w:sz w:val="24"/>
                        </w:rPr>
                      </w:pPr>
                      <w:r>
                        <w:rPr>
                          <w:b/>
                          <w:sz w:val="24"/>
                        </w:rPr>
                        <w:t>EXHIBIT 6-4: EARNED INCOME DISALLOWANCE FOR PERSONS WITH DISABILITIES</w:t>
                      </w:r>
                    </w:p>
                  </w:txbxContent>
                </v:textbox>
                <w10:anchorlock/>
              </v:shape>
            </w:pict>
          </mc:Fallback>
        </mc:AlternateContent>
      </w:r>
    </w:p>
    <w:p w:rsidR="004E13A5" w:rsidRDefault="00681463">
      <w:pPr>
        <w:pStyle w:val="Heading4"/>
        <w:spacing w:before="48" w:line="242" w:lineRule="auto"/>
        <w:ind w:left="220" w:right="867"/>
      </w:pPr>
      <w:r>
        <w:t>24 CFR 5.617 Self-sufficiency incentives for persons with disabilities–Disallowance of increase in annual income.</w:t>
      </w:r>
    </w:p>
    <w:p w:rsidR="004E13A5" w:rsidRDefault="004E13A5">
      <w:pPr>
        <w:spacing w:line="242" w:lineRule="auto"/>
        <w:sectPr w:rsidR="004E13A5">
          <w:pgSz w:w="12240" w:h="15840"/>
          <w:pgMar w:top="1460" w:right="1220" w:bottom="460" w:left="1220" w:header="0" w:footer="203" w:gutter="0"/>
          <w:cols w:space="720"/>
        </w:sectPr>
      </w:pPr>
    </w:p>
    <w:p w:rsidR="004E13A5" w:rsidRDefault="00681463">
      <w:pPr>
        <w:pStyle w:val="ListParagraph"/>
        <w:numPr>
          <w:ilvl w:val="0"/>
          <w:numId w:val="65"/>
        </w:numPr>
        <w:tabs>
          <w:tab w:val="left" w:pos="559"/>
        </w:tabs>
        <w:spacing w:before="57"/>
        <w:ind w:right="71" w:firstLine="0"/>
        <w:jc w:val="left"/>
        <w:rPr>
          <w:sz w:val="24"/>
        </w:rPr>
      </w:pPr>
      <w:r>
        <w:rPr>
          <w:i/>
          <w:sz w:val="24"/>
        </w:rPr>
        <w:t xml:space="preserve">Applicable programs. </w:t>
      </w:r>
      <w:r>
        <w:rPr>
          <w:sz w:val="24"/>
        </w:rPr>
        <w:t>The disallowance of earned income provided by this section is applicable only to the following programs: HOME Investment Partnerships Program (24 CFR part 92); Housing Opportunities for Persons with AIDS (24 CFR part 574); Supportive Housing Program (24 CFR part 583); and the Housing Choice</w:t>
      </w:r>
      <w:r>
        <w:rPr>
          <w:spacing w:val="-8"/>
          <w:sz w:val="24"/>
        </w:rPr>
        <w:t xml:space="preserve"> </w:t>
      </w:r>
      <w:r>
        <w:rPr>
          <w:sz w:val="24"/>
        </w:rPr>
        <w:t>Voucher</w:t>
      </w:r>
    </w:p>
    <w:p w:rsidR="004E13A5" w:rsidRDefault="00681463">
      <w:pPr>
        <w:pStyle w:val="BodyText"/>
        <w:spacing w:before="79"/>
        <w:ind w:left="220"/>
      </w:pPr>
      <w:r>
        <w:t>Program (24 CFR part 982).</w:t>
      </w:r>
    </w:p>
    <w:p w:rsidR="004E13A5" w:rsidRDefault="00681463">
      <w:pPr>
        <w:pStyle w:val="ListParagraph"/>
        <w:numPr>
          <w:ilvl w:val="0"/>
          <w:numId w:val="65"/>
        </w:numPr>
        <w:tabs>
          <w:tab w:val="left" w:pos="559"/>
        </w:tabs>
        <w:spacing w:before="78"/>
        <w:ind w:right="531" w:firstLine="0"/>
        <w:jc w:val="left"/>
        <w:rPr>
          <w:sz w:val="24"/>
        </w:rPr>
      </w:pPr>
      <w:r>
        <w:rPr>
          <w:i/>
          <w:sz w:val="24"/>
        </w:rPr>
        <w:t xml:space="preserve">Definitions. </w:t>
      </w:r>
      <w:r>
        <w:rPr>
          <w:sz w:val="24"/>
        </w:rPr>
        <w:t>The following definitions apply for purposes of this</w:t>
      </w:r>
      <w:r>
        <w:rPr>
          <w:spacing w:val="-8"/>
          <w:sz w:val="24"/>
        </w:rPr>
        <w:t xml:space="preserve"> </w:t>
      </w:r>
      <w:r>
        <w:rPr>
          <w:sz w:val="24"/>
        </w:rPr>
        <w:t>section.</w:t>
      </w:r>
    </w:p>
    <w:p w:rsidR="004E13A5" w:rsidRDefault="00681463">
      <w:pPr>
        <w:pStyle w:val="BodyText"/>
        <w:spacing w:before="59"/>
        <w:ind w:left="220" w:right="128"/>
      </w:pPr>
      <w:r>
        <w:rPr>
          <w:i/>
        </w:rPr>
        <w:t xml:space="preserve">Baseline income. </w:t>
      </w:r>
      <w:r>
        <w:t>The annual income immediately prior to implementation of the disallowance described in paragraph (c)(1) of this section of a person with disabilities (who is a member of a qualified family).</w:t>
      </w:r>
    </w:p>
    <w:p w:rsidR="004E13A5" w:rsidRDefault="00681463">
      <w:pPr>
        <w:spacing w:before="79"/>
        <w:ind w:left="220"/>
        <w:rPr>
          <w:sz w:val="24"/>
        </w:rPr>
      </w:pPr>
      <w:r>
        <w:rPr>
          <w:i/>
          <w:sz w:val="24"/>
        </w:rPr>
        <w:t>Disallowance</w:t>
      </w:r>
      <w:r>
        <w:rPr>
          <w:sz w:val="24"/>
        </w:rPr>
        <w:t>. Exclusion from annual income.</w:t>
      </w:r>
    </w:p>
    <w:p w:rsidR="004E13A5" w:rsidRDefault="00681463">
      <w:pPr>
        <w:pStyle w:val="BodyText"/>
        <w:spacing w:before="79"/>
        <w:ind w:left="220" w:right="-20"/>
      </w:pPr>
      <w:r>
        <w:rPr>
          <w:i/>
        </w:rPr>
        <w:t xml:space="preserve">Previously unemployed </w:t>
      </w:r>
      <w:r>
        <w:t>includes a person with disabilities who has earned, in the twelve months previous to employment, no more than would be received for 10 hours of work per week for 50 weeks at the established minimum wage.</w:t>
      </w:r>
    </w:p>
    <w:p w:rsidR="004E13A5" w:rsidRDefault="00681463">
      <w:pPr>
        <w:pStyle w:val="BodyText"/>
        <w:spacing w:before="79"/>
        <w:ind w:left="220" w:right="46"/>
      </w:pPr>
      <w:r>
        <w:rPr>
          <w:i/>
        </w:rPr>
        <w:t xml:space="preserve">Qualified family. </w:t>
      </w:r>
      <w:r>
        <w:t>A family residing in housing assisted under one of the programs listed in paragraph (a) of this section or receiving tenant-based rental assistance under one of the programs listed in paragraph (a) of this section.</w:t>
      </w:r>
    </w:p>
    <w:p w:rsidR="004E13A5" w:rsidRDefault="00681463">
      <w:pPr>
        <w:pStyle w:val="ListParagraph"/>
        <w:numPr>
          <w:ilvl w:val="1"/>
          <w:numId w:val="65"/>
        </w:numPr>
        <w:tabs>
          <w:tab w:val="left" w:pos="559"/>
        </w:tabs>
        <w:spacing w:before="79"/>
        <w:ind w:right="82" w:firstLine="0"/>
        <w:jc w:val="left"/>
        <w:rPr>
          <w:sz w:val="24"/>
        </w:rPr>
      </w:pPr>
      <w:r>
        <w:rPr>
          <w:sz w:val="24"/>
        </w:rPr>
        <w:t>Whose annual income increases as a</w:t>
      </w:r>
      <w:r>
        <w:rPr>
          <w:spacing w:val="-8"/>
          <w:sz w:val="24"/>
        </w:rPr>
        <w:t xml:space="preserve"> </w:t>
      </w:r>
      <w:r>
        <w:rPr>
          <w:sz w:val="24"/>
        </w:rPr>
        <w:t>result of employment of a family member who is a person with disabilities and who was previously unemployed for one or more years prior to</w:t>
      </w:r>
      <w:r>
        <w:rPr>
          <w:spacing w:val="-5"/>
          <w:sz w:val="24"/>
        </w:rPr>
        <w:t xml:space="preserve"> </w:t>
      </w:r>
      <w:r>
        <w:rPr>
          <w:sz w:val="24"/>
        </w:rPr>
        <w:t>employment;</w:t>
      </w:r>
    </w:p>
    <w:p w:rsidR="004E13A5" w:rsidRDefault="00681463">
      <w:pPr>
        <w:pStyle w:val="ListParagraph"/>
        <w:numPr>
          <w:ilvl w:val="1"/>
          <w:numId w:val="65"/>
        </w:numPr>
        <w:tabs>
          <w:tab w:val="left" w:pos="559"/>
        </w:tabs>
        <w:spacing w:before="79"/>
        <w:ind w:right="2" w:firstLine="0"/>
        <w:jc w:val="left"/>
        <w:rPr>
          <w:sz w:val="24"/>
        </w:rPr>
      </w:pPr>
      <w:r>
        <w:rPr>
          <w:sz w:val="24"/>
        </w:rPr>
        <w:t>Whose annual income increases as a result of increased earnings by a family member</w:t>
      </w:r>
      <w:r>
        <w:rPr>
          <w:spacing w:val="-13"/>
          <w:sz w:val="24"/>
        </w:rPr>
        <w:t xml:space="preserve"> </w:t>
      </w:r>
      <w:r>
        <w:rPr>
          <w:sz w:val="24"/>
        </w:rPr>
        <w:t>who is a person with disabilities during participation in any economic self-sufficiency or other job training program;</w:t>
      </w:r>
      <w:r>
        <w:rPr>
          <w:spacing w:val="-8"/>
          <w:sz w:val="24"/>
        </w:rPr>
        <w:t xml:space="preserve"> </w:t>
      </w:r>
      <w:r>
        <w:rPr>
          <w:sz w:val="24"/>
        </w:rPr>
        <w:t>or</w:t>
      </w:r>
    </w:p>
    <w:p w:rsidR="004E13A5" w:rsidRDefault="00681463">
      <w:pPr>
        <w:pStyle w:val="ListParagraph"/>
        <w:numPr>
          <w:ilvl w:val="1"/>
          <w:numId w:val="65"/>
        </w:numPr>
        <w:tabs>
          <w:tab w:val="left" w:pos="619"/>
        </w:tabs>
        <w:spacing w:before="76"/>
        <w:ind w:right="372" w:firstLine="60"/>
        <w:jc w:val="left"/>
        <w:rPr>
          <w:sz w:val="24"/>
        </w:rPr>
      </w:pPr>
      <w:r>
        <w:rPr>
          <w:spacing w:val="1"/>
          <w:w w:val="99"/>
          <w:sz w:val="24"/>
        </w:rPr>
        <w:br w:type="column"/>
      </w:r>
      <w:r>
        <w:rPr>
          <w:sz w:val="24"/>
        </w:rPr>
        <w:t>Whose annual income increases, as a result of new employment or increased earnings of a family member who is a person with disabilities, during or within six months after receiving assistance, benefits or</w:t>
      </w:r>
      <w:r>
        <w:rPr>
          <w:spacing w:val="-11"/>
          <w:sz w:val="24"/>
        </w:rPr>
        <w:t xml:space="preserve"> </w:t>
      </w:r>
      <w:r>
        <w:rPr>
          <w:sz w:val="24"/>
        </w:rPr>
        <w:t>services under any state program for temporary assistance for needy families funded under Part A of Title IV of the Social Security Act, as determined by the responsible entity in consultation with the local agencies administering temporary assistance for needy families (TANF) and Welfare-to-Work (WTW) programs. The TANF program is not limited to monthly income maintenance, but also includes such benefits and services as one-time payments, wage subsidies and transportation assistance-- provided that</w:t>
      </w:r>
      <w:r>
        <w:rPr>
          <w:spacing w:val="-7"/>
          <w:sz w:val="24"/>
        </w:rPr>
        <w:t xml:space="preserve"> </w:t>
      </w:r>
      <w:r>
        <w:rPr>
          <w:sz w:val="24"/>
        </w:rPr>
        <w:t>the</w:t>
      </w:r>
    </w:p>
    <w:p w:rsidR="004E13A5" w:rsidRDefault="003263D1">
      <w:pPr>
        <w:pStyle w:val="BodyText"/>
        <w:spacing w:before="0"/>
        <w:ind w:left="220"/>
      </w:pPr>
      <w:r>
        <w:rPr>
          <w:noProof/>
        </w:rPr>
        <mc:AlternateContent>
          <mc:Choice Requires="wps">
            <w:drawing>
              <wp:anchor distT="0" distB="0" distL="114300" distR="114300" simplePos="0" relativeHeight="1528" behindDoc="0" locked="0" layoutInCell="1" allowOverlap="1">
                <wp:simplePos x="0" y="0"/>
                <wp:positionH relativeFrom="page">
                  <wp:posOffset>3886835</wp:posOffset>
                </wp:positionH>
                <wp:positionV relativeFrom="paragraph">
                  <wp:posOffset>-2991485</wp:posOffset>
                </wp:positionV>
                <wp:extent cx="0" cy="7287260"/>
                <wp:effectExtent l="10160" t="13335" r="8890" b="5080"/>
                <wp:wrapNone/>
                <wp:docPr id="6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7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8BD2" id="Line 51"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235.55pt" to="306.05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U5Fg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" strokeweight=".72pt">
                <w10:wrap anchorx="page"/>
              </v:line>
            </w:pict>
          </mc:Fallback>
        </mc:AlternateContent>
      </w:r>
      <w:r w:rsidR="00681463">
        <w:t>total amount over a six-month period is at least</w:t>
      </w:r>
    </w:p>
    <w:p w:rsidR="004E13A5" w:rsidRDefault="00681463">
      <w:pPr>
        <w:pStyle w:val="BodyText"/>
        <w:spacing w:before="0"/>
        <w:ind w:left="220"/>
      </w:pPr>
      <w:r>
        <w:t>$500.</w:t>
      </w:r>
    </w:p>
    <w:p w:rsidR="004E13A5" w:rsidRDefault="00681463">
      <w:pPr>
        <w:pStyle w:val="ListParagraph"/>
        <w:numPr>
          <w:ilvl w:val="0"/>
          <w:numId w:val="65"/>
        </w:numPr>
        <w:tabs>
          <w:tab w:val="left" w:pos="545"/>
        </w:tabs>
        <w:spacing w:before="78"/>
        <w:ind w:right="1015" w:firstLine="0"/>
        <w:jc w:val="left"/>
        <w:rPr>
          <w:i/>
          <w:sz w:val="24"/>
        </w:rPr>
      </w:pPr>
      <w:r>
        <w:rPr>
          <w:i/>
          <w:sz w:val="24"/>
        </w:rPr>
        <w:t>Disallowance of increase in annual income—</w:t>
      </w:r>
    </w:p>
    <w:p w:rsidR="004E13A5" w:rsidRDefault="00681463">
      <w:pPr>
        <w:pStyle w:val="ListParagraph"/>
        <w:numPr>
          <w:ilvl w:val="1"/>
          <w:numId w:val="65"/>
        </w:numPr>
        <w:tabs>
          <w:tab w:val="left" w:pos="560"/>
        </w:tabs>
        <w:spacing w:before="59"/>
        <w:ind w:right="238" w:firstLine="0"/>
        <w:jc w:val="left"/>
        <w:rPr>
          <w:sz w:val="24"/>
        </w:rPr>
      </w:pPr>
      <w:r>
        <w:rPr>
          <w:i/>
          <w:sz w:val="24"/>
        </w:rPr>
        <w:t>Initial twelve-month exclusion</w:t>
      </w:r>
      <w:r>
        <w:rPr>
          <w:sz w:val="24"/>
        </w:rPr>
        <w:t>. During the 12-month period beginning on the date a member who is a person with disabilities of a qualified family is first employed or the family first experiences an increase in annual income attributable to employment, the responsible entity must exclude from annual income (as defined in the regulations governing the applicable program listed in paragraph (a) of this section) of a qualified family any increase in income of the family member who is a person with disabilities as a result of employment over prior income of that family member.</w:t>
      </w:r>
    </w:p>
    <w:p w:rsidR="004E13A5" w:rsidRDefault="00681463">
      <w:pPr>
        <w:pStyle w:val="ListParagraph"/>
        <w:numPr>
          <w:ilvl w:val="1"/>
          <w:numId w:val="65"/>
        </w:numPr>
        <w:tabs>
          <w:tab w:val="left" w:pos="560"/>
        </w:tabs>
        <w:spacing w:before="0"/>
        <w:ind w:right="226" w:firstLine="0"/>
        <w:jc w:val="left"/>
        <w:rPr>
          <w:sz w:val="24"/>
        </w:rPr>
      </w:pPr>
      <w:r>
        <w:rPr>
          <w:i/>
          <w:sz w:val="24"/>
        </w:rPr>
        <w:t xml:space="preserve">Second twelve-month exclusion and phase- in. </w:t>
      </w:r>
      <w:r>
        <w:rPr>
          <w:sz w:val="24"/>
        </w:rPr>
        <w:t>Upon expiration of the 12-month period defined in paragraph (c)(1) of this section and for the subsequent 12-month period, the responsible entity must exclude from annual income of a qualified family at least 50</w:t>
      </w:r>
      <w:r>
        <w:rPr>
          <w:spacing w:val="-13"/>
          <w:sz w:val="24"/>
        </w:rPr>
        <w:t xml:space="preserve"> </w:t>
      </w:r>
      <w:r>
        <w:rPr>
          <w:sz w:val="24"/>
        </w:rPr>
        <w:t>percent</w:t>
      </w:r>
    </w:p>
    <w:p w:rsidR="004E13A5" w:rsidRDefault="004E13A5">
      <w:pPr>
        <w:rPr>
          <w:sz w:val="24"/>
        </w:rPr>
        <w:sectPr w:rsidR="004E13A5">
          <w:type w:val="continuous"/>
          <w:pgSz w:w="12240" w:h="15840"/>
          <w:pgMar w:top="1500" w:right="1220" w:bottom="280" w:left="1220" w:header="720" w:footer="720" w:gutter="0"/>
          <w:cols w:num="2" w:space="720" w:equalWidth="0">
            <w:col w:w="4733" w:space="91"/>
            <w:col w:w="4976"/>
          </w:cols>
        </w:sectPr>
      </w:pPr>
    </w:p>
    <w:p w:rsidR="004E13A5" w:rsidRDefault="00681463">
      <w:pPr>
        <w:pStyle w:val="BodyText"/>
        <w:spacing w:before="79"/>
        <w:ind w:right="-15"/>
      </w:pPr>
      <w:r>
        <w:lastRenderedPageBreak/>
        <w:t>of any increase in income of such family member as a result of employment over</w:t>
      </w:r>
      <w:r>
        <w:rPr>
          <w:spacing w:val="-6"/>
        </w:rPr>
        <w:t xml:space="preserve"> </w:t>
      </w:r>
      <w:r>
        <w:t>the family member’s baseline</w:t>
      </w:r>
      <w:r>
        <w:rPr>
          <w:spacing w:val="-8"/>
        </w:rPr>
        <w:t xml:space="preserve"> </w:t>
      </w:r>
      <w:r>
        <w:t>income.</w:t>
      </w:r>
    </w:p>
    <w:p w:rsidR="004E13A5" w:rsidRDefault="00681463">
      <w:pPr>
        <w:pStyle w:val="ListParagraph"/>
        <w:numPr>
          <w:ilvl w:val="1"/>
          <w:numId w:val="65"/>
        </w:numPr>
        <w:tabs>
          <w:tab w:val="left" w:pos="440"/>
        </w:tabs>
        <w:spacing w:before="79"/>
        <w:ind w:left="100" w:right="327" w:firstLine="0"/>
        <w:jc w:val="left"/>
        <w:rPr>
          <w:sz w:val="24"/>
        </w:rPr>
      </w:pPr>
      <w:r>
        <w:rPr>
          <w:i/>
          <w:spacing w:val="-1"/>
          <w:w w:val="99"/>
          <w:sz w:val="24"/>
        </w:rPr>
        <w:br w:type="column"/>
      </w:r>
      <w:r>
        <w:rPr>
          <w:i/>
          <w:sz w:val="24"/>
        </w:rPr>
        <w:t xml:space="preserve">Maximum 2-year disallowance. </w:t>
      </w:r>
      <w:r>
        <w:rPr>
          <w:sz w:val="24"/>
        </w:rPr>
        <w:t>The disallowance of increased income of an individual family member who is a person with disabilities as provided in paragraph (c)(1) or (c)(2) of this section is limited to a lifetime 24-month period. The disallowance applies for a maximum of 12 months for disallowance under paragraph (c)(1) of this section and a maximum of 12 months for disallowance under paragraph (c)(2) of this section, during the 24- month period starting from the initial exclusion under paragraph (c)(1) of this</w:t>
      </w:r>
      <w:r>
        <w:rPr>
          <w:spacing w:val="-7"/>
          <w:sz w:val="24"/>
        </w:rPr>
        <w:t xml:space="preserve"> </w:t>
      </w:r>
      <w:r>
        <w:rPr>
          <w:sz w:val="24"/>
        </w:rPr>
        <w:t>section.</w:t>
      </w:r>
    </w:p>
    <w:p w:rsidR="004E13A5" w:rsidRDefault="004E13A5">
      <w:pPr>
        <w:pStyle w:val="BodyText"/>
        <w:spacing w:before="0"/>
        <w:ind w:left="0"/>
      </w:pPr>
    </w:p>
    <w:p w:rsidR="004E13A5" w:rsidRDefault="003263D1">
      <w:pPr>
        <w:pStyle w:val="ListParagraph"/>
        <w:numPr>
          <w:ilvl w:val="1"/>
          <w:numId w:val="65"/>
        </w:numPr>
        <w:tabs>
          <w:tab w:val="left" w:pos="440"/>
        </w:tabs>
        <w:spacing w:before="0"/>
        <w:ind w:left="100" w:right="114" w:firstLine="0"/>
        <w:jc w:val="left"/>
        <w:rPr>
          <w:sz w:val="24"/>
        </w:rPr>
      </w:pPr>
      <w:r>
        <w:rPr>
          <w:noProof/>
        </w:rPr>
        <mc:AlternateContent>
          <mc:Choice Requires="wps">
            <w:drawing>
              <wp:anchor distT="0" distB="0" distL="114300" distR="114300" simplePos="0" relativeHeight="1552" behindDoc="0" locked="0" layoutInCell="1" allowOverlap="1">
                <wp:simplePos x="0" y="0"/>
                <wp:positionH relativeFrom="page">
                  <wp:posOffset>3886835</wp:posOffset>
                </wp:positionH>
                <wp:positionV relativeFrom="paragraph">
                  <wp:posOffset>-2453640</wp:posOffset>
                </wp:positionV>
                <wp:extent cx="0" cy="5222240"/>
                <wp:effectExtent l="10160" t="8890" r="8890" b="7620"/>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22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8A7A" id="Line 50"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193.2pt" to="306.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pXEgIAACo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" strokeweight=".72pt">
                <w10:wrap anchorx="page"/>
              </v:line>
            </w:pict>
          </mc:Fallback>
        </mc:AlternateContent>
      </w:r>
      <w:r w:rsidR="00681463">
        <w:rPr>
          <w:i/>
          <w:sz w:val="24"/>
        </w:rPr>
        <w:t xml:space="preserve">Effect of changes on currently participating families. </w:t>
      </w:r>
      <w:r w:rsidR="00681463">
        <w:rPr>
          <w:sz w:val="24"/>
        </w:rPr>
        <w:t xml:space="preserve">Families eligible for and participating in the disallowance of earned income under this section prior to </w:t>
      </w:r>
      <w:r w:rsidR="00681463">
        <w:rPr>
          <w:i/>
          <w:sz w:val="24"/>
        </w:rPr>
        <w:t>May 9,</w:t>
      </w:r>
      <w:r w:rsidR="00681463">
        <w:rPr>
          <w:i/>
          <w:spacing w:val="-5"/>
          <w:sz w:val="24"/>
        </w:rPr>
        <w:t xml:space="preserve"> </w:t>
      </w:r>
      <w:r w:rsidR="00681463">
        <w:rPr>
          <w:i/>
          <w:sz w:val="24"/>
        </w:rPr>
        <w:t xml:space="preserve">2016 </w:t>
      </w:r>
      <w:r w:rsidR="00681463">
        <w:rPr>
          <w:sz w:val="24"/>
        </w:rPr>
        <w:t>will continue to be governed by this section in effect as it existed immediately prior to that date (see 24 CFR parts 0 to 199, revised as</w:t>
      </w:r>
      <w:r w:rsidR="00681463">
        <w:rPr>
          <w:spacing w:val="-7"/>
          <w:sz w:val="24"/>
        </w:rPr>
        <w:t xml:space="preserve"> </w:t>
      </w:r>
      <w:r w:rsidR="00681463">
        <w:rPr>
          <w:sz w:val="24"/>
        </w:rPr>
        <w:t>of</w:t>
      </w:r>
    </w:p>
    <w:p w:rsidR="004E13A5" w:rsidRDefault="00681463">
      <w:pPr>
        <w:pStyle w:val="BodyText"/>
        <w:spacing w:before="79"/>
      </w:pPr>
      <w:r>
        <w:t>April 1, 2016).</w:t>
      </w:r>
    </w:p>
    <w:p w:rsidR="004E13A5" w:rsidRDefault="00681463">
      <w:pPr>
        <w:pStyle w:val="ListParagraph"/>
        <w:numPr>
          <w:ilvl w:val="0"/>
          <w:numId w:val="65"/>
        </w:numPr>
        <w:tabs>
          <w:tab w:val="left" w:pos="440"/>
        </w:tabs>
        <w:spacing w:before="79"/>
        <w:ind w:left="100" w:right="129" w:firstLine="0"/>
        <w:jc w:val="left"/>
        <w:rPr>
          <w:sz w:val="24"/>
        </w:rPr>
      </w:pPr>
      <w:r>
        <w:rPr>
          <w:i/>
          <w:sz w:val="24"/>
        </w:rPr>
        <w:t xml:space="preserve">Inapplicability to admission. </w:t>
      </w:r>
      <w:r>
        <w:rPr>
          <w:sz w:val="24"/>
        </w:rPr>
        <w:t>The disallowance of increases in income as a</w:t>
      </w:r>
      <w:r>
        <w:rPr>
          <w:spacing w:val="-7"/>
          <w:sz w:val="24"/>
        </w:rPr>
        <w:t xml:space="preserve"> </w:t>
      </w:r>
      <w:r>
        <w:rPr>
          <w:sz w:val="24"/>
        </w:rPr>
        <w:t>result of employment of persons with disabilities under this section does not apply for purposes of admission to the program (including the determination of income eligibility or any income targeting that may be</w:t>
      </w:r>
      <w:r>
        <w:rPr>
          <w:spacing w:val="-8"/>
          <w:sz w:val="24"/>
        </w:rPr>
        <w:t xml:space="preserve"> </w:t>
      </w:r>
      <w:r>
        <w:rPr>
          <w:sz w:val="24"/>
        </w:rPr>
        <w:t>applicable).</w:t>
      </w:r>
    </w:p>
    <w:p w:rsidR="004E13A5" w:rsidRDefault="004E13A5">
      <w:pPr>
        <w:rPr>
          <w:sz w:val="24"/>
        </w:rPr>
        <w:sectPr w:rsidR="004E13A5">
          <w:pgSz w:w="12240" w:h="15840"/>
          <w:pgMar w:top="1360" w:right="1360" w:bottom="460" w:left="1340" w:header="0" w:footer="203" w:gutter="0"/>
          <w:cols w:num="2" w:space="720" w:equalWidth="0">
            <w:col w:w="4265" w:space="560"/>
            <w:col w:w="4715"/>
          </w:cols>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240780" cy="207645"/>
                <wp:effectExtent l="11430" t="12700" r="5715" b="8255"/>
                <wp:docPr id="6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224"/>
                              <w:rPr>
                                <w:b/>
                                <w:sz w:val="24"/>
                              </w:rPr>
                            </w:pPr>
                            <w:r>
                              <w:rPr>
                                <w:b/>
                                <w:sz w:val="24"/>
                              </w:rPr>
                              <w:t>EXHIBIT 6-5: THE EFFECT OF WELFARE BENEFIT REDUCTION</w:t>
                            </w:r>
                          </w:p>
                        </w:txbxContent>
                      </wps:txbx>
                      <wps:bodyPr rot="0" vert="horz" wrap="square" lIns="0" tIns="0" rIns="0" bIns="0" anchor="t" anchorCtr="0" upright="1">
                        <a:noAutofit/>
                      </wps:bodyPr>
                    </wps:wsp>
                  </a:graphicData>
                </a:graphic>
              </wp:inline>
            </w:drawing>
          </mc:Choice>
          <mc:Fallback>
            <w:pict>
              <v:shape id="Text Box 93" o:spid="_x0000_s1038" type="#_x0000_t202" style="width:491.4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" filled="f" strokeweight=".48pt">
                <v:textbox inset="0,0,0,0">
                  <w:txbxContent>
                    <w:p w:rsidR="00BA59C9" w:rsidRDefault="00BA59C9">
                      <w:pPr>
                        <w:spacing w:before="18"/>
                        <w:ind w:left="1224"/>
                        <w:rPr>
                          <w:b/>
                          <w:sz w:val="24"/>
                        </w:rPr>
                      </w:pPr>
                      <w:r>
                        <w:rPr>
                          <w:b/>
                          <w:sz w:val="24"/>
                        </w:rPr>
                        <w:t>EXHIBIT 6-5: THE EFFECT OF WELFARE BENEFIT REDUCTION</w:t>
                      </w:r>
                    </w:p>
                  </w:txbxContent>
                </v:textbox>
                <w10:anchorlock/>
              </v:shape>
            </w:pict>
          </mc:Fallback>
        </mc:AlternateContent>
      </w:r>
    </w:p>
    <w:p w:rsidR="004E13A5" w:rsidRDefault="00681463">
      <w:pPr>
        <w:pStyle w:val="Heading4"/>
        <w:spacing w:before="41"/>
        <w:ind w:left="220"/>
      </w:pPr>
      <w:r>
        <w:t>24 CFR 5.615</w:t>
      </w:r>
    </w:p>
    <w:p w:rsidR="004E13A5" w:rsidRDefault="00681463">
      <w:pPr>
        <w:spacing w:before="79"/>
        <w:ind w:left="220" w:right="260"/>
        <w:rPr>
          <w:b/>
          <w:sz w:val="24"/>
        </w:rPr>
      </w:pPr>
      <w:r>
        <w:rPr>
          <w:b/>
          <w:sz w:val="24"/>
        </w:rPr>
        <w:t>Public housing program and Section 8 tenant-based assistance program: How welfare benefit reduction affects family income.</w:t>
      </w:r>
    </w:p>
    <w:p w:rsidR="004E13A5" w:rsidRDefault="00681463">
      <w:pPr>
        <w:pStyle w:val="ListParagraph"/>
        <w:numPr>
          <w:ilvl w:val="0"/>
          <w:numId w:val="64"/>
        </w:numPr>
        <w:tabs>
          <w:tab w:val="left" w:pos="559"/>
        </w:tabs>
        <w:spacing w:before="79" w:line="242" w:lineRule="auto"/>
        <w:ind w:right="288" w:firstLine="0"/>
        <w:jc w:val="left"/>
        <w:rPr>
          <w:sz w:val="24"/>
        </w:rPr>
      </w:pPr>
      <w:r>
        <w:rPr>
          <w:i/>
          <w:sz w:val="24"/>
        </w:rPr>
        <w:t xml:space="preserve">Applicability. </w:t>
      </w:r>
      <w:r>
        <w:rPr>
          <w:sz w:val="24"/>
        </w:rPr>
        <w:t>This section applies to covered families who reside in public housing (part 960 of this title) or receive Section 8 tenant-based assistance (part 982 of this</w:t>
      </w:r>
      <w:r>
        <w:rPr>
          <w:spacing w:val="-13"/>
          <w:sz w:val="24"/>
        </w:rPr>
        <w:t xml:space="preserve"> </w:t>
      </w:r>
      <w:r>
        <w:rPr>
          <w:sz w:val="24"/>
        </w:rPr>
        <w:t>title).</w:t>
      </w:r>
    </w:p>
    <w:p w:rsidR="004E13A5" w:rsidRDefault="00681463">
      <w:pPr>
        <w:pStyle w:val="ListParagraph"/>
        <w:numPr>
          <w:ilvl w:val="0"/>
          <w:numId w:val="64"/>
        </w:numPr>
        <w:tabs>
          <w:tab w:val="left" w:pos="559"/>
        </w:tabs>
        <w:spacing w:before="76"/>
        <w:ind w:left="558" w:hanging="338"/>
        <w:jc w:val="left"/>
        <w:rPr>
          <w:sz w:val="24"/>
        </w:rPr>
      </w:pPr>
      <w:r>
        <w:rPr>
          <w:i/>
          <w:sz w:val="24"/>
        </w:rPr>
        <w:t xml:space="preserve">Definitions. </w:t>
      </w:r>
      <w:r>
        <w:rPr>
          <w:sz w:val="24"/>
        </w:rPr>
        <w:t>The following definitions apply for purposes of this</w:t>
      </w:r>
      <w:r>
        <w:rPr>
          <w:spacing w:val="-10"/>
          <w:sz w:val="24"/>
        </w:rPr>
        <w:t xml:space="preserve"> </w:t>
      </w:r>
      <w:r>
        <w:rPr>
          <w:sz w:val="24"/>
        </w:rPr>
        <w:t>section:</w:t>
      </w:r>
    </w:p>
    <w:p w:rsidR="004E13A5" w:rsidRDefault="00681463">
      <w:pPr>
        <w:pStyle w:val="BodyText"/>
        <w:spacing w:before="78"/>
        <w:ind w:left="220" w:right="260"/>
      </w:pPr>
      <w:r>
        <w:rPr>
          <w:i/>
        </w:rPr>
        <w:t xml:space="preserve">Covered families. </w:t>
      </w:r>
      <w:r>
        <w:t>Families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w:t>
      </w:r>
    </w:p>
    <w:p w:rsidR="004E13A5" w:rsidRDefault="00681463">
      <w:pPr>
        <w:spacing w:before="79"/>
        <w:ind w:left="220"/>
        <w:rPr>
          <w:sz w:val="24"/>
        </w:rPr>
      </w:pPr>
      <w:r>
        <w:rPr>
          <w:i/>
          <w:sz w:val="24"/>
        </w:rPr>
        <w:t>Economic self-sufficiency program</w:t>
      </w:r>
      <w:r>
        <w:rPr>
          <w:sz w:val="24"/>
        </w:rPr>
        <w:t>. See definition at Sec. 5.603.</w:t>
      </w:r>
    </w:p>
    <w:p w:rsidR="004E13A5" w:rsidRDefault="00681463">
      <w:pPr>
        <w:pStyle w:val="BodyText"/>
        <w:spacing w:before="81"/>
        <w:ind w:left="220" w:right="553"/>
      </w:pPr>
      <w:r>
        <w:rPr>
          <w:i/>
        </w:rPr>
        <w:t xml:space="preserve">Imputed welfare income. </w:t>
      </w:r>
      <w:r>
        <w:t>The amount of annual income not actually received by a family, as a result of a specified welfare benefit reduction, that is nonetheless included in the family's annual income for purposes of determining rent.</w:t>
      </w:r>
    </w:p>
    <w:p w:rsidR="004E13A5" w:rsidRDefault="00681463">
      <w:pPr>
        <w:spacing w:before="78"/>
        <w:ind w:left="220"/>
        <w:rPr>
          <w:i/>
          <w:sz w:val="24"/>
        </w:rPr>
      </w:pPr>
      <w:r>
        <w:rPr>
          <w:i/>
          <w:sz w:val="24"/>
        </w:rPr>
        <w:t>Specified welfare benefit reduction.</w:t>
      </w:r>
    </w:p>
    <w:p w:rsidR="004E13A5" w:rsidRDefault="00681463">
      <w:pPr>
        <w:pStyle w:val="ListParagraph"/>
        <w:numPr>
          <w:ilvl w:val="1"/>
          <w:numId w:val="64"/>
        </w:numPr>
        <w:tabs>
          <w:tab w:val="left" w:pos="559"/>
        </w:tabs>
        <w:spacing w:before="78"/>
        <w:ind w:right="256" w:firstLine="0"/>
        <w:rPr>
          <w:sz w:val="24"/>
        </w:rPr>
      </w:pPr>
      <w:r>
        <w:rPr>
          <w:sz w:val="24"/>
        </w:rPr>
        <w:t xml:space="preserve">A reduction of welfare benefits </w:t>
      </w:r>
      <w:r>
        <w:rPr>
          <w:spacing w:val="2"/>
          <w:sz w:val="24"/>
        </w:rPr>
        <w:t xml:space="preserve">by </w:t>
      </w:r>
      <w:r>
        <w:rPr>
          <w:sz w:val="24"/>
        </w:rPr>
        <w:t>the welfare agency, in whole or in part, for a family</w:t>
      </w:r>
      <w:r>
        <w:rPr>
          <w:spacing w:val="-18"/>
          <w:sz w:val="24"/>
        </w:rPr>
        <w:t xml:space="preserve"> </w:t>
      </w:r>
      <w:r>
        <w:rPr>
          <w:sz w:val="24"/>
        </w:rPr>
        <w:t>member, as determined by the welfare agency, because of fraud by a family member in connection with the welfare program; or because of welfare agency sanction against a family member for noncompliance with a welfare agency requirement to participate in an economic self-sufficiency program.</w:t>
      </w:r>
    </w:p>
    <w:p w:rsidR="004E13A5" w:rsidRDefault="00681463">
      <w:pPr>
        <w:pStyle w:val="ListParagraph"/>
        <w:numPr>
          <w:ilvl w:val="1"/>
          <w:numId w:val="64"/>
        </w:numPr>
        <w:tabs>
          <w:tab w:val="left" w:pos="559"/>
        </w:tabs>
        <w:spacing w:before="78" w:line="242" w:lineRule="auto"/>
        <w:ind w:right="688" w:firstLine="0"/>
        <w:rPr>
          <w:sz w:val="24"/>
        </w:rPr>
      </w:pPr>
      <w:r>
        <w:rPr>
          <w:sz w:val="24"/>
        </w:rPr>
        <w:t>"Specified welfare benefit reduction'' does not include a reduction or termination of</w:t>
      </w:r>
      <w:r>
        <w:rPr>
          <w:spacing w:val="-16"/>
          <w:sz w:val="24"/>
        </w:rPr>
        <w:t xml:space="preserve"> </w:t>
      </w:r>
      <w:r>
        <w:rPr>
          <w:sz w:val="24"/>
        </w:rPr>
        <w:t xml:space="preserve">welfare benefits </w:t>
      </w:r>
      <w:r>
        <w:rPr>
          <w:spacing w:val="2"/>
          <w:sz w:val="24"/>
        </w:rPr>
        <w:t xml:space="preserve">by </w:t>
      </w:r>
      <w:r>
        <w:rPr>
          <w:sz w:val="24"/>
        </w:rPr>
        <w:t>the welfare</w:t>
      </w:r>
      <w:r>
        <w:rPr>
          <w:spacing w:val="-14"/>
          <w:sz w:val="24"/>
        </w:rPr>
        <w:t xml:space="preserve"> </w:t>
      </w:r>
      <w:r>
        <w:rPr>
          <w:sz w:val="24"/>
        </w:rPr>
        <w:t>agency:</w:t>
      </w:r>
    </w:p>
    <w:p w:rsidR="004E13A5" w:rsidRDefault="00681463">
      <w:pPr>
        <w:pStyle w:val="ListParagraph"/>
        <w:numPr>
          <w:ilvl w:val="2"/>
          <w:numId w:val="64"/>
        </w:numPr>
        <w:tabs>
          <w:tab w:val="left" w:pos="507"/>
        </w:tabs>
        <w:spacing w:before="76"/>
        <w:ind w:firstLine="0"/>
        <w:rPr>
          <w:sz w:val="24"/>
        </w:rPr>
      </w:pPr>
      <w:r>
        <w:rPr>
          <w:sz w:val="24"/>
        </w:rPr>
        <w:t>at expiration of a lifetime or other time limit on the payment of welfare</w:t>
      </w:r>
      <w:r>
        <w:rPr>
          <w:spacing w:val="-11"/>
          <w:sz w:val="24"/>
        </w:rPr>
        <w:t xml:space="preserve"> </w:t>
      </w:r>
      <w:r>
        <w:rPr>
          <w:sz w:val="24"/>
        </w:rPr>
        <w:t>benefits;</w:t>
      </w:r>
    </w:p>
    <w:p w:rsidR="004E13A5" w:rsidRDefault="00681463">
      <w:pPr>
        <w:pStyle w:val="ListParagraph"/>
        <w:numPr>
          <w:ilvl w:val="2"/>
          <w:numId w:val="64"/>
        </w:numPr>
        <w:tabs>
          <w:tab w:val="left" w:pos="574"/>
        </w:tabs>
        <w:spacing w:before="79"/>
        <w:ind w:right="232" w:firstLine="0"/>
        <w:rPr>
          <w:sz w:val="24"/>
        </w:rPr>
      </w:pPr>
      <w:r>
        <w:rPr>
          <w:sz w:val="24"/>
        </w:rPr>
        <w:t>because a family member is not able to obtain employment, even though the family member</w:t>
      </w:r>
      <w:r>
        <w:rPr>
          <w:spacing w:val="-20"/>
          <w:sz w:val="24"/>
        </w:rPr>
        <w:t xml:space="preserve"> </w:t>
      </w:r>
      <w:r>
        <w:rPr>
          <w:sz w:val="24"/>
        </w:rPr>
        <w:t>has complied with welfare agency economic self-sufficiency or work activities requirements;</w:t>
      </w:r>
      <w:r>
        <w:rPr>
          <w:spacing w:val="-17"/>
          <w:sz w:val="24"/>
        </w:rPr>
        <w:t xml:space="preserve"> </w:t>
      </w:r>
      <w:r>
        <w:rPr>
          <w:sz w:val="24"/>
        </w:rPr>
        <w:t>or</w:t>
      </w:r>
    </w:p>
    <w:p w:rsidR="004E13A5" w:rsidRDefault="00681463">
      <w:pPr>
        <w:pStyle w:val="ListParagraph"/>
        <w:numPr>
          <w:ilvl w:val="2"/>
          <w:numId w:val="64"/>
        </w:numPr>
        <w:tabs>
          <w:tab w:val="left" w:pos="641"/>
        </w:tabs>
        <w:spacing w:before="79"/>
        <w:ind w:left="640" w:hanging="420"/>
        <w:rPr>
          <w:sz w:val="24"/>
        </w:rPr>
      </w:pPr>
      <w:r>
        <w:rPr>
          <w:sz w:val="24"/>
        </w:rPr>
        <w:t>because a family member has not complied with other welfare agency</w:t>
      </w:r>
      <w:r>
        <w:rPr>
          <w:spacing w:val="-18"/>
          <w:sz w:val="24"/>
        </w:rPr>
        <w:t xml:space="preserve"> </w:t>
      </w:r>
      <w:r>
        <w:rPr>
          <w:sz w:val="24"/>
        </w:rPr>
        <w:t>requirements.</w:t>
      </w:r>
    </w:p>
    <w:p w:rsidR="004E13A5" w:rsidRDefault="00681463">
      <w:pPr>
        <w:pStyle w:val="ListParagraph"/>
        <w:numPr>
          <w:ilvl w:val="0"/>
          <w:numId w:val="64"/>
        </w:numPr>
        <w:tabs>
          <w:tab w:val="left" w:pos="545"/>
        </w:tabs>
        <w:spacing w:before="81"/>
        <w:ind w:left="544" w:hanging="324"/>
        <w:jc w:val="left"/>
        <w:rPr>
          <w:i/>
          <w:sz w:val="24"/>
        </w:rPr>
      </w:pPr>
      <w:r>
        <w:rPr>
          <w:i/>
          <w:sz w:val="24"/>
        </w:rPr>
        <w:t>Imputed welfare</w:t>
      </w:r>
      <w:r>
        <w:rPr>
          <w:i/>
          <w:spacing w:val="-4"/>
          <w:sz w:val="24"/>
        </w:rPr>
        <w:t xml:space="preserve"> </w:t>
      </w:r>
      <w:r>
        <w:rPr>
          <w:i/>
          <w:sz w:val="24"/>
        </w:rPr>
        <w:t>income.</w:t>
      </w:r>
    </w:p>
    <w:p w:rsidR="004E13A5" w:rsidRDefault="00681463">
      <w:pPr>
        <w:pStyle w:val="ListParagraph"/>
        <w:numPr>
          <w:ilvl w:val="1"/>
          <w:numId w:val="64"/>
        </w:numPr>
        <w:tabs>
          <w:tab w:val="left" w:pos="559"/>
        </w:tabs>
        <w:spacing w:before="78"/>
        <w:ind w:right="335" w:firstLine="0"/>
        <w:rPr>
          <w:sz w:val="24"/>
        </w:rPr>
      </w:pPr>
      <w:r>
        <w:rPr>
          <w:sz w:val="24"/>
        </w:rPr>
        <w:t>A family's annual income includes the amount of imputed welfare income (because of a specified welfare benefits reduction, as specified in notice to the PHA by the welfare agency),</w:t>
      </w:r>
      <w:r>
        <w:rPr>
          <w:spacing w:val="-16"/>
          <w:sz w:val="24"/>
        </w:rPr>
        <w:t xml:space="preserve"> </w:t>
      </w:r>
      <w:r>
        <w:rPr>
          <w:sz w:val="24"/>
        </w:rPr>
        <w:t>plus the total amount of other annual income as determined in accordance with Sec.</w:t>
      </w:r>
      <w:r>
        <w:rPr>
          <w:spacing w:val="-12"/>
          <w:sz w:val="24"/>
        </w:rPr>
        <w:t xml:space="preserve"> </w:t>
      </w:r>
      <w:r>
        <w:rPr>
          <w:sz w:val="24"/>
        </w:rPr>
        <w:t>5.609.</w:t>
      </w:r>
    </w:p>
    <w:p w:rsidR="004E13A5" w:rsidRDefault="00681463">
      <w:pPr>
        <w:pStyle w:val="ListParagraph"/>
        <w:numPr>
          <w:ilvl w:val="1"/>
          <w:numId w:val="64"/>
        </w:numPr>
        <w:tabs>
          <w:tab w:val="left" w:pos="559"/>
        </w:tabs>
        <w:spacing w:before="78"/>
        <w:ind w:right="377" w:firstLine="0"/>
        <w:rPr>
          <w:sz w:val="24"/>
        </w:rPr>
      </w:pPr>
      <w:r>
        <w:rPr>
          <w:sz w:val="24"/>
        </w:rPr>
        <w:t>At the request of the PHA, the welfare agency will inform the PHA in writing of the amount and term of any specified welfare benefit reduction for a family member, and the reason for such reduction, and will also inform the PHA of any subsequent changes in the term or amount of such specified welfare benefit reduction. The PHA will use this information to determine the amount</w:t>
      </w:r>
      <w:r>
        <w:rPr>
          <w:spacing w:val="-17"/>
          <w:sz w:val="24"/>
        </w:rPr>
        <w:t xml:space="preserve"> </w:t>
      </w:r>
      <w:r>
        <w:rPr>
          <w:sz w:val="24"/>
        </w:rPr>
        <w:t>of imputed welfare income for a</w:t>
      </w:r>
      <w:r>
        <w:rPr>
          <w:spacing w:val="-10"/>
          <w:sz w:val="24"/>
        </w:rPr>
        <w:t xml:space="preserve"> </w:t>
      </w:r>
      <w:r>
        <w:rPr>
          <w:sz w:val="24"/>
        </w:rPr>
        <w:t>family.</w:t>
      </w:r>
    </w:p>
    <w:p w:rsidR="004E13A5" w:rsidRDefault="00681463">
      <w:pPr>
        <w:pStyle w:val="ListParagraph"/>
        <w:numPr>
          <w:ilvl w:val="1"/>
          <w:numId w:val="64"/>
        </w:numPr>
        <w:tabs>
          <w:tab w:val="left" w:pos="559"/>
        </w:tabs>
        <w:spacing w:before="78"/>
        <w:ind w:right="399" w:firstLine="0"/>
        <w:rPr>
          <w:sz w:val="24"/>
        </w:rPr>
      </w:pPr>
      <w:r>
        <w:rPr>
          <w:sz w:val="24"/>
        </w:rPr>
        <w:t>A family's annual income includes imputed welfare income in family annual income, as determined at the PHA's interim or regular reexamination of family income and composition, during the term of the welfare benefits reduction (as specified in information provided to the PHA by the welfare</w:t>
      </w:r>
      <w:r>
        <w:rPr>
          <w:spacing w:val="-7"/>
          <w:sz w:val="24"/>
        </w:rPr>
        <w:t xml:space="preserve"> </w:t>
      </w:r>
      <w:r>
        <w:rPr>
          <w:sz w:val="24"/>
        </w:rPr>
        <w:t>agency).</w:t>
      </w:r>
    </w:p>
    <w:p w:rsidR="004E13A5" w:rsidRDefault="004E13A5">
      <w:pPr>
        <w:rPr>
          <w:sz w:val="24"/>
        </w:rPr>
        <w:sectPr w:rsidR="004E13A5">
          <w:footerReference w:type="default" r:id="rId36"/>
          <w:pgSz w:w="12240" w:h="15840"/>
          <w:pgMar w:top="1460" w:right="1100" w:bottom="1180" w:left="1100" w:header="0" w:footer="998" w:gutter="0"/>
          <w:pgNumType w:start="156"/>
          <w:cols w:space="720"/>
        </w:sectPr>
      </w:pPr>
    </w:p>
    <w:p w:rsidR="004E13A5" w:rsidRDefault="00681463">
      <w:pPr>
        <w:pStyle w:val="ListParagraph"/>
        <w:numPr>
          <w:ilvl w:val="1"/>
          <w:numId w:val="64"/>
        </w:numPr>
        <w:tabs>
          <w:tab w:val="left" w:pos="439"/>
        </w:tabs>
        <w:spacing w:before="79"/>
        <w:ind w:left="100" w:right="542" w:firstLine="0"/>
        <w:rPr>
          <w:sz w:val="24"/>
        </w:rPr>
      </w:pPr>
      <w:r>
        <w:rPr>
          <w:sz w:val="24"/>
        </w:rPr>
        <w:lastRenderedPageBreak/>
        <w:t xml:space="preserve">The amount of the imputed welfare income is offset </w:t>
      </w:r>
      <w:r>
        <w:rPr>
          <w:spacing w:val="2"/>
          <w:sz w:val="24"/>
        </w:rPr>
        <w:t xml:space="preserve">by </w:t>
      </w:r>
      <w:r>
        <w:rPr>
          <w:sz w:val="24"/>
        </w:rPr>
        <w:t>the amount of additional income a family receives that commences after the time the sanction was imposed. When such</w:t>
      </w:r>
      <w:r>
        <w:rPr>
          <w:spacing w:val="-14"/>
          <w:sz w:val="24"/>
        </w:rPr>
        <w:t xml:space="preserve"> </w:t>
      </w:r>
      <w:r>
        <w:rPr>
          <w:sz w:val="24"/>
        </w:rPr>
        <w:t>additional income from other sources is at least equal to the</w:t>
      </w:r>
      <w:r>
        <w:rPr>
          <w:spacing w:val="-9"/>
          <w:sz w:val="24"/>
        </w:rPr>
        <w:t xml:space="preserve"> </w:t>
      </w:r>
      <w:r>
        <w:rPr>
          <w:sz w:val="24"/>
        </w:rPr>
        <w:t>imputed</w:t>
      </w:r>
    </w:p>
    <w:p w:rsidR="004E13A5" w:rsidRDefault="00681463">
      <w:pPr>
        <w:pStyle w:val="ListParagraph"/>
        <w:numPr>
          <w:ilvl w:val="1"/>
          <w:numId w:val="64"/>
        </w:numPr>
        <w:tabs>
          <w:tab w:val="left" w:pos="439"/>
        </w:tabs>
        <w:spacing w:before="79"/>
        <w:ind w:left="100" w:right="405" w:firstLine="0"/>
        <w:rPr>
          <w:sz w:val="24"/>
        </w:rPr>
      </w:pPr>
      <w:r>
        <w:rPr>
          <w:sz w:val="24"/>
        </w:rPr>
        <w:t>The PHA may not include imputed welfare income in annual income if the family was not</w:t>
      </w:r>
      <w:r>
        <w:rPr>
          <w:spacing w:val="-18"/>
          <w:sz w:val="24"/>
        </w:rPr>
        <w:t xml:space="preserve"> </w:t>
      </w:r>
      <w:r>
        <w:rPr>
          <w:sz w:val="24"/>
        </w:rPr>
        <w:t>an assisted resident at the time of</w:t>
      </w:r>
      <w:r>
        <w:rPr>
          <w:spacing w:val="-7"/>
          <w:sz w:val="24"/>
        </w:rPr>
        <w:t xml:space="preserve"> </w:t>
      </w:r>
      <w:r>
        <w:rPr>
          <w:sz w:val="24"/>
        </w:rPr>
        <w:t>sanction.</w:t>
      </w:r>
    </w:p>
    <w:p w:rsidR="004E13A5" w:rsidRDefault="00681463">
      <w:pPr>
        <w:pStyle w:val="ListParagraph"/>
        <w:numPr>
          <w:ilvl w:val="0"/>
          <w:numId w:val="64"/>
        </w:numPr>
        <w:tabs>
          <w:tab w:val="left" w:pos="439"/>
        </w:tabs>
        <w:spacing w:before="79"/>
        <w:ind w:left="438" w:hanging="338"/>
        <w:jc w:val="left"/>
        <w:rPr>
          <w:i/>
          <w:sz w:val="24"/>
        </w:rPr>
      </w:pPr>
      <w:r>
        <w:rPr>
          <w:i/>
          <w:sz w:val="24"/>
        </w:rPr>
        <w:t>Review of PHA</w:t>
      </w:r>
      <w:r>
        <w:rPr>
          <w:i/>
          <w:spacing w:val="-3"/>
          <w:sz w:val="24"/>
        </w:rPr>
        <w:t xml:space="preserve"> </w:t>
      </w:r>
      <w:r>
        <w:rPr>
          <w:i/>
          <w:sz w:val="24"/>
        </w:rPr>
        <w:t>decision.</w:t>
      </w:r>
    </w:p>
    <w:p w:rsidR="004E13A5" w:rsidRDefault="00681463">
      <w:pPr>
        <w:pStyle w:val="ListParagraph"/>
        <w:numPr>
          <w:ilvl w:val="1"/>
          <w:numId w:val="64"/>
        </w:numPr>
        <w:tabs>
          <w:tab w:val="left" w:pos="439"/>
        </w:tabs>
        <w:spacing w:before="81"/>
        <w:ind w:left="100" w:right="108" w:firstLine="0"/>
        <w:rPr>
          <w:sz w:val="24"/>
        </w:rPr>
      </w:pPr>
      <w:r>
        <w:rPr>
          <w:sz w:val="24"/>
        </w:rPr>
        <w:t>Public housing. If a public housing tenant claims that the PHA has not correctly calculated the amount of imputed welfare income in accordance with HUD requirements, and if the PHA denies the family's request to modify such amount, the PHA shall give the tenant written notice of such denial, with a brief explanation of the basis for the PHA determination of the amount of imputed welfare income. The PHA notice shall also state that if the tenant does not agree with the PHA determination, the tenant may request a grievance hearing in accordance with part 966, subpart B of this title to review the PHA determination. The tenant is not required to pay an escrow deposit pursuant to Sec. 966.55(e) for the portion of tenant rent attributable to the imputed welfare income in order to obtain a grievance hearing on the PHA</w:t>
      </w:r>
      <w:r>
        <w:rPr>
          <w:spacing w:val="-12"/>
          <w:sz w:val="24"/>
        </w:rPr>
        <w:t xml:space="preserve"> </w:t>
      </w:r>
      <w:r>
        <w:rPr>
          <w:sz w:val="24"/>
        </w:rPr>
        <w:t>determination.</w:t>
      </w:r>
    </w:p>
    <w:p w:rsidR="004E13A5" w:rsidRDefault="00681463">
      <w:pPr>
        <w:pStyle w:val="ListParagraph"/>
        <w:numPr>
          <w:ilvl w:val="1"/>
          <w:numId w:val="64"/>
        </w:numPr>
        <w:tabs>
          <w:tab w:val="left" w:pos="439"/>
        </w:tabs>
        <w:spacing w:before="78"/>
        <w:ind w:left="100" w:right="124" w:firstLine="0"/>
        <w:rPr>
          <w:sz w:val="24"/>
        </w:rPr>
      </w:pPr>
      <w:r>
        <w:rPr>
          <w:sz w:val="24"/>
        </w:rPr>
        <w:t>Section 8 participant. A participant in the Section 8 tenant-based assistance program may request an informal hearing, in accordance with Sec. 982.555 of this title, to review the PHA determination of the amount of imputed welfare income that must be included in the family's annual income in accordance with this section. If the family claims that such amount is not correctly calculated in accordance with HUD requirements, and if the PHA denies the family's request to modify such amount, the PHA shall give the family written notice of such denial, with a brief explanation of the basis for the PHA determination of the amount of imputed welfare income. Such notice shall also state that if the family does not agree with the PHA determination, the family may request an informal hearing on the determination under the PHA hearing</w:t>
      </w:r>
      <w:r>
        <w:rPr>
          <w:spacing w:val="-17"/>
          <w:sz w:val="24"/>
        </w:rPr>
        <w:t xml:space="preserve"> </w:t>
      </w:r>
      <w:r>
        <w:rPr>
          <w:sz w:val="24"/>
        </w:rPr>
        <w:t>procedure.</w:t>
      </w:r>
    </w:p>
    <w:p w:rsidR="004E13A5" w:rsidRDefault="00681463">
      <w:pPr>
        <w:pStyle w:val="ListParagraph"/>
        <w:numPr>
          <w:ilvl w:val="0"/>
          <w:numId w:val="64"/>
        </w:numPr>
        <w:tabs>
          <w:tab w:val="left" w:pos="425"/>
        </w:tabs>
        <w:spacing w:before="78"/>
        <w:ind w:left="424" w:hanging="324"/>
        <w:jc w:val="left"/>
        <w:rPr>
          <w:i/>
          <w:sz w:val="24"/>
        </w:rPr>
      </w:pPr>
      <w:r>
        <w:rPr>
          <w:i/>
          <w:sz w:val="24"/>
        </w:rPr>
        <w:t>PHA relation with welfare</w:t>
      </w:r>
      <w:r>
        <w:rPr>
          <w:i/>
          <w:spacing w:val="-10"/>
          <w:sz w:val="24"/>
        </w:rPr>
        <w:t xml:space="preserve"> </w:t>
      </w:r>
      <w:r>
        <w:rPr>
          <w:i/>
          <w:sz w:val="24"/>
        </w:rPr>
        <w:t>agency.</w:t>
      </w:r>
    </w:p>
    <w:p w:rsidR="004E13A5" w:rsidRDefault="00681463">
      <w:pPr>
        <w:pStyle w:val="ListParagraph"/>
        <w:numPr>
          <w:ilvl w:val="1"/>
          <w:numId w:val="64"/>
        </w:numPr>
        <w:tabs>
          <w:tab w:val="left" w:pos="439"/>
        </w:tabs>
        <w:spacing w:before="79"/>
        <w:ind w:left="100" w:right="338" w:firstLine="0"/>
        <w:rPr>
          <w:sz w:val="24"/>
        </w:rPr>
      </w:pPr>
      <w:r>
        <w:rPr>
          <w:sz w:val="24"/>
        </w:rPr>
        <w:t>The PHA must ask welfare agencies to inform the PHA of any specified welfare benefits reduction for a family member, the reason for such reduction, the term of any such reduction,</w:t>
      </w:r>
      <w:r>
        <w:rPr>
          <w:spacing w:val="-16"/>
          <w:sz w:val="24"/>
        </w:rPr>
        <w:t xml:space="preserve"> </w:t>
      </w:r>
      <w:r>
        <w:rPr>
          <w:sz w:val="24"/>
        </w:rPr>
        <w:t>and any subsequent welfare agency determination affecting the amount or term of a specified welfare benefits reduction. If the welfare agency determines a specified welfare benefits reduction for a family member, and gives the PHA written notice of such reduction, the family's annual incomes shall include the imputed welfare income because of the specified welfare benefits</w:t>
      </w:r>
      <w:r>
        <w:rPr>
          <w:spacing w:val="-15"/>
          <w:sz w:val="24"/>
        </w:rPr>
        <w:t xml:space="preserve"> </w:t>
      </w:r>
      <w:r>
        <w:rPr>
          <w:sz w:val="24"/>
        </w:rPr>
        <w:t>reduction.</w:t>
      </w:r>
    </w:p>
    <w:p w:rsidR="004E13A5" w:rsidRDefault="00681463">
      <w:pPr>
        <w:pStyle w:val="ListParagraph"/>
        <w:numPr>
          <w:ilvl w:val="1"/>
          <w:numId w:val="64"/>
        </w:numPr>
        <w:tabs>
          <w:tab w:val="left" w:pos="499"/>
        </w:tabs>
        <w:spacing w:before="79"/>
        <w:ind w:left="100" w:right="141" w:firstLine="60"/>
        <w:rPr>
          <w:sz w:val="24"/>
        </w:rPr>
      </w:pPr>
      <w:r>
        <w:rPr>
          <w:sz w:val="24"/>
        </w:rPr>
        <w:t>The PHA is responsible for determining the amount of imputed welfare income that is included in the family's annual income as a result of a specified welfare benefits reduction as determined by the welfare agency, and specified in the notice by the welfare agency to the PHA. However, the PHA is not responsible for determining whether a reduction of welfare benefits by the welfare agency was correctly determined by the welfare agency in accordance with welfare program requirements and procedures, nor for providing the opportunity for review or hearing on such welfare agency</w:t>
      </w:r>
      <w:r>
        <w:rPr>
          <w:spacing w:val="-8"/>
          <w:sz w:val="24"/>
        </w:rPr>
        <w:t xml:space="preserve"> </w:t>
      </w:r>
      <w:r>
        <w:rPr>
          <w:sz w:val="24"/>
        </w:rPr>
        <w:t>determinations.</w:t>
      </w:r>
    </w:p>
    <w:p w:rsidR="004E13A5" w:rsidRDefault="00681463">
      <w:pPr>
        <w:pStyle w:val="ListParagraph"/>
        <w:numPr>
          <w:ilvl w:val="1"/>
          <w:numId w:val="64"/>
        </w:numPr>
        <w:tabs>
          <w:tab w:val="left" w:pos="499"/>
        </w:tabs>
        <w:spacing w:before="79"/>
        <w:ind w:left="100" w:right="102" w:firstLine="60"/>
        <w:rPr>
          <w:sz w:val="24"/>
        </w:rPr>
      </w:pPr>
      <w:r>
        <w:rPr>
          <w:sz w:val="24"/>
        </w:rPr>
        <w:t>Such welfare agency determinations are the responsibility of the welfare agency, and the family may seek appeal of such determinations through the welfare agency's normal due process procedures. The PHA shall be entitled to rely on the welfare agency notice to the PHA of the welfare agency's determination of a specified welfare benefits</w:t>
      </w:r>
      <w:r>
        <w:rPr>
          <w:spacing w:val="-16"/>
          <w:sz w:val="24"/>
        </w:rPr>
        <w:t xml:space="preserve"> </w:t>
      </w:r>
      <w:r>
        <w:rPr>
          <w:sz w:val="24"/>
        </w:rPr>
        <w:t>reduction.</w:t>
      </w:r>
    </w:p>
    <w:p w:rsidR="004E13A5" w:rsidRDefault="004E13A5">
      <w:pPr>
        <w:rPr>
          <w:sz w:val="24"/>
        </w:rPr>
        <w:sectPr w:rsidR="004E13A5">
          <w:pgSz w:w="12240" w:h="15840"/>
          <w:pgMar w:top="1000" w:right="1220" w:bottom="1240" w:left="1220" w:header="0" w:footer="998" w:gutter="0"/>
          <w:cols w:space="720"/>
        </w:sectPr>
      </w:pPr>
    </w:p>
    <w:p w:rsidR="004E13A5" w:rsidRDefault="00681463">
      <w:pPr>
        <w:pStyle w:val="Heading4"/>
        <w:spacing w:before="78"/>
        <w:ind w:left="201" w:right="202"/>
        <w:jc w:val="center"/>
      </w:pPr>
      <w:r>
        <w:lastRenderedPageBreak/>
        <w:t>Chapter 7</w:t>
      </w:r>
    </w:p>
    <w:p w:rsidR="004E13A5" w:rsidRDefault="004E13A5">
      <w:pPr>
        <w:pStyle w:val="BodyText"/>
        <w:spacing w:before="10"/>
        <w:ind w:left="0"/>
        <w:rPr>
          <w:b/>
          <w:sz w:val="20"/>
        </w:rPr>
      </w:pPr>
    </w:p>
    <w:p w:rsidR="004E13A5" w:rsidRDefault="00681463">
      <w:pPr>
        <w:ind w:left="201" w:right="199"/>
        <w:jc w:val="center"/>
        <w:rPr>
          <w:b/>
          <w:sz w:val="24"/>
        </w:rPr>
      </w:pPr>
      <w:r>
        <w:rPr>
          <w:b/>
          <w:sz w:val="24"/>
        </w:rPr>
        <w:t>VERIFICATION</w:t>
      </w:r>
    </w:p>
    <w:p w:rsidR="004E13A5" w:rsidRDefault="00681463">
      <w:pPr>
        <w:pStyle w:val="BodyText"/>
        <w:spacing w:before="0"/>
        <w:ind w:left="1396"/>
      </w:pPr>
      <w:r>
        <w:t>[24 CFR 982.516, 24 CFR 982.551, 24 CFR 5.230, Notice PIH 2018-18]</w:t>
      </w:r>
    </w:p>
    <w:p w:rsidR="004E13A5" w:rsidRDefault="004E13A5">
      <w:pPr>
        <w:pStyle w:val="BodyText"/>
        <w:spacing w:before="10"/>
        <w:ind w:left="0"/>
        <w:rPr>
          <w:sz w:val="20"/>
        </w:rPr>
      </w:pPr>
    </w:p>
    <w:p w:rsidR="004E13A5" w:rsidRDefault="00681463">
      <w:pPr>
        <w:pStyle w:val="Heading4"/>
      </w:pPr>
      <w:r>
        <w:t>INTRODUCTION</w:t>
      </w:r>
    </w:p>
    <w:p w:rsidR="004E13A5" w:rsidRDefault="00681463">
      <w:pPr>
        <w:pStyle w:val="BodyText"/>
        <w:spacing w:before="120"/>
        <w:ind w:right="196"/>
      </w:pPr>
      <w:r>
        <w:t>The PHA must verify all information that is used to establish the family’s eligibility and level of assistance and is required to obtain written authorization from the family in order to collect the information. Applicants and program participants must cooperate with the verification process as a condition of receiving assistance. The PHA must not pass on the cost of verification to the family.</w:t>
      </w:r>
    </w:p>
    <w:p w:rsidR="004E13A5" w:rsidRDefault="00681463">
      <w:pPr>
        <w:pStyle w:val="BodyText"/>
        <w:spacing w:before="120"/>
        <w:ind w:right="342"/>
      </w:pPr>
      <w:r>
        <w:t>The PHA will follow the verification guidance provided by HUD in Notice PIH 2018-18 and any subsequent guidance issued by HUD. This chapter summarizes those requirements and provides supplementary PHA policies.</w:t>
      </w:r>
    </w:p>
    <w:p w:rsidR="004E13A5" w:rsidRDefault="00681463">
      <w:pPr>
        <w:pStyle w:val="BodyText"/>
        <w:spacing w:before="120"/>
      </w:pPr>
      <w:r>
        <w:t>Part I describes the general verification process. Part II provides more detailed requirements related to family information. Part III provides information on income and assets, and Part IV covers mandatory deductions.</w:t>
      </w:r>
    </w:p>
    <w:p w:rsidR="004E13A5" w:rsidRDefault="00681463">
      <w:pPr>
        <w:pStyle w:val="BodyText"/>
        <w:ind w:right="183"/>
      </w:pPr>
      <w:r>
        <w:t>Verification policies, rules and procedures will be modified as needed to accommodate persons with disabilities. All information obtained through the verification process will be handled in accordance with the records management policies of the PHA.</w:t>
      </w:r>
    </w:p>
    <w:p w:rsidR="00727C13" w:rsidRPr="00D06965" w:rsidRDefault="00727C13" w:rsidP="00727C13">
      <w:r w:rsidRPr="00D06965">
        <w:t>The PHA must follow Notice</w:t>
      </w:r>
      <w:r w:rsidRPr="00D06965" w:rsidDel="009C58A3">
        <w:t xml:space="preserve"> </w:t>
      </w:r>
      <w:r w:rsidRPr="00D06965">
        <w:t xml:space="preserve">PIH </w:t>
      </w:r>
      <w:r>
        <w:t>2023-27,</w:t>
      </w:r>
      <w:r w:rsidRPr="00D06965">
        <w:t xml:space="preserve"> and this chapter summarizes those requirements and provides supplementary PHA policies</w:t>
      </w:r>
    </w:p>
    <w:p w:rsidR="00727C13" w:rsidRDefault="00727C13">
      <w:pPr>
        <w:pStyle w:val="BodyText"/>
        <w:ind w:right="183"/>
      </w:pPr>
    </w:p>
    <w:p w:rsidR="004E13A5" w:rsidRDefault="004E13A5">
      <w:pPr>
        <w:pStyle w:val="BodyText"/>
        <w:spacing w:before="9"/>
        <w:ind w:left="0"/>
        <w:rPr>
          <w:sz w:val="20"/>
        </w:rPr>
      </w:pPr>
    </w:p>
    <w:p w:rsidR="004E13A5" w:rsidRDefault="00681463">
      <w:pPr>
        <w:pStyle w:val="Heading4"/>
        <w:ind w:left="201" w:right="201"/>
        <w:jc w:val="center"/>
      </w:pPr>
      <w:r>
        <w:t>PART I: GENERAL VERIFICATION REQUIREMENTS</w:t>
      </w:r>
    </w:p>
    <w:p w:rsidR="004E13A5" w:rsidRDefault="004E13A5">
      <w:pPr>
        <w:pStyle w:val="BodyText"/>
        <w:spacing w:before="9"/>
        <w:ind w:left="0"/>
        <w:rPr>
          <w:b/>
          <w:sz w:val="20"/>
        </w:rPr>
      </w:pPr>
    </w:p>
    <w:p w:rsidR="003D3A42" w:rsidRPr="00D06965" w:rsidRDefault="003D3A42" w:rsidP="003D3A42">
      <w:pPr>
        <w:spacing w:before="240"/>
        <w:rPr>
          <w:b/>
        </w:rPr>
      </w:pPr>
      <w:r w:rsidRPr="00D06965">
        <w:rPr>
          <w:b/>
        </w:rPr>
        <w:t xml:space="preserve">7-I.A. FAMILY CONSENT TO RELEASE OF INFORMATION </w:t>
      </w:r>
      <w:r w:rsidRPr="000F4CC2">
        <w:rPr>
          <w:b/>
        </w:rPr>
        <w:t>[24 CFR 982.516 and 982.551, 24 CFR 5.230</w:t>
      </w:r>
      <w:r>
        <w:rPr>
          <w:b/>
        </w:rPr>
        <w:t>, and Notice PIH 2023-27</w:t>
      </w:r>
      <w:r w:rsidRPr="000F4CC2">
        <w:rPr>
          <w:b/>
        </w:rPr>
        <w:t>]</w:t>
      </w:r>
    </w:p>
    <w:p w:rsidR="004E13A5" w:rsidRDefault="00681463">
      <w:pPr>
        <w:pStyle w:val="BodyText"/>
        <w:spacing w:before="120"/>
        <w:ind w:right="361"/>
      </w:pPr>
      <w:r>
        <w:t>The family must supply any information that the PHA or HUD determines is necessary to the administration of the program and must consent to PHA verification of that information [24 CFR 982.551].</w:t>
      </w:r>
    </w:p>
    <w:p w:rsidR="004E13A5" w:rsidRDefault="00681463">
      <w:pPr>
        <w:pStyle w:val="Heading4"/>
        <w:spacing w:before="119"/>
      </w:pPr>
      <w:r>
        <w:t>Consent Forms</w:t>
      </w:r>
    </w:p>
    <w:p w:rsidR="004E13A5" w:rsidRDefault="00681463">
      <w:pPr>
        <w:pStyle w:val="BodyText"/>
        <w:ind w:right="100"/>
      </w:pPr>
      <w:r>
        <w:t>It is required that all adult applicants and participants sign form HUD-9886, Authorization for Release of Information. The purpose of form HUD-9886 is to facilitate automated data collection and computer matching from specific sources and provides the family's consent only for the specific purposes listed on the form. HUD and the PHA may collect information from State Wage Information Collection Agencies (SWICAs) and current and former employers of adult family members. Only HUD is authorized to collect information directly from the Internal Revenue Service (IRS) and the Social Security Administration (SSA). Adult family members must sign</w:t>
      </w:r>
      <w:r>
        <w:rPr>
          <w:spacing w:val="-16"/>
        </w:rPr>
        <w:t xml:space="preserve"> </w:t>
      </w:r>
      <w:r>
        <w:t>other consent forms as needed to collect information relevant to the family’s eligibility and level of assistance.</w:t>
      </w:r>
    </w:p>
    <w:p w:rsidR="003D3A42" w:rsidRDefault="003D3A42">
      <w:pPr>
        <w:pStyle w:val="BodyText"/>
        <w:ind w:right="100"/>
      </w:pPr>
    </w:p>
    <w:p w:rsidR="003D3A42" w:rsidRDefault="003D3A42" w:rsidP="003D3A42">
      <w:pPr>
        <w:rPr>
          <w:b/>
        </w:rPr>
      </w:pPr>
      <w:r>
        <w:rPr>
          <w:b/>
        </w:rPr>
        <w:t>Form HUD-9886 [24 CFR 5.230(b)(1), b(2), (c)(4), and (c)(5); and Notice PIH 2023-27]</w:t>
      </w:r>
    </w:p>
    <w:p w:rsidR="00AB2451" w:rsidRPr="003D3A42" w:rsidRDefault="00AB2451" w:rsidP="003D3A42">
      <w:pPr>
        <w:rPr>
          <w:b/>
        </w:rPr>
      </w:pPr>
    </w:p>
    <w:p w:rsidR="003D3A42" w:rsidRDefault="003D3A42" w:rsidP="003D3A42">
      <w:pPr>
        <w:pStyle w:val="BodyText"/>
        <w:ind w:left="820"/>
      </w:pPr>
      <w:r>
        <w:t xml:space="preserve">            </w:t>
      </w:r>
      <w:r>
        <w:rPr>
          <w:u w:val="single"/>
        </w:rPr>
        <w:t>PHA Policy</w:t>
      </w:r>
    </w:p>
    <w:p w:rsidR="003D3A42" w:rsidRDefault="003D3A42" w:rsidP="003D3A42">
      <w:pPr>
        <w:pStyle w:val="IndentText1"/>
        <w:ind w:left="1440"/>
      </w:pPr>
      <w:r>
        <w:lastRenderedPageBreak/>
        <w:t>Family</w:t>
      </w:r>
      <w:r w:rsidRPr="002E0215">
        <w:t xml:space="preserve"> members turning 18 years of age between annual recertification</w:t>
      </w:r>
      <w:r>
        <w:t>s</w:t>
      </w:r>
      <w:r w:rsidRPr="002E0215">
        <w:t xml:space="preserve"> will </w:t>
      </w:r>
      <w:r>
        <w:t xml:space="preserve">be </w:t>
      </w:r>
      <w:r w:rsidRPr="00DF50D6">
        <w:t>notified in writing that they are</w:t>
      </w:r>
      <w:r w:rsidRPr="002E0215">
        <w:t xml:space="preserve"> required to sign the required Consent to the Release of Information Form HUD-988</w:t>
      </w:r>
      <w:r>
        <w:t>6</w:t>
      </w:r>
      <w:r w:rsidRPr="002E0215">
        <w:t xml:space="preserve"> </w:t>
      </w:r>
      <w:r>
        <w:t>at the family’s next annual or interim reexamination, whichever is earlier</w:t>
      </w:r>
      <w:r w:rsidRPr="002E0215">
        <w:t xml:space="preserve">. </w:t>
      </w:r>
    </w:p>
    <w:p w:rsidR="003D3A42" w:rsidRDefault="003D3A42">
      <w:pPr>
        <w:pStyle w:val="BodyText"/>
        <w:ind w:right="100"/>
      </w:pPr>
    </w:p>
    <w:p w:rsidR="004E13A5" w:rsidRDefault="00681463">
      <w:pPr>
        <w:pStyle w:val="Heading4"/>
        <w:spacing w:before="120"/>
      </w:pPr>
      <w:r>
        <w:t>Penalties for Failing to Consent [24 CFR 5.232]</w:t>
      </w:r>
    </w:p>
    <w:p w:rsidR="004E13A5" w:rsidRDefault="00681463">
      <w:pPr>
        <w:pStyle w:val="BodyText"/>
        <w:spacing w:before="120"/>
        <w:ind w:right="97"/>
      </w:pPr>
      <w:r>
        <w:t>If any family member who is required to sign a consent form fails to do so, the PHA will deny admission to applicants and terminate assistance of participants. The family may request an informal review (applicants) or informal hearing (participants) in accordance with PHA procedures.</w:t>
      </w:r>
    </w:p>
    <w:p w:rsidR="004E13A5" w:rsidRDefault="004E13A5"/>
    <w:p w:rsidR="00394E4E" w:rsidRDefault="00394E4E" w:rsidP="00394E4E">
      <w:pPr>
        <w:pStyle w:val="BodyText"/>
        <w:ind w:left="820"/>
        <w:rPr>
          <w:u w:val="single"/>
        </w:rPr>
      </w:pPr>
      <w:r>
        <w:t xml:space="preserve">          </w:t>
      </w:r>
      <w:r>
        <w:rPr>
          <w:u w:val="single"/>
        </w:rPr>
        <w:t>PHA Policy</w:t>
      </w:r>
    </w:p>
    <w:p w:rsidR="00394E4E" w:rsidRDefault="00394E4E" w:rsidP="00394E4E">
      <w:pPr>
        <w:pStyle w:val="BodyText"/>
        <w:ind w:left="820"/>
      </w:pPr>
    </w:p>
    <w:p w:rsidR="000D141C" w:rsidRDefault="000D141C" w:rsidP="000D141C">
      <w:pPr>
        <w:keepNext/>
        <w:tabs>
          <w:tab w:val="left" w:pos="1800"/>
        </w:tabs>
        <w:ind w:left="1800"/>
      </w:pPr>
      <w:bookmarkStart w:id="37" w:name="_Hlk144900760"/>
      <w:r>
        <w:t>The PHA has established a policy that revocation of consent to access financial records will result in denial of admission or termination of assistance in accordance with PHA policy.</w:t>
      </w:r>
    </w:p>
    <w:p w:rsidR="000D141C" w:rsidRDefault="000D141C" w:rsidP="000D141C">
      <w:pPr>
        <w:keepNext/>
        <w:tabs>
          <w:tab w:val="left" w:pos="1800"/>
        </w:tabs>
        <w:ind w:left="1800"/>
      </w:pPr>
      <w:r>
        <w:t>In order for a family to revoke their consent, the family must provide written notice to the PHA.</w:t>
      </w:r>
    </w:p>
    <w:p w:rsidR="000D141C" w:rsidRDefault="000D141C" w:rsidP="000D141C">
      <w:pPr>
        <w:ind w:left="1800"/>
      </w:pPr>
      <w:r>
        <w:t>Within 10 business days of the date the family provides written notice, the PHA will send the family a notice acknowledging receipt of the request and explaining that revocation of consent will result in denial or termination of assistance, as applicable. At the same time, the PHA will notify their local HUD office.</w:t>
      </w:r>
    </w:p>
    <w:bookmarkEnd w:id="37"/>
    <w:p w:rsidR="00394E4E" w:rsidRDefault="00394E4E">
      <w:r>
        <w:t xml:space="preserve">                             </w:t>
      </w:r>
    </w:p>
    <w:p w:rsidR="003717F5" w:rsidRDefault="003717F5"/>
    <w:p w:rsidR="003717F5" w:rsidRDefault="003717F5"/>
    <w:p w:rsidR="003717F5" w:rsidRDefault="003717F5"/>
    <w:p w:rsidR="003717F5" w:rsidRDefault="003717F5"/>
    <w:p w:rsidR="003717F5" w:rsidRDefault="003717F5"/>
    <w:p w:rsidR="003717F5" w:rsidRDefault="003717F5"/>
    <w:p w:rsidR="003717F5" w:rsidRPr="003717F5" w:rsidRDefault="003717F5" w:rsidP="003717F5">
      <w:pPr>
        <w:spacing w:before="240"/>
        <w:rPr>
          <w:b/>
          <w:sz w:val="28"/>
          <w:szCs w:val="28"/>
        </w:rPr>
      </w:pPr>
      <w:bookmarkStart w:id="38" w:name="_Hlk149146536"/>
      <w:r w:rsidRPr="003717F5">
        <w:rPr>
          <w:b/>
          <w:sz w:val="28"/>
          <w:szCs w:val="28"/>
        </w:rPr>
        <w:t xml:space="preserve">7-I.B. USE OF OTHER PROGRAMS’ INCOME DETERMINATIONS </w:t>
      </w:r>
      <w:bookmarkEnd w:id="38"/>
      <w:r w:rsidRPr="003717F5">
        <w:rPr>
          <w:b/>
          <w:sz w:val="28"/>
          <w:szCs w:val="28"/>
        </w:rPr>
        <w:t>[24 CFR 5.609(c)(3) and Notice PIH 2023-27]</w:t>
      </w:r>
    </w:p>
    <w:p w:rsidR="003717F5" w:rsidRDefault="003717F5" w:rsidP="003717F5">
      <w:pPr>
        <w:spacing w:before="240"/>
      </w:pPr>
    </w:p>
    <w:p w:rsidR="003717F5" w:rsidRPr="003717F5" w:rsidRDefault="003717F5" w:rsidP="003717F5">
      <w:pPr>
        <w:keepNext/>
        <w:rPr>
          <w:sz w:val="24"/>
          <w:szCs w:val="24"/>
        </w:rPr>
      </w:pPr>
      <w:r w:rsidRPr="003717F5">
        <w:rPr>
          <w:sz w:val="24"/>
          <w:szCs w:val="24"/>
        </w:rPr>
        <w:t>PHAs may, but are not required to, determine a family’s annual income, including income from assets, prior to the application of any deductions, based on income determinations made within the previous 12-month period, using income determinations from means-tested federal public assistance programs.</w:t>
      </w:r>
    </w:p>
    <w:p w:rsidR="003717F5" w:rsidRDefault="003717F5"/>
    <w:p w:rsidR="003717F5" w:rsidRDefault="003717F5"/>
    <w:p w:rsidR="003717F5" w:rsidRDefault="003717F5" w:rsidP="003717F5">
      <w:pPr>
        <w:pStyle w:val="BodyText"/>
        <w:ind w:left="820"/>
        <w:rPr>
          <w:b/>
          <w:sz w:val="28"/>
          <w:szCs w:val="28"/>
          <w:u w:val="single"/>
        </w:rPr>
      </w:pPr>
      <w:r w:rsidRPr="003717F5">
        <w:rPr>
          <w:b/>
          <w:sz w:val="28"/>
          <w:szCs w:val="28"/>
          <w:u w:val="single"/>
        </w:rPr>
        <w:t>PHA Policy</w:t>
      </w:r>
    </w:p>
    <w:p w:rsidR="003717F5" w:rsidRPr="003717F5" w:rsidRDefault="003717F5" w:rsidP="003717F5">
      <w:pPr>
        <w:pStyle w:val="BodyText"/>
        <w:ind w:left="820"/>
        <w:rPr>
          <w:b/>
          <w:sz w:val="28"/>
          <w:szCs w:val="28"/>
        </w:rPr>
      </w:pPr>
    </w:p>
    <w:p w:rsidR="003717F5" w:rsidRDefault="003717F5" w:rsidP="003717F5">
      <w:pPr>
        <w:ind w:left="820"/>
      </w:pPr>
      <w:r>
        <w:t xml:space="preserve">   The PHA will not accept verification from other federal assistance programs. All income will be verified in accordance with the requirements of HUD’s verification hierarchy and PHA policies in this chapter.</w:t>
      </w:r>
    </w:p>
    <w:p w:rsidR="003717F5" w:rsidRDefault="003717F5"/>
    <w:p w:rsidR="003717F5" w:rsidRDefault="003717F5"/>
    <w:p w:rsidR="003717F5" w:rsidRDefault="003717F5"/>
    <w:p w:rsidR="003717F5" w:rsidRDefault="003717F5"/>
    <w:p w:rsidR="003717F5" w:rsidRPr="003717F5" w:rsidRDefault="003717F5" w:rsidP="003717F5">
      <w:pPr>
        <w:spacing w:before="240"/>
        <w:rPr>
          <w:b/>
          <w:sz w:val="28"/>
          <w:szCs w:val="28"/>
        </w:rPr>
      </w:pPr>
      <w:bookmarkStart w:id="39" w:name="_Hlk149147028"/>
      <w:r w:rsidRPr="003717F5">
        <w:rPr>
          <w:b/>
          <w:sz w:val="28"/>
          <w:szCs w:val="28"/>
        </w:rPr>
        <w:lastRenderedPageBreak/>
        <w:t xml:space="preserve">7-I.C. STREAMLINED INCOME DETERMINATIONS </w:t>
      </w:r>
      <w:bookmarkEnd w:id="39"/>
      <w:r w:rsidRPr="003717F5">
        <w:rPr>
          <w:b/>
          <w:sz w:val="28"/>
          <w:szCs w:val="28"/>
        </w:rPr>
        <w:t>[24 CFR 960.257(c) and Notice PIH 2023-27]</w:t>
      </w:r>
    </w:p>
    <w:p w:rsidR="003717F5" w:rsidRPr="00F5553B" w:rsidRDefault="003717F5" w:rsidP="003717F5">
      <w:pPr>
        <w:spacing w:before="240"/>
        <w:rPr>
          <w:b/>
        </w:rPr>
      </w:pPr>
    </w:p>
    <w:p w:rsidR="003717F5" w:rsidRPr="003717F5" w:rsidRDefault="003717F5" w:rsidP="003717F5">
      <w:pPr>
        <w:rPr>
          <w:sz w:val="24"/>
          <w:szCs w:val="24"/>
        </w:rPr>
      </w:pPr>
      <w:r w:rsidRPr="003717F5">
        <w:rPr>
          <w:sz w:val="24"/>
          <w:szCs w:val="24"/>
        </w:rPr>
        <w:t>HUD permits PHAs to streamline the income determination process for family members with fixed sources of income. While third-party verification of all income sources must be obtained during the intake process and every three years thereafter, in the intervening years the PHA may determine income from fixed sources by applying a verified cost of living adjustment (COLA) or rate of interest. The PHA may, however, obtain third-party verification of all income, regardless of the source. Further, upon request of the family, the PHA must perform third-party verification of all income sources.</w:t>
      </w:r>
    </w:p>
    <w:p w:rsidR="003717F5" w:rsidRDefault="003717F5"/>
    <w:p w:rsidR="003717F5" w:rsidRDefault="003717F5"/>
    <w:p w:rsidR="003717F5" w:rsidRDefault="003717F5" w:rsidP="003717F5">
      <w:pPr>
        <w:pStyle w:val="BodyText"/>
        <w:ind w:left="820"/>
        <w:rPr>
          <w:b/>
          <w:sz w:val="28"/>
          <w:szCs w:val="28"/>
          <w:u w:val="single"/>
        </w:rPr>
      </w:pPr>
      <w:r>
        <w:t xml:space="preserve">      </w:t>
      </w:r>
      <w:r>
        <w:tab/>
      </w:r>
      <w:r w:rsidRPr="003717F5">
        <w:rPr>
          <w:b/>
          <w:sz w:val="28"/>
          <w:szCs w:val="28"/>
          <w:u w:val="single"/>
        </w:rPr>
        <w:t>PHA Policy</w:t>
      </w:r>
    </w:p>
    <w:p w:rsidR="00F2363D" w:rsidRPr="00F5553B" w:rsidRDefault="00F2363D" w:rsidP="00F2363D">
      <w:pPr>
        <w:ind w:left="1800" w:hanging="720"/>
        <w:rPr>
          <w:rFonts w:cs="Arial"/>
          <w:i/>
          <w:u w:val="single"/>
        </w:rPr>
      </w:pPr>
      <w:r w:rsidRPr="00F5553B">
        <w:rPr>
          <w:rFonts w:cs="Arial"/>
          <w:i/>
        </w:rPr>
        <w:t>se the model plan language shown below. No changes to the model plan are required.</w:t>
      </w:r>
    </w:p>
    <w:p w:rsidR="00F2363D" w:rsidRDefault="00F2363D" w:rsidP="00F2363D">
      <w:pPr>
        <w:ind w:left="1800"/>
      </w:pPr>
      <w:r>
        <w:t>When the PHA does not use a Safe Harbor income determination from a federal assistance program to determine the family’s annual income as outlined above, then PHA will use a streamlined income determinations where applicable.</w:t>
      </w:r>
    </w:p>
    <w:p w:rsidR="00F2363D" w:rsidRDefault="00F2363D" w:rsidP="00F2363D">
      <w:pPr>
        <w:ind w:left="1800"/>
      </w:pPr>
      <w:r>
        <w:t>If 90 percent or more of a family’s unadjusted income is from fixed income sources:</w:t>
      </w:r>
    </w:p>
    <w:p w:rsidR="00F2363D" w:rsidRDefault="00F2363D" w:rsidP="00F2363D">
      <w:pPr>
        <w:tabs>
          <w:tab w:val="left" w:pos="2520"/>
        </w:tabs>
        <w:overflowPunct w:val="0"/>
        <w:adjustRightInd w:val="0"/>
        <w:ind w:left="2520"/>
        <w:textAlignment w:val="baseline"/>
        <w:outlineLvl w:val="0"/>
      </w:pPr>
      <w:r>
        <w:t>The PHA will streamline the annual reexamination process by applying the verified inflationary adjustment factor to fixed-income sources.</w:t>
      </w:r>
    </w:p>
    <w:p w:rsidR="00F2363D" w:rsidRDefault="00F2363D" w:rsidP="00F2363D">
      <w:pPr>
        <w:tabs>
          <w:tab w:val="left" w:pos="2520"/>
        </w:tabs>
        <w:overflowPunct w:val="0"/>
        <w:adjustRightInd w:val="0"/>
        <w:ind w:left="2520"/>
        <w:textAlignment w:val="baseline"/>
        <w:outlineLvl w:val="0"/>
      </w:pPr>
      <w:r>
        <w:t>The family will be required to sign a self-certification stating that 90 percent or more of their unadjusted income is fixed income and that their sources of fixed income have not changed from the previous year.</w:t>
      </w:r>
    </w:p>
    <w:p w:rsidR="00F2363D" w:rsidRDefault="00F2363D" w:rsidP="00F2363D">
      <w:pPr>
        <w:tabs>
          <w:tab w:val="left" w:pos="2520"/>
        </w:tabs>
        <w:overflowPunct w:val="0"/>
        <w:adjustRightInd w:val="0"/>
        <w:ind w:left="2520"/>
        <w:textAlignment w:val="baseline"/>
        <w:outlineLvl w:val="0"/>
      </w:pPr>
      <w:r>
        <w:t>The PHA will document in the file how the determination that a source of income was fixed was made.</w:t>
      </w:r>
    </w:p>
    <w:p w:rsidR="00F2363D" w:rsidRDefault="00F2363D" w:rsidP="00F2363D">
      <w:pPr>
        <w:tabs>
          <w:tab w:val="left" w:pos="2520"/>
        </w:tabs>
        <w:overflowPunct w:val="0"/>
        <w:adjustRightInd w:val="0"/>
        <w:ind w:left="2520"/>
        <w:textAlignment w:val="baseline"/>
        <w:outlineLvl w:val="0"/>
      </w:pPr>
      <w:r>
        <w:t>Third-party verification of non-fixed income will be obtained annually regardless of the percentage of family income received from fixed sources.</w:t>
      </w:r>
    </w:p>
    <w:p w:rsidR="00F2363D" w:rsidRDefault="00F2363D" w:rsidP="00F2363D">
      <w:pPr>
        <w:tabs>
          <w:tab w:val="left" w:pos="2520"/>
        </w:tabs>
        <w:overflowPunct w:val="0"/>
        <w:adjustRightInd w:val="0"/>
        <w:ind w:left="2520"/>
        <w:textAlignment w:val="baseline"/>
        <w:outlineLvl w:val="0"/>
      </w:pPr>
      <w:r>
        <w:t>If the family’s sources of fixed income have changed from the previous year, the PHA will obtain third-party verification of any new sources of fixed income.</w:t>
      </w:r>
    </w:p>
    <w:p w:rsidR="00F2363D" w:rsidRDefault="00F2363D" w:rsidP="00F2363D">
      <w:pPr>
        <w:ind w:left="1800"/>
      </w:pPr>
      <w:r>
        <w:t>When less than 90 percent of a family’s unadjusted income consists of fixed income:</w:t>
      </w:r>
    </w:p>
    <w:p w:rsidR="00F2363D" w:rsidRDefault="00F2363D" w:rsidP="00F2363D">
      <w:pPr>
        <w:tabs>
          <w:tab w:val="left" w:pos="2520"/>
        </w:tabs>
        <w:overflowPunct w:val="0"/>
        <w:adjustRightInd w:val="0"/>
        <w:ind w:left="2520"/>
        <w:textAlignment w:val="baseline"/>
        <w:outlineLvl w:val="0"/>
      </w:pPr>
      <w:r>
        <w:t>The PHA will apply a COLA to each of the family’s sources of fixed income.</w:t>
      </w:r>
    </w:p>
    <w:p w:rsidR="00F2363D" w:rsidRDefault="00F2363D" w:rsidP="00F2363D">
      <w:pPr>
        <w:tabs>
          <w:tab w:val="left" w:pos="2520"/>
        </w:tabs>
        <w:overflowPunct w:val="0"/>
        <w:adjustRightInd w:val="0"/>
        <w:ind w:left="2520"/>
        <w:textAlignment w:val="baseline"/>
        <w:outlineLvl w:val="0"/>
      </w:pPr>
      <w:r>
        <w:t>All other income will be verified using third-party verification as outlined in Notice PIH 2023-27 and Chapter 7 of this policy.</w:t>
      </w:r>
    </w:p>
    <w:p w:rsidR="00F2363D" w:rsidRDefault="00F2363D" w:rsidP="00F2363D">
      <w:pPr>
        <w:ind w:left="1800"/>
      </w:pPr>
      <w:r>
        <w:t>In the following circumstances, regardless of the percentage of income received from fixed sources, the PHA will obtain third-party verification</w:t>
      </w:r>
      <w:r w:rsidRPr="004430D5">
        <w:t xml:space="preserve"> </w:t>
      </w:r>
      <w:r>
        <w:t>as outlined in Notice PIH 2023-27 and Chapter 7 of this policy:</w:t>
      </w:r>
    </w:p>
    <w:p w:rsidR="00F2363D" w:rsidRDefault="00F2363D" w:rsidP="00F2363D">
      <w:pPr>
        <w:tabs>
          <w:tab w:val="left" w:pos="2520"/>
        </w:tabs>
        <w:overflowPunct w:val="0"/>
        <w:adjustRightInd w:val="0"/>
        <w:ind w:left="2520"/>
        <w:textAlignment w:val="baseline"/>
        <w:outlineLvl w:val="0"/>
      </w:pPr>
      <w:r>
        <w:t>Of all assets when net family assets exceed $50,000;</w:t>
      </w:r>
    </w:p>
    <w:p w:rsidR="00F2363D" w:rsidRDefault="00F2363D" w:rsidP="00F2363D">
      <w:pPr>
        <w:tabs>
          <w:tab w:val="left" w:pos="2520"/>
        </w:tabs>
        <w:overflowPunct w:val="0"/>
        <w:adjustRightInd w:val="0"/>
        <w:ind w:left="2520"/>
        <w:textAlignment w:val="baseline"/>
        <w:outlineLvl w:val="0"/>
      </w:pPr>
      <w:r>
        <w:t>Of all deductions and allowances from annual income;</w:t>
      </w:r>
    </w:p>
    <w:p w:rsidR="00F2363D" w:rsidRDefault="00F2363D" w:rsidP="00F2363D">
      <w:pPr>
        <w:tabs>
          <w:tab w:val="left" w:pos="2520"/>
        </w:tabs>
        <w:overflowPunct w:val="0"/>
        <w:adjustRightInd w:val="0"/>
        <w:ind w:left="2520"/>
        <w:textAlignment w:val="baseline"/>
        <w:outlineLvl w:val="0"/>
      </w:pPr>
      <w:r>
        <w:t>If a family member with a fixed source of income is added;</w:t>
      </w:r>
    </w:p>
    <w:p w:rsidR="00F2363D" w:rsidRDefault="00F2363D" w:rsidP="00F2363D">
      <w:pPr>
        <w:ind w:left="1800"/>
      </w:pPr>
      <w:r>
        <w:t>If verification of the COLA or rate of interest is not available; During the intake process and at least once every three years thereafter.</w:t>
      </w:r>
    </w:p>
    <w:p w:rsidR="00F2363D" w:rsidRDefault="00F2363D" w:rsidP="003717F5">
      <w:pPr>
        <w:pStyle w:val="BodyText"/>
        <w:ind w:left="820"/>
        <w:rPr>
          <w:b/>
          <w:sz w:val="28"/>
          <w:szCs w:val="28"/>
          <w:u w:val="single"/>
        </w:rPr>
      </w:pPr>
    </w:p>
    <w:p w:rsidR="003717F5" w:rsidRDefault="003717F5"/>
    <w:p w:rsidR="00970EEC" w:rsidRDefault="00970EEC">
      <w:pPr>
        <w:sectPr w:rsidR="00970EEC">
          <w:pgSz w:w="12240" w:h="15840"/>
          <w:pgMar w:top="1020" w:right="1220" w:bottom="1240" w:left="1220" w:header="0" w:footer="998" w:gutter="0"/>
          <w:cols w:space="720"/>
        </w:sectPr>
      </w:pPr>
    </w:p>
    <w:p w:rsidR="004E13A5" w:rsidRDefault="00681463">
      <w:pPr>
        <w:pStyle w:val="Heading4"/>
        <w:spacing w:before="79"/>
      </w:pPr>
      <w:r>
        <w:lastRenderedPageBreak/>
        <w:t>7-I.</w:t>
      </w:r>
      <w:r w:rsidR="003717F5">
        <w:t>D.</w:t>
      </w:r>
      <w:r>
        <w:t xml:space="preserve"> </w:t>
      </w:r>
      <w:r w:rsidR="00970EEC" w:rsidRPr="00970EEC">
        <w:t xml:space="preserve">VERIFICATION </w:t>
      </w:r>
      <w:bookmarkStart w:id="40" w:name="_Hlk149147087"/>
      <w:r w:rsidR="00970EEC" w:rsidRPr="00970EEC">
        <w:t xml:space="preserve">HIERARCHY </w:t>
      </w:r>
      <w:bookmarkEnd w:id="40"/>
      <w:r w:rsidR="00970EEC" w:rsidRPr="00970EEC">
        <w:t>[Notice PIH 2023-27]</w:t>
      </w:r>
    </w:p>
    <w:p w:rsidR="004E13A5" w:rsidRDefault="00681463">
      <w:pPr>
        <w:spacing w:before="120"/>
        <w:ind w:left="100"/>
        <w:rPr>
          <w:b/>
          <w:sz w:val="24"/>
        </w:rPr>
      </w:pPr>
      <w:r>
        <w:rPr>
          <w:b/>
          <w:sz w:val="24"/>
        </w:rPr>
        <w:t xml:space="preserve">HUD’s Verification Hierarchy </w:t>
      </w:r>
    </w:p>
    <w:p w:rsidR="004E13A5" w:rsidRDefault="00681463">
      <w:pPr>
        <w:pStyle w:val="BodyText"/>
        <w:ind w:right="116"/>
      </w:pPr>
      <w:r>
        <w:t>HUD mandates the use of the EIV system and offers administrative guidance on the use of other methods to verify family information and specifies the circumstances in which each method will be used. In general HUD requires the PHA to use the most reliable form of verification that is available and to document the reasons when the PHA uses a lesser form of verification.</w:t>
      </w:r>
    </w:p>
    <w:p w:rsidR="004E13A5" w:rsidRDefault="00681463">
      <w:pPr>
        <w:pStyle w:val="BodyText"/>
      </w:pPr>
      <w:r>
        <w:t>In order of priority, the forms of verification that the PHA will use are:</w:t>
      </w:r>
    </w:p>
    <w:p w:rsidR="004E13A5" w:rsidRDefault="00681463">
      <w:pPr>
        <w:pStyle w:val="ListParagraph"/>
        <w:numPr>
          <w:ilvl w:val="0"/>
          <w:numId w:val="93"/>
        </w:numPr>
        <w:tabs>
          <w:tab w:val="left" w:pos="460"/>
          <w:tab w:val="left" w:pos="461"/>
        </w:tabs>
        <w:rPr>
          <w:rFonts w:ascii="Symbol" w:hAnsi="Symbol"/>
          <w:sz w:val="24"/>
        </w:rPr>
      </w:pPr>
      <w:r>
        <w:rPr>
          <w:sz w:val="24"/>
        </w:rPr>
        <w:t>Up-front Income Verification (UIV) using HUD’s Enterprise Income Verification (EIV)</w:t>
      </w:r>
      <w:r>
        <w:rPr>
          <w:spacing w:val="-22"/>
          <w:sz w:val="24"/>
        </w:rPr>
        <w:t xml:space="preserve"> </w:t>
      </w:r>
      <w:r>
        <w:rPr>
          <w:sz w:val="24"/>
        </w:rPr>
        <w:t>system</w:t>
      </w:r>
    </w:p>
    <w:p w:rsidR="004E13A5" w:rsidRDefault="00681463">
      <w:pPr>
        <w:pStyle w:val="ListParagraph"/>
        <w:numPr>
          <w:ilvl w:val="0"/>
          <w:numId w:val="93"/>
        </w:numPr>
        <w:tabs>
          <w:tab w:val="left" w:pos="460"/>
          <w:tab w:val="left" w:pos="461"/>
        </w:tabs>
        <w:spacing w:before="118"/>
        <w:rPr>
          <w:rFonts w:ascii="Symbol"/>
          <w:sz w:val="24"/>
        </w:rPr>
      </w:pPr>
      <w:r>
        <w:rPr>
          <w:sz w:val="24"/>
        </w:rPr>
        <w:t>Up-front Income Verification (UIV) using a non-HUD</w:t>
      </w:r>
      <w:r>
        <w:rPr>
          <w:spacing w:val="-12"/>
          <w:sz w:val="24"/>
        </w:rPr>
        <w:t xml:space="preserve"> </w:t>
      </w:r>
      <w:r>
        <w:rPr>
          <w:sz w:val="24"/>
        </w:rPr>
        <w:t>system</w:t>
      </w:r>
    </w:p>
    <w:p w:rsidR="004E13A5" w:rsidRDefault="00681463">
      <w:pPr>
        <w:pStyle w:val="ListParagraph"/>
        <w:numPr>
          <w:ilvl w:val="0"/>
          <w:numId w:val="93"/>
        </w:numPr>
        <w:tabs>
          <w:tab w:val="left" w:pos="460"/>
          <w:tab w:val="left" w:pos="461"/>
        </w:tabs>
        <w:spacing w:before="118"/>
        <w:rPr>
          <w:rFonts w:ascii="Symbol"/>
          <w:sz w:val="24"/>
        </w:rPr>
      </w:pPr>
      <w:r>
        <w:rPr>
          <w:sz w:val="24"/>
        </w:rPr>
        <w:t>Written Third-Party Verification (may be provided by applicant or</w:t>
      </w:r>
      <w:r>
        <w:rPr>
          <w:spacing w:val="-12"/>
          <w:sz w:val="24"/>
        </w:rPr>
        <w:t xml:space="preserve"> </w:t>
      </w:r>
      <w:r>
        <w:rPr>
          <w:sz w:val="24"/>
        </w:rPr>
        <w:t>participant)</w:t>
      </w:r>
    </w:p>
    <w:p w:rsidR="004E13A5" w:rsidRDefault="00681463">
      <w:pPr>
        <w:pStyle w:val="ListParagraph"/>
        <w:numPr>
          <w:ilvl w:val="0"/>
          <w:numId w:val="93"/>
        </w:numPr>
        <w:tabs>
          <w:tab w:val="left" w:pos="460"/>
          <w:tab w:val="left" w:pos="461"/>
        </w:tabs>
        <w:spacing w:before="118"/>
        <w:rPr>
          <w:rFonts w:ascii="Symbol"/>
          <w:sz w:val="24"/>
        </w:rPr>
      </w:pPr>
      <w:r>
        <w:rPr>
          <w:sz w:val="24"/>
        </w:rPr>
        <w:t>Written Third-party Verification</w:t>
      </w:r>
      <w:r>
        <w:rPr>
          <w:spacing w:val="-10"/>
          <w:sz w:val="24"/>
        </w:rPr>
        <w:t xml:space="preserve"> </w:t>
      </w:r>
      <w:r>
        <w:rPr>
          <w:sz w:val="24"/>
        </w:rPr>
        <w:t>Form</w:t>
      </w:r>
    </w:p>
    <w:p w:rsidR="004E13A5" w:rsidRDefault="00681463">
      <w:pPr>
        <w:pStyle w:val="ListParagraph"/>
        <w:numPr>
          <w:ilvl w:val="0"/>
          <w:numId w:val="93"/>
        </w:numPr>
        <w:tabs>
          <w:tab w:val="left" w:pos="460"/>
          <w:tab w:val="left" w:pos="461"/>
        </w:tabs>
        <w:spacing w:before="121"/>
        <w:rPr>
          <w:rFonts w:ascii="Symbol"/>
          <w:sz w:val="24"/>
        </w:rPr>
      </w:pPr>
      <w:r>
        <w:rPr>
          <w:sz w:val="24"/>
        </w:rPr>
        <w:t>Oral Third-party</w:t>
      </w:r>
      <w:r>
        <w:rPr>
          <w:spacing w:val="-7"/>
          <w:sz w:val="24"/>
        </w:rPr>
        <w:t xml:space="preserve"> </w:t>
      </w:r>
      <w:r>
        <w:rPr>
          <w:sz w:val="24"/>
        </w:rPr>
        <w:t>Verification</w:t>
      </w:r>
    </w:p>
    <w:p w:rsidR="004E13A5" w:rsidRDefault="00681463">
      <w:pPr>
        <w:pStyle w:val="ListParagraph"/>
        <w:numPr>
          <w:ilvl w:val="0"/>
          <w:numId w:val="93"/>
        </w:numPr>
        <w:tabs>
          <w:tab w:val="left" w:pos="460"/>
          <w:tab w:val="left" w:pos="461"/>
        </w:tabs>
        <w:spacing w:before="118"/>
        <w:rPr>
          <w:rFonts w:ascii="Symbol"/>
          <w:sz w:val="24"/>
        </w:rPr>
      </w:pPr>
      <w:r>
        <w:rPr>
          <w:sz w:val="24"/>
        </w:rPr>
        <w:t>Self-Certification</w:t>
      </w:r>
    </w:p>
    <w:p w:rsidR="004E13A5" w:rsidRDefault="00681463">
      <w:pPr>
        <w:pStyle w:val="BodyText"/>
        <w:spacing w:before="118"/>
      </w:pPr>
      <w:r>
        <w:t>Each of the verification methods is discussed in subsequent sections below.</w:t>
      </w:r>
    </w:p>
    <w:p w:rsidR="004E13A5" w:rsidRDefault="00681463">
      <w:pPr>
        <w:pStyle w:val="Heading4"/>
        <w:spacing w:before="119"/>
      </w:pPr>
      <w:r>
        <w:t>Requirements for Acceptable Documents</w:t>
      </w:r>
    </w:p>
    <w:p w:rsidR="004E13A5" w:rsidRDefault="00681463">
      <w:pPr>
        <w:pStyle w:val="BodyText"/>
        <w:ind w:left="820"/>
      </w:pPr>
      <w:r>
        <w:rPr>
          <w:u w:val="single"/>
        </w:rPr>
        <w:t>PHA Policy</w:t>
      </w:r>
    </w:p>
    <w:p w:rsidR="004E13A5" w:rsidRDefault="00681463">
      <w:pPr>
        <w:pStyle w:val="BodyText"/>
        <w:ind w:left="820" w:right="342"/>
      </w:pPr>
      <w:r>
        <w:t>Any documents used for verification must be the original (not photocopies) and generally must be dated within 60 days of the PHA request. The documents must not be damaged, altered or in any way illegible.</w:t>
      </w:r>
    </w:p>
    <w:p w:rsidR="004E13A5" w:rsidRDefault="00681463">
      <w:pPr>
        <w:pStyle w:val="BodyText"/>
        <w:ind w:left="820"/>
      </w:pPr>
      <w:r>
        <w:t>Print-outs from Web pages are considered original documents.</w:t>
      </w:r>
    </w:p>
    <w:p w:rsidR="004E13A5" w:rsidRDefault="00681463">
      <w:pPr>
        <w:pStyle w:val="BodyText"/>
        <w:ind w:left="820"/>
      </w:pPr>
      <w:r>
        <w:t>The PHA staff member who views the original document must make a photocopy.</w:t>
      </w:r>
    </w:p>
    <w:p w:rsidR="004E13A5" w:rsidRDefault="00681463">
      <w:pPr>
        <w:pStyle w:val="BodyText"/>
        <w:ind w:left="820" w:right="162"/>
      </w:pPr>
      <w:r>
        <w:t>Any family self-certifications must be made in a format acceptable to the PHA and must be signed by the family member whose information or status is being verified.</w:t>
      </w:r>
    </w:p>
    <w:p w:rsidR="004E13A5" w:rsidRDefault="00681463">
      <w:pPr>
        <w:pStyle w:val="Heading4"/>
        <w:spacing w:before="119"/>
      </w:pPr>
      <w:r>
        <w:t>File Documentation</w:t>
      </w:r>
    </w:p>
    <w:p w:rsidR="004E13A5" w:rsidRDefault="00681463">
      <w:pPr>
        <w:pStyle w:val="BodyText"/>
        <w:ind w:right="116"/>
      </w:pPr>
      <w:r>
        <w:t>The PHA must document in the file how the figures used in income and rent calculations were determined. All verification attempts, information obtained, and decisions reached during the verification process will be recorded in the family’s file in sufficient detail to demonstrate that the PHA has followed all of the verification policies set forth in this plan. The record should be sufficient to enable a staff member or HUD reviewer to understand the process followed and conclusions reached.</w:t>
      </w:r>
    </w:p>
    <w:p w:rsidR="004E13A5" w:rsidRDefault="00681463">
      <w:pPr>
        <w:pStyle w:val="BodyText"/>
        <w:ind w:left="820"/>
      </w:pPr>
      <w:r>
        <w:rPr>
          <w:u w:val="single"/>
        </w:rPr>
        <w:t>PHA Policy</w:t>
      </w:r>
    </w:p>
    <w:p w:rsidR="004E13A5" w:rsidRDefault="00681463">
      <w:pPr>
        <w:pStyle w:val="BodyText"/>
        <w:spacing w:before="120" w:line="343" w:lineRule="auto"/>
        <w:ind w:left="1540" w:right="3261" w:hanging="720"/>
      </w:pPr>
      <w:r>
        <w:t>The PHA will document, in the family file, the following: Reported family annual income</w:t>
      </w:r>
    </w:p>
    <w:p w:rsidR="004E13A5" w:rsidRDefault="00681463">
      <w:pPr>
        <w:pStyle w:val="BodyText"/>
        <w:spacing w:before="5"/>
        <w:ind w:left="1540"/>
      </w:pPr>
      <w:r>
        <w:t>Value of assets</w:t>
      </w:r>
    </w:p>
    <w:p w:rsidR="004E13A5" w:rsidRDefault="00681463">
      <w:pPr>
        <w:pStyle w:val="BodyText"/>
        <w:spacing w:line="343" w:lineRule="auto"/>
        <w:ind w:left="1540" w:right="3261"/>
      </w:pPr>
      <w:r>
        <w:t>Expenses related to deductions from annual income Other factors influencing adjusted income</w:t>
      </w:r>
    </w:p>
    <w:p w:rsidR="004E13A5" w:rsidRDefault="004E13A5">
      <w:pPr>
        <w:spacing w:line="343" w:lineRule="auto"/>
        <w:sectPr w:rsidR="004E13A5">
          <w:pgSz w:w="12240" w:h="15840"/>
          <w:pgMar w:top="1000" w:right="1240" w:bottom="1240" w:left="1220" w:header="0" w:footer="998" w:gutter="0"/>
          <w:cols w:space="720"/>
        </w:sectPr>
      </w:pPr>
    </w:p>
    <w:p w:rsidR="004E13A5" w:rsidRDefault="00681463">
      <w:pPr>
        <w:pStyle w:val="BodyText"/>
        <w:spacing w:before="79"/>
        <w:ind w:right="473"/>
      </w:pPr>
      <w:r>
        <w:lastRenderedPageBreak/>
        <w:t>When the PHA is unable to obtain third-party verification, the PHA will document in the family file the reason that third-party verification was not available [24 CFR 982.516(a)(2); Notice PIH</w:t>
      </w:r>
      <w:r>
        <w:rPr>
          <w:spacing w:val="-5"/>
        </w:rPr>
        <w:t xml:space="preserve"> </w:t>
      </w:r>
      <w:r>
        <w:t>2018-18].</w:t>
      </w:r>
    </w:p>
    <w:p w:rsidR="004E13A5" w:rsidRDefault="004E13A5">
      <w:pPr>
        <w:pStyle w:val="BodyText"/>
        <w:spacing w:before="9"/>
        <w:ind w:left="0"/>
        <w:rPr>
          <w:sz w:val="20"/>
        </w:rPr>
      </w:pPr>
    </w:p>
    <w:p w:rsidR="00970EEC" w:rsidRDefault="00970EEC" w:rsidP="00970EEC">
      <w:pPr>
        <w:pStyle w:val="BodyText"/>
        <w:spacing w:before="120"/>
        <w:ind w:right="194"/>
        <w:jc w:val="both"/>
        <w:rPr>
          <w:b/>
          <w:bCs/>
          <w:iCs/>
        </w:rPr>
      </w:pPr>
      <w:r w:rsidRPr="00D06965">
        <w:rPr>
          <w:b/>
          <w:bCs/>
          <w:iCs/>
        </w:rPr>
        <w:t>7-I.</w:t>
      </w:r>
      <w:r w:rsidR="00E56E23">
        <w:rPr>
          <w:b/>
          <w:bCs/>
          <w:iCs/>
        </w:rPr>
        <w:t>E</w:t>
      </w:r>
      <w:r w:rsidRPr="00D06965">
        <w:rPr>
          <w:b/>
          <w:bCs/>
          <w:iCs/>
        </w:rPr>
        <w:t xml:space="preserve">. </w:t>
      </w:r>
      <w:bookmarkStart w:id="41" w:name="_Hlk149131240"/>
      <w:r w:rsidRPr="009C6952">
        <w:rPr>
          <w:b/>
        </w:rPr>
        <w:t>LEVEL 5 AND 6 VERIFICATION:</w:t>
      </w:r>
      <w:r w:rsidRPr="004926A1">
        <w:rPr>
          <w:b/>
        </w:rPr>
        <w:t xml:space="preserve"> </w:t>
      </w:r>
      <w:bookmarkEnd w:id="41"/>
      <w:r w:rsidRPr="00D06965">
        <w:rPr>
          <w:b/>
          <w:bCs/>
          <w:iCs/>
        </w:rPr>
        <w:t xml:space="preserve">UP-FRONT </w:t>
      </w:r>
      <w:r w:rsidRPr="007E5FB5">
        <w:rPr>
          <w:b/>
        </w:rPr>
        <w:t>INCOME</w:t>
      </w:r>
      <w:r w:rsidRPr="00D06965">
        <w:rPr>
          <w:b/>
          <w:bCs/>
          <w:iCs/>
        </w:rPr>
        <w:t xml:space="preserve"> VERIFICATION (UIV)</w:t>
      </w:r>
    </w:p>
    <w:p w:rsidR="00970EEC" w:rsidRDefault="00970EEC" w:rsidP="00970EEC">
      <w:pPr>
        <w:pStyle w:val="BodyText"/>
        <w:spacing w:before="120"/>
        <w:ind w:left="0" w:right="194"/>
        <w:jc w:val="both"/>
        <w:rPr>
          <w:b/>
          <w:bCs/>
          <w:iCs/>
        </w:rPr>
      </w:pPr>
    </w:p>
    <w:p w:rsidR="004E13A5" w:rsidRDefault="00681463">
      <w:pPr>
        <w:pStyle w:val="Heading4"/>
        <w:spacing w:before="118"/>
      </w:pPr>
      <w:r>
        <w:t>Upfront Income Verification Using HUD’s Enterprise Income Verification (EIV) System (Mandatory)</w:t>
      </w:r>
    </w:p>
    <w:p w:rsidR="004E13A5" w:rsidRDefault="00681463">
      <w:pPr>
        <w:pStyle w:val="BodyText"/>
        <w:ind w:right="109"/>
      </w:pPr>
      <w:r>
        <w:t>PHAs must use HUD’s EIV system in its entirety as a third-party source to verify tenant employment and income information during mandatory reexaminations or recertifications of family composition and income in accordance with 24 CFR 5.236 and administrative guidance issued by HUD. The EIV system contains data showing earned income, unemployment benefits, social security benefits, and SSI benefits for participant families. The following policies apply to the use of HUD’s EIV system.</w:t>
      </w:r>
    </w:p>
    <w:p w:rsidR="004E13A5" w:rsidRDefault="00681463">
      <w:pPr>
        <w:pStyle w:val="Heading5"/>
      </w:pPr>
      <w:r>
        <w:t>EIV Income and IVT Reports</w:t>
      </w:r>
    </w:p>
    <w:p w:rsidR="00970EEC" w:rsidRDefault="00970EEC">
      <w:pPr>
        <w:pStyle w:val="Heading5"/>
      </w:pPr>
    </w:p>
    <w:p w:rsidR="00970EEC" w:rsidRDefault="00970EEC" w:rsidP="00970EEC">
      <w:pPr>
        <w:rPr>
          <w:sz w:val="24"/>
          <w:szCs w:val="24"/>
        </w:rPr>
      </w:pPr>
      <w:r w:rsidRPr="00970EEC">
        <w:rPr>
          <w:sz w:val="24"/>
          <w:szCs w:val="24"/>
        </w:rPr>
        <w:t>PHAs are required to obtain an EIV Income and IVT report for each family any time the PHA conducts an annual reexamination. However, PHAs are not required to use the EIV Income and IVT reports:</w:t>
      </w:r>
    </w:p>
    <w:p w:rsidR="00257837" w:rsidRDefault="00257837" w:rsidP="00970EEC">
      <w:pPr>
        <w:rPr>
          <w:sz w:val="24"/>
          <w:szCs w:val="24"/>
        </w:rPr>
      </w:pPr>
    </w:p>
    <w:p w:rsidR="00257837" w:rsidRDefault="00257837" w:rsidP="00257837">
      <w:pPr>
        <w:widowControl/>
        <w:numPr>
          <w:ilvl w:val="0"/>
          <w:numId w:val="96"/>
        </w:numPr>
        <w:tabs>
          <w:tab w:val="left" w:pos="360"/>
        </w:tabs>
        <w:autoSpaceDE/>
        <w:autoSpaceDN/>
        <w:spacing w:before="120"/>
        <w:ind w:left="360"/>
      </w:pPr>
      <w:r>
        <w:t>At annual reexamination if the PHA used Safe Harbor verification from another means-test federal assistance program to determine the family’s income</w:t>
      </w:r>
      <w:bookmarkStart w:id="42" w:name="_Hlk135912781"/>
      <w:r>
        <w:t>; or</w:t>
      </w:r>
    </w:p>
    <w:p w:rsidR="00257837" w:rsidRPr="001A669A" w:rsidRDefault="00257837" w:rsidP="00257837">
      <w:pPr>
        <w:widowControl/>
        <w:numPr>
          <w:ilvl w:val="0"/>
          <w:numId w:val="96"/>
        </w:numPr>
        <w:tabs>
          <w:tab w:val="left" w:pos="360"/>
        </w:tabs>
        <w:autoSpaceDE/>
        <w:autoSpaceDN/>
        <w:spacing w:before="120"/>
        <w:ind w:left="360"/>
      </w:pPr>
      <w:r>
        <w:t>During any interim reexaminations.</w:t>
      </w:r>
      <w:bookmarkEnd w:id="42"/>
    </w:p>
    <w:p w:rsidR="00257837" w:rsidRPr="00970EEC" w:rsidRDefault="00257837" w:rsidP="00970EEC">
      <w:pPr>
        <w:rPr>
          <w:sz w:val="24"/>
          <w:szCs w:val="24"/>
        </w:rPr>
      </w:pPr>
    </w:p>
    <w:p w:rsidR="004E13A5" w:rsidRDefault="00681463">
      <w:pPr>
        <w:pStyle w:val="BodyText"/>
        <w:ind w:left="820"/>
        <w:rPr>
          <w:u w:val="single"/>
        </w:rPr>
      </w:pPr>
      <w:r>
        <w:rPr>
          <w:u w:val="single"/>
        </w:rPr>
        <w:t>PHA Policy</w:t>
      </w:r>
    </w:p>
    <w:p w:rsidR="00523403" w:rsidRDefault="00523403">
      <w:pPr>
        <w:pStyle w:val="BodyText"/>
        <w:ind w:left="820"/>
      </w:pPr>
    </w:p>
    <w:p w:rsidR="00523403" w:rsidRDefault="00523403" w:rsidP="00523403">
      <w:pPr>
        <w:ind w:left="820"/>
      </w:pPr>
      <w:r>
        <w:t xml:space="preserve"> T</w:t>
      </w:r>
      <w:r w:rsidRPr="00BF434B">
        <w:t xml:space="preserve">he PHA will obtain </w:t>
      </w:r>
      <w:r>
        <w:t>EIV Income</w:t>
      </w:r>
      <w:r w:rsidRPr="00BF434B">
        <w:t xml:space="preserve"> </w:t>
      </w:r>
      <w:r>
        <w:t xml:space="preserve">and IVT </w:t>
      </w:r>
      <w:r w:rsidRPr="00BF434B">
        <w:t xml:space="preserve">reports </w:t>
      </w:r>
      <w:r>
        <w:t>for all annual reexaminations for all families on a monthly basis. Reports will be generated as part of the regular reexamination process.</w:t>
      </w:r>
      <w:r w:rsidRPr="00C362F1">
        <w:t xml:space="preserve"> </w:t>
      </w:r>
      <w:r>
        <w:t>The PHA will ensure that all EIV Income Reports are pulled within 120 days of the effective date of the annual reexamination.</w:t>
      </w:r>
    </w:p>
    <w:p w:rsidR="00523403" w:rsidRDefault="00523403" w:rsidP="00523403">
      <w:pPr>
        <w:ind w:left="820"/>
      </w:pPr>
      <w:r>
        <w:t>Income and IVT reports will only be used in interim reexaminations as necessary. EIV may be used to verify that families claiming zero income are not receiving income from any of these sources listed in EIV.</w:t>
      </w:r>
    </w:p>
    <w:p w:rsidR="00523403" w:rsidRDefault="00523403" w:rsidP="00523403">
      <w:pPr>
        <w:ind w:left="820"/>
      </w:pPr>
      <w:r>
        <w:t>Income and IVT reports will be retained in participant files with the applicable annual documents or interim reexamination documents (if applicable) for the duration of tenancy.</w:t>
      </w:r>
    </w:p>
    <w:p w:rsidR="00523403" w:rsidRDefault="00523403" w:rsidP="00523403">
      <w:pPr>
        <w:ind w:left="820"/>
      </w:pPr>
      <w:r>
        <w:t>When the PHA determines through EIV reports and third-party verification that a family has concealed or under-reported income, corrective action will be taken pursuant to the policies in Chapter 14, Program Integrity.</w:t>
      </w:r>
    </w:p>
    <w:p w:rsidR="004E13A5" w:rsidRDefault="004E13A5"/>
    <w:p w:rsidR="00257837" w:rsidRDefault="00257837"/>
    <w:p w:rsidR="00257837" w:rsidRDefault="00257837" w:rsidP="00257837">
      <w:pPr>
        <w:rPr>
          <w:b/>
          <w:i/>
        </w:rPr>
      </w:pPr>
      <w:r>
        <w:rPr>
          <w:b/>
          <w:i/>
        </w:rPr>
        <w:t>New Hires Report [Notice PIH 2023-27]</w:t>
      </w:r>
    </w:p>
    <w:p w:rsidR="00257837" w:rsidRDefault="00257837" w:rsidP="00257837">
      <w:r>
        <w:t>PHAs that do not require families to undergo interim reexaminations for earned income increases after an interim decrease are not required to review this report between a family’s annual reexamination. If the PHA requires an interim for increases in earned income after an interim decrease, then the PHA must review the report quarterly after the family’s interim decrease.</w:t>
      </w:r>
    </w:p>
    <w:p w:rsidR="00257837" w:rsidRDefault="00257837"/>
    <w:p w:rsidR="00257837" w:rsidRDefault="00257837"/>
    <w:p w:rsidR="00257837" w:rsidRDefault="00257837" w:rsidP="00257837">
      <w:pPr>
        <w:pStyle w:val="BodyText"/>
        <w:spacing w:before="120"/>
        <w:ind w:left="820"/>
      </w:pPr>
      <w:r>
        <w:rPr>
          <w:u w:val="single"/>
        </w:rPr>
        <w:t>PHA Policy</w:t>
      </w:r>
    </w:p>
    <w:p w:rsidR="00257837" w:rsidRDefault="00257837"/>
    <w:p w:rsidR="00E745A4" w:rsidRDefault="00E745A4" w:rsidP="00E745A4">
      <w:pPr>
        <w:ind w:left="720"/>
      </w:pPr>
      <w:bookmarkStart w:id="43" w:name="_Hlk147483087"/>
      <w:r>
        <w:t>In accordance with PHA policies in Chapter 11, the PHA does not process interim reexaminations for families who have increases in earned income. Except for instances in which the PHA uses Safe Harbor income determinations to determine a family’s annual income, the PHA will only review the New Hires Report at annual reexamination.</w:t>
      </w:r>
    </w:p>
    <w:bookmarkEnd w:id="43"/>
    <w:p w:rsidR="00E745A4" w:rsidRDefault="00E745A4"/>
    <w:p w:rsidR="00C22F65" w:rsidRDefault="00C22F65"/>
    <w:p w:rsidR="00C22F65" w:rsidRDefault="00C22F65" w:rsidP="00C22F65">
      <w:pPr>
        <w:rPr>
          <w:b/>
          <w:i/>
        </w:rPr>
      </w:pPr>
      <w:r>
        <w:rPr>
          <w:b/>
          <w:i/>
        </w:rPr>
        <w:t>No Income Reported by HHS or SSA Report</w:t>
      </w:r>
    </w:p>
    <w:p w:rsidR="00C22F65" w:rsidRDefault="00C22F65" w:rsidP="00C22F65">
      <w:r>
        <w:t>The PHA must identify in its policies and procedures when this report will be pulled [Notice PIH 2023-27].</w:t>
      </w:r>
    </w:p>
    <w:p w:rsidR="00C22F65" w:rsidRDefault="00C22F65"/>
    <w:p w:rsidR="00C22F65" w:rsidRDefault="00C22F65" w:rsidP="00C22F65">
      <w:pPr>
        <w:pStyle w:val="BodyText"/>
        <w:spacing w:before="120"/>
        <w:ind w:left="820"/>
      </w:pPr>
      <w:r>
        <w:tab/>
      </w:r>
      <w:r>
        <w:tab/>
      </w:r>
      <w:r>
        <w:rPr>
          <w:u w:val="single"/>
        </w:rPr>
        <w:t>PHA Policy</w:t>
      </w:r>
    </w:p>
    <w:p w:rsidR="00C22F65" w:rsidRDefault="00C22F65"/>
    <w:p w:rsidR="00C22F65" w:rsidRPr="003D05B6" w:rsidRDefault="00C22F65" w:rsidP="00C22F65">
      <w:pPr>
        <w:pStyle w:val="IndentText1"/>
        <w:ind w:left="1800"/>
      </w:pPr>
      <w:r>
        <w:t xml:space="preserve">The PHA will generate the No Income Reported by HHS or SSA Report quarterly and </w:t>
      </w:r>
      <w:r w:rsidRPr="001A669A">
        <w:t xml:space="preserve">will </w:t>
      </w:r>
      <w:r>
        <w:t>retain the report.</w:t>
      </w:r>
    </w:p>
    <w:p w:rsidR="00C22F65" w:rsidRDefault="00C22F65" w:rsidP="00C22F65">
      <w:pPr>
        <w:pStyle w:val="IndentText1"/>
        <w:ind w:left="1800"/>
      </w:pPr>
      <w:r w:rsidRPr="003D05B6">
        <w:t xml:space="preserve">The </w:t>
      </w:r>
      <w:r>
        <w:t xml:space="preserve">PHA </w:t>
      </w:r>
      <w:r w:rsidRPr="003D05B6">
        <w:t xml:space="preserve">will re-verify the status of tenants identified on the </w:t>
      </w:r>
      <w:r>
        <w:t>report</w:t>
      </w:r>
      <w:r w:rsidRPr="003D05B6">
        <w:t xml:space="preserve"> quarterly. Based on the information provided by the family and in EIV, </w:t>
      </w:r>
      <w:r>
        <w:t>the PHA</w:t>
      </w:r>
      <w:r w:rsidRPr="003D05B6">
        <w:t xml:space="preserve"> may require that family members provide verifications or sign release forms in order to obtain additional verification. </w:t>
      </w:r>
    </w:p>
    <w:p w:rsidR="00C22F65" w:rsidRPr="00F5553B" w:rsidRDefault="00C22F65" w:rsidP="00C22F65">
      <w:pPr>
        <w:pStyle w:val="IndentText1"/>
        <w:ind w:left="1800"/>
        <w:rPr>
          <w:rFonts w:cs="Arial"/>
          <w:i/>
        </w:rPr>
      </w:pPr>
      <w:r>
        <w:t>When the PHA determines through this report and third-party verification that a family has concealed or under-reported income, corrective action will be taken pursuant to the policies in Chapter 14, Program Integrity</w:t>
      </w:r>
    </w:p>
    <w:p w:rsidR="00C22F65" w:rsidRDefault="00C22F65">
      <w:pPr>
        <w:sectPr w:rsidR="00C22F65">
          <w:pgSz w:w="12240" w:h="15840"/>
          <w:pgMar w:top="1000" w:right="1220" w:bottom="1240" w:left="1220" w:header="0" w:footer="998" w:gutter="0"/>
          <w:cols w:space="720"/>
        </w:sectPr>
      </w:pPr>
    </w:p>
    <w:p w:rsidR="00C22F65" w:rsidRDefault="00C22F65">
      <w:pPr>
        <w:pStyle w:val="BodyText"/>
        <w:spacing w:before="120"/>
      </w:pPr>
      <w:r w:rsidRPr="000E4977">
        <w:rPr>
          <w:b/>
          <w:i/>
        </w:rPr>
        <w:lastRenderedPageBreak/>
        <w:t>EIV Identity Verification</w:t>
      </w:r>
      <w:r>
        <w:rPr>
          <w:b/>
          <w:i/>
        </w:rPr>
        <w:t xml:space="preserve"> Report</w:t>
      </w:r>
      <w:r>
        <w:t xml:space="preserve"> </w:t>
      </w:r>
    </w:p>
    <w:p w:rsidR="004E13A5" w:rsidRDefault="00681463">
      <w:pPr>
        <w:pStyle w:val="BodyText"/>
        <w:spacing w:before="120"/>
      </w:pPr>
      <w:r>
        <w:t>The EIV system verifies tenant identities against SSA records. These records are compared to PIC data for a match on social security number, name, and date of birth.</w:t>
      </w:r>
    </w:p>
    <w:p w:rsidR="004E13A5" w:rsidRDefault="00681463">
      <w:pPr>
        <w:pStyle w:val="BodyText"/>
        <w:spacing w:before="120"/>
        <w:ind w:right="555"/>
      </w:pPr>
      <w:r>
        <w:t xml:space="preserve">PHAs are required to use EIV’s </w:t>
      </w:r>
      <w:r>
        <w:rPr>
          <w:i/>
        </w:rPr>
        <w:t xml:space="preserve">Identity Verification Report </w:t>
      </w:r>
      <w:r>
        <w:t>on a monthly basis to improve the availability of income information in EIV [Notice PIH 2018-18].</w:t>
      </w:r>
    </w:p>
    <w:p w:rsidR="004E13A5" w:rsidRDefault="00681463">
      <w:pPr>
        <w:pStyle w:val="BodyText"/>
        <w:spacing w:before="120"/>
        <w:ind w:right="415"/>
      </w:pPr>
      <w:r>
        <w:t>When identity verification for a participant fails, a message will be displayed within the EIV system and no income information will be displayed.</w:t>
      </w:r>
    </w:p>
    <w:p w:rsidR="004E13A5" w:rsidRDefault="00681463">
      <w:pPr>
        <w:pStyle w:val="BodyText"/>
        <w:spacing w:before="120"/>
        <w:ind w:left="820"/>
      </w:pPr>
      <w:r>
        <w:rPr>
          <w:u w:val="single"/>
        </w:rPr>
        <w:t>PHA Policy</w:t>
      </w:r>
    </w:p>
    <w:p w:rsidR="004E13A5" w:rsidRDefault="00681463">
      <w:pPr>
        <w:spacing w:before="120"/>
        <w:ind w:left="820" w:right="648"/>
        <w:rPr>
          <w:sz w:val="24"/>
        </w:rPr>
      </w:pPr>
      <w:r>
        <w:rPr>
          <w:sz w:val="24"/>
        </w:rPr>
        <w:t xml:space="preserve">The PHA will identify participants whose identity verification has failed by reviewing EIV’s </w:t>
      </w:r>
      <w:r>
        <w:rPr>
          <w:i/>
          <w:sz w:val="24"/>
        </w:rPr>
        <w:t xml:space="preserve">Identity Verification Report </w:t>
      </w:r>
      <w:r>
        <w:rPr>
          <w:sz w:val="24"/>
        </w:rPr>
        <w:t>on a monthly basis.</w:t>
      </w:r>
    </w:p>
    <w:p w:rsidR="004E13A5" w:rsidRDefault="00681463">
      <w:pPr>
        <w:pStyle w:val="BodyText"/>
        <w:spacing w:before="120"/>
        <w:ind w:left="820" w:right="136"/>
      </w:pPr>
      <w:r>
        <w:t>The PHA will attempt to resolve PIC/SSA discrepancies by obtaining appropriate documentation from the participant. When the PHA determines that discrepancies exist due to PHA errors such as spelling errors or incorrect birth dates, the errors will be corrected promptly.</w:t>
      </w:r>
    </w:p>
    <w:p w:rsidR="00C22F65" w:rsidRDefault="00C22F65">
      <w:pPr>
        <w:pStyle w:val="BodyText"/>
        <w:spacing w:before="120"/>
        <w:ind w:left="820" w:right="136"/>
      </w:pPr>
    </w:p>
    <w:p w:rsidR="004E13A5" w:rsidRDefault="00681463">
      <w:pPr>
        <w:pStyle w:val="Heading4"/>
        <w:spacing w:before="120"/>
      </w:pPr>
      <w:r>
        <w:t>Upfront Income Verification Using Non-HUD Systems (Optional)</w:t>
      </w:r>
    </w:p>
    <w:p w:rsidR="004E13A5" w:rsidRDefault="00681463">
      <w:pPr>
        <w:pStyle w:val="BodyText"/>
        <w:spacing w:before="120"/>
        <w:ind w:right="415"/>
      </w:pPr>
      <w:r>
        <w:t>In addition to mandatory use of the EIV system, HUD encourages PHAs to utilize other upfront verification sources.</w:t>
      </w:r>
    </w:p>
    <w:p w:rsidR="004E13A5" w:rsidRDefault="00681463">
      <w:pPr>
        <w:pStyle w:val="BodyText"/>
        <w:spacing w:before="120"/>
        <w:ind w:left="820"/>
      </w:pPr>
      <w:r>
        <w:rPr>
          <w:u w:val="single"/>
        </w:rPr>
        <w:t>PHA Policy</w:t>
      </w:r>
    </w:p>
    <w:p w:rsidR="004E13A5" w:rsidRDefault="00681463">
      <w:pPr>
        <w:pStyle w:val="BodyText"/>
        <w:spacing w:before="120"/>
        <w:ind w:left="820" w:right="415"/>
      </w:pPr>
      <w:r>
        <w:t>The PHA will inform all applicants and participants of its use of the following UIV resources during the admission and reexamination process:</w:t>
      </w:r>
    </w:p>
    <w:p w:rsidR="004E13A5" w:rsidRDefault="00681463">
      <w:pPr>
        <w:pStyle w:val="BodyText"/>
        <w:spacing w:before="120"/>
        <w:ind w:left="1540"/>
      </w:pPr>
      <w:r>
        <w:t>HUD’s EIV system</w:t>
      </w:r>
    </w:p>
    <w:p w:rsidR="00C22F65" w:rsidRDefault="00C22F65">
      <w:pPr>
        <w:pStyle w:val="BodyText"/>
        <w:spacing w:before="120"/>
        <w:ind w:left="1540"/>
      </w:pPr>
    </w:p>
    <w:p w:rsidR="004E13A5" w:rsidRDefault="00C22F65">
      <w:pPr>
        <w:pStyle w:val="BodyText"/>
        <w:spacing w:before="9"/>
        <w:ind w:left="0"/>
        <w:rPr>
          <w:b/>
          <w:i/>
        </w:rPr>
      </w:pPr>
      <w:r>
        <w:rPr>
          <w:b/>
          <w:i/>
        </w:rPr>
        <w:t>Deceased Tenants Reports [Notice PIH 2012-4 and Notice PIH 2023-27]</w:t>
      </w:r>
    </w:p>
    <w:p w:rsidR="00C22F65" w:rsidRDefault="00C22F65">
      <w:pPr>
        <w:pStyle w:val="BodyText"/>
        <w:spacing w:before="9"/>
        <w:ind w:left="0"/>
        <w:rPr>
          <w:sz w:val="20"/>
        </w:rPr>
      </w:pPr>
    </w:p>
    <w:p w:rsidR="00C22F65" w:rsidRDefault="00C22F65" w:rsidP="00C22F65">
      <w:pPr>
        <w:tabs>
          <w:tab w:val="left" w:pos="-720"/>
          <w:tab w:val="left" w:pos="0"/>
        </w:tabs>
        <w:rPr>
          <w:color w:val="000000"/>
          <w:szCs w:val="20"/>
        </w:rPr>
      </w:pPr>
      <w:r w:rsidRPr="00C41EF6">
        <w:rPr>
          <w:color w:val="000000"/>
          <w:szCs w:val="20"/>
        </w:rPr>
        <w:t xml:space="preserve">The Deceased Tenant Report identifies residents that have been reported by the SSA as deceased. </w:t>
      </w:r>
      <w:r>
        <w:rPr>
          <w:color w:val="000000"/>
          <w:szCs w:val="20"/>
        </w:rPr>
        <w:t xml:space="preserve"> The PHA is required to review the report at least quarterly. </w:t>
      </w:r>
    </w:p>
    <w:p w:rsidR="00E56E23" w:rsidRDefault="00E56E23" w:rsidP="00C22F65">
      <w:pPr>
        <w:tabs>
          <w:tab w:val="left" w:pos="-720"/>
          <w:tab w:val="left" w:pos="0"/>
        </w:tabs>
        <w:rPr>
          <w:color w:val="000000"/>
          <w:szCs w:val="20"/>
        </w:rPr>
      </w:pPr>
      <w:r>
        <w:rPr>
          <w:color w:val="000000"/>
          <w:szCs w:val="20"/>
        </w:rPr>
        <w:tab/>
      </w:r>
      <w:r>
        <w:rPr>
          <w:color w:val="000000"/>
          <w:szCs w:val="20"/>
        </w:rPr>
        <w:tab/>
      </w:r>
    </w:p>
    <w:p w:rsidR="00E56E23" w:rsidRDefault="00E56E23" w:rsidP="00E56E23">
      <w:pPr>
        <w:pStyle w:val="BodyText"/>
        <w:spacing w:before="120"/>
        <w:ind w:left="820"/>
        <w:rPr>
          <w:u w:val="single"/>
        </w:rPr>
      </w:pPr>
      <w:r>
        <w:rPr>
          <w:u w:val="single"/>
        </w:rPr>
        <w:t>PHA Policy</w:t>
      </w:r>
    </w:p>
    <w:p w:rsidR="00E56E23" w:rsidRDefault="00E56E23" w:rsidP="00E56E23">
      <w:pPr>
        <w:tabs>
          <w:tab w:val="left" w:pos="1800"/>
        </w:tabs>
      </w:pPr>
      <w:r>
        <w:rPr>
          <w:sz w:val="24"/>
          <w:szCs w:val="24"/>
        </w:rPr>
        <w:t xml:space="preserve">            </w:t>
      </w:r>
      <w:r w:rsidRPr="001A669A">
        <w:t>The PHA will review the Deceased</w:t>
      </w:r>
      <w:r>
        <w:t xml:space="preserve"> </w:t>
      </w:r>
      <w:r w:rsidRPr="001A669A">
        <w:t xml:space="preserve">Tenants Report quarterly. </w:t>
      </w:r>
    </w:p>
    <w:p w:rsidR="00E56E23" w:rsidRDefault="00E56E23" w:rsidP="00E56E23">
      <w:pPr>
        <w:tabs>
          <w:tab w:val="left" w:pos="1800"/>
        </w:tabs>
      </w:pPr>
    </w:p>
    <w:p w:rsidR="00E56E23" w:rsidRDefault="00E56E23" w:rsidP="00E56E23">
      <w:pPr>
        <w:tabs>
          <w:tab w:val="left" w:pos="1800"/>
        </w:tabs>
        <w:rPr>
          <w:b/>
        </w:rPr>
      </w:pPr>
      <w:r>
        <w:rPr>
          <w:b/>
        </w:rPr>
        <w:t>Upfront Income Verification Using Non-HUD Systems</w:t>
      </w:r>
    </w:p>
    <w:p w:rsidR="00E56E23" w:rsidRDefault="00E56E23" w:rsidP="00E56E23">
      <w:pPr>
        <w:tabs>
          <w:tab w:val="left" w:pos="1800"/>
        </w:tabs>
      </w:pPr>
    </w:p>
    <w:p w:rsidR="00E56E23" w:rsidRDefault="00E56E23" w:rsidP="00E56E23">
      <w:pPr>
        <w:pStyle w:val="BodyText"/>
        <w:spacing w:before="120"/>
        <w:ind w:left="820"/>
        <w:rPr>
          <w:u w:val="single"/>
        </w:rPr>
      </w:pPr>
      <w:r>
        <w:rPr>
          <w:u w:val="single"/>
        </w:rPr>
        <w:t>PHA Policy</w:t>
      </w:r>
    </w:p>
    <w:p w:rsidR="00E56E23" w:rsidRPr="00E56E23" w:rsidRDefault="00E56E23" w:rsidP="00E56E23">
      <w:pPr>
        <w:pStyle w:val="BodyText"/>
        <w:spacing w:before="120"/>
        <w:ind w:left="820"/>
        <w:rPr>
          <w:u w:val="single"/>
        </w:rPr>
      </w:pPr>
      <w:r>
        <w:rPr>
          <w:color w:val="000000"/>
          <w:szCs w:val="20"/>
        </w:rPr>
        <w:t xml:space="preserve">    </w:t>
      </w:r>
      <w:r>
        <w:t>The PHA will inform all applicants and participants of its use of the following UIV resources:</w:t>
      </w:r>
    </w:p>
    <w:p w:rsidR="00C22F65" w:rsidRDefault="00E56E23" w:rsidP="00C22F65">
      <w:pPr>
        <w:tabs>
          <w:tab w:val="left" w:pos="-720"/>
          <w:tab w:val="left" w:pos="0"/>
        </w:tabs>
        <w:rPr>
          <w:color w:val="000000"/>
          <w:szCs w:val="20"/>
        </w:rPr>
      </w:pPr>
      <w:r>
        <w:rPr>
          <w:color w:val="000000"/>
          <w:szCs w:val="20"/>
        </w:rPr>
        <w:t xml:space="preserve">   </w:t>
      </w:r>
      <w:r>
        <w:rPr>
          <w:color w:val="000000"/>
          <w:szCs w:val="20"/>
        </w:rPr>
        <w:tab/>
      </w:r>
      <w:r>
        <w:rPr>
          <w:color w:val="000000"/>
          <w:szCs w:val="20"/>
        </w:rPr>
        <w:tab/>
      </w:r>
      <w:r>
        <w:rPr>
          <w:color w:val="000000"/>
          <w:szCs w:val="20"/>
        </w:rPr>
        <w:tab/>
        <w:t>TANF</w:t>
      </w:r>
    </w:p>
    <w:p w:rsidR="00E56E23" w:rsidRDefault="00E56E23" w:rsidP="00C22F65">
      <w:pPr>
        <w:tabs>
          <w:tab w:val="left" w:pos="-720"/>
          <w:tab w:val="left" w:pos="0"/>
        </w:tabs>
        <w:rPr>
          <w:color w:val="000000"/>
          <w:szCs w:val="20"/>
        </w:rPr>
      </w:pPr>
      <w:r>
        <w:rPr>
          <w:color w:val="000000"/>
          <w:szCs w:val="20"/>
        </w:rPr>
        <w:tab/>
      </w:r>
      <w:r>
        <w:rPr>
          <w:color w:val="000000"/>
          <w:szCs w:val="20"/>
        </w:rPr>
        <w:tab/>
      </w:r>
      <w:r>
        <w:rPr>
          <w:color w:val="000000"/>
          <w:szCs w:val="20"/>
        </w:rPr>
        <w:tab/>
        <w:t xml:space="preserve">Work Number </w:t>
      </w:r>
    </w:p>
    <w:p w:rsidR="00E56E23" w:rsidRDefault="00E56E23" w:rsidP="00C22F65">
      <w:pPr>
        <w:tabs>
          <w:tab w:val="left" w:pos="-720"/>
          <w:tab w:val="left" w:pos="0"/>
        </w:tabs>
        <w:rPr>
          <w:color w:val="000000"/>
          <w:szCs w:val="20"/>
        </w:rPr>
      </w:pPr>
    </w:p>
    <w:p w:rsidR="00E56E23" w:rsidRDefault="00E56E23" w:rsidP="00C22F65">
      <w:pPr>
        <w:tabs>
          <w:tab w:val="left" w:pos="-720"/>
          <w:tab w:val="left" w:pos="0"/>
        </w:tabs>
        <w:rPr>
          <w:color w:val="000000"/>
          <w:szCs w:val="20"/>
        </w:rPr>
      </w:pPr>
    </w:p>
    <w:p w:rsidR="00E56E23" w:rsidRDefault="00E56E23" w:rsidP="00C22F65">
      <w:pPr>
        <w:tabs>
          <w:tab w:val="left" w:pos="-720"/>
          <w:tab w:val="left" w:pos="0"/>
        </w:tabs>
        <w:rPr>
          <w:color w:val="000000"/>
          <w:szCs w:val="20"/>
        </w:rPr>
      </w:pPr>
    </w:p>
    <w:p w:rsidR="00E56E23" w:rsidRDefault="00E56E23" w:rsidP="00C22F65">
      <w:pPr>
        <w:tabs>
          <w:tab w:val="left" w:pos="-720"/>
          <w:tab w:val="left" w:pos="0"/>
        </w:tabs>
        <w:rPr>
          <w:color w:val="000000"/>
          <w:szCs w:val="20"/>
        </w:rPr>
      </w:pPr>
    </w:p>
    <w:p w:rsidR="00C22F65" w:rsidRDefault="00C22F65">
      <w:pPr>
        <w:pStyle w:val="BodyText"/>
        <w:spacing w:before="9"/>
        <w:ind w:left="0"/>
        <w:rPr>
          <w:sz w:val="20"/>
        </w:rPr>
      </w:pPr>
    </w:p>
    <w:p w:rsidR="00E56E23" w:rsidRDefault="00E56E23" w:rsidP="00E56E23">
      <w:pPr>
        <w:pStyle w:val="BodyText"/>
        <w:spacing w:before="120"/>
        <w:ind w:right="107"/>
        <w:rPr>
          <w:b/>
          <w:bCs/>
          <w:iCs/>
        </w:rPr>
      </w:pPr>
      <w:bookmarkStart w:id="44" w:name="_Hlk149149883"/>
      <w:r w:rsidRPr="00D06965">
        <w:rPr>
          <w:b/>
          <w:bCs/>
          <w:iCs/>
        </w:rPr>
        <w:lastRenderedPageBreak/>
        <w:t>7-I.</w:t>
      </w:r>
      <w:r>
        <w:rPr>
          <w:b/>
          <w:bCs/>
          <w:iCs/>
        </w:rPr>
        <w:t>F</w:t>
      </w:r>
      <w:r w:rsidRPr="00D06965">
        <w:rPr>
          <w:b/>
          <w:bCs/>
          <w:iCs/>
        </w:rPr>
        <w:t xml:space="preserve">. </w:t>
      </w:r>
      <w:r>
        <w:rPr>
          <w:b/>
          <w:bCs/>
          <w:iCs/>
        </w:rPr>
        <w:t>LEVEL 4</w:t>
      </w:r>
      <w:r w:rsidRPr="00D06965">
        <w:rPr>
          <w:b/>
          <w:bCs/>
          <w:iCs/>
        </w:rPr>
        <w:t xml:space="preserve"> VERIFICATION</w:t>
      </w:r>
      <w:r>
        <w:rPr>
          <w:b/>
          <w:bCs/>
          <w:iCs/>
        </w:rPr>
        <w:t xml:space="preserve"> [Notice PIH 2023-27]</w:t>
      </w:r>
      <w:bookmarkEnd w:id="44"/>
    </w:p>
    <w:p w:rsidR="00E56E23" w:rsidRDefault="00E56E23" w:rsidP="00E56E23">
      <w:pPr>
        <w:pStyle w:val="BodyText"/>
        <w:spacing w:before="120"/>
        <w:ind w:right="107"/>
        <w:rPr>
          <w:b/>
          <w:bCs/>
          <w:iCs/>
        </w:rPr>
      </w:pPr>
    </w:p>
    <w:p w:rsidR="00E56E23" w:rsidRDefault="00E56E23" w:rsidP="00E56E23">
      <w:pPr>
        <w:rPr>
          <w:bCs/>
          <w:iCs/>
        </w:rPr>
      </w:pPr>
      <w:r>
        <w:rPr>
          <w:bCs/>
          <w:iCs/>
        </w:rPr>
        <w:t>HUD identifies two types of Level 4 verification: written-third party verification from the source and EIV + self-certification.</w:t>
      </w:r>
    </w:p>
    <w:p w:rsidR="00E56E23" w:rsidRDefault="00E56E23" w:rsidP="00E56E23">
      <w:pPr>
        <w:rPr>
          <w:bCs/>
          <w:iCs/>
        </w:rPr>
      </w:pPr>
    </w:p>
    <w:p w:rsidR="00E56E23" w:rsidRDefault="00E56E23" w:rsidP="00E56E23">
      <w:pPr>
        <w:rPr>
          <w:b/>
          <w:bCs/>
          <w:iCs/>
        </w:rPr>
      </w:pPr>
      <w:r>
        <w:rPr>
          <w:b/>
          <w:bCs/>
          <w:iCs/>
        </w:rPr>
        <w:t>EIV + Self-Certification</w:t>
      </w:r>
    </w:p>
    <w:p w:rsidR="00E56E23" w:rsidRDefault="00E56E23" w:rsidP="00E56E23">
      <w:pPr>
        <w:pStyle w:val="BodyText"/>
        <w:spacing w:before="120"/>
        <w:ind w:left="820"/>
        <w:rPr>
          <w:u w:val="single"/>
        </w:rPr>
      </w:pPr>
      <w:r>
        <w:rPr>
          <w:b/>
          <w:bCs/>
          <w:iCs/>
        </w:rPr>
        <w:tab/>
      </w:r>
      <w:r>
        <w:rPr>
          <w:b/>
          <w:bCs/>
          <w:iCs/>
        </w:rPr>
        <w:tab/>
      </w:r>
      <w:r>
        <w:rPr>
          <w:u w:val="single"/>
        </w:rPr>
        <w:t>PHA Policy</w:t>
      </w:r>
    </w:p>
    <w:p w:rsidR="00E56E23" w:rsidRDefault="00E56E23" w:rsidP="00E56E23">
      <w:pPr>
        <w:rPr>
          <w:b/>
          <w:bCs/>
          <w:iCs/>
        </w:rPr>
      </w:pPr>
    </w:p>
    <w:p w:rsidR="00E56E23" w:rsidRDefault="00E56E23" w:rsidP="00E56E23">
      <w:pPr>
        <w:rPr>
          <w:b/>
          <w:bCs/>
          <w:iCs/>
        </w:rPr>
      </w:pPr>
    </w:p>
    <w:p w:rsidR="00E56E23" w:rsidRDefault="00E56E23" w:rsidP="00E56E23">
      <w:pPr>
        <w:pStyle w:val="Default"/>
        <w:spacing w:before="120"/>
        <w:ind w:left="1800"/>
        <w:rPr>
          <w:rFonts w:ascii="Times New Roman" w:hAnsi="Times New Roman" w:cs="Times New Roman"/>
          <w:bCs/>
          <w:iCs/>
          <w:color w:val="auto"/>
        </w:rPr>
      </w:pPr>
      <w:r>
        <w:rPr>
          <w:rFonts w:ascii="Times New Roman" w:hAnsi="Times New Roman" w:cs="Times New Roman"/>
          <w:bCs/>
          <w:iCs/>
          <w:color w:val="auto"/>
        </w:rPr>
        <w:t>At annual reexamination, if the PHA is unable to use a determination of income from a means-tested federal assistance program and</w:t>
      </w:r>
      <w:r w:rsidRPr="00CE187D">
        <w:rPr>
          <w:rFonts w:ascii="Times New Roman" w:hAnsi="Times New Roman" w:cs="Times New Roman"/>
          <w:bCs/>
          <w:iCs/>
          <w:color w:val="auto"/>
        </w:rPr>
        <w:t xml:space="preserve"> if there are no reported changes to an income source, the PHA will use EIV </w:t>
      </w:r>
      <w:r>
        <w:rPr>
          <w:rFonts w:ascii="Times New Roman" w:hAnsi="Times New Roman" w:cs="Times New Roman"/>
          <w:bCs/>
          <w:iCs/>
          <w:color w:val="auto"/>
        </w:rPr>
        <w:t>+ self-certification as verification of employment income, provided the family agrees with the amounts listed in EIV.</w:t>
      </w:r>
    </w:p>
    <w:p w:rsidR="00E56E23" w:rsidRDefault="00E56E23" w:rsidP="00E56E23">
      <w:pPr>
        <w:pStyle w:val="Default"/>
        <w:spacing w:before="120"/>
        <w:ind w:left="1800"/>
        <w:rPr>
          <w:rFonts w:ascii="Times New Roman" w:hAnsi="Times New Roman" w:cs="Times New Roman"/>
          <w:bCs/>
          <w:iCs/>
          <w:color w:val="auto"/>
        </w:rPr>
      </w:pPr>
      <w:r>
        <w:rPr>
          <w:rFonts w:ascii="Times New Roman" w:hAnsi="Times New Roman" w:cs="Times New Roman"/>
          <w:bCs/>
          <w:iCs/>
          <w:color w:val="auto"/>
        </w:rPr>
        <w:t>The PHA</w:t>
      </w:r>
      <w:r w:rsidRPr="00CE187D">
        <w:rPr>
          <w:rFonts w:ascii="Times New Roman" w:hAnsi="Times New Roman" w:cs="Times New Roman"/>
          <w:bCs/>
          <w:iCs/>
          <w:color w:val="auto"/>
        </w:rPr>
        <w:t xml:space="preserve"> will use </w:t>
      </w:r>
      <w:r>
        <w:rPr>
          <w:rFonts w:ascii="Times New Roman" w:hAnsi="Times New Roman" w:cs="Times New Roman"/>
          <w:bCs/>
          <w:iCs/>
          <w:color w:val="auto"/>
        </w:rPr>
        <w:t>an average of the last two quarters of income listed in EIV to determine income from employment</w:t>
      </w:r>
      <w:r w:rsidRPr="00CE187D">
        <w:rPr>
          <w:rFonts w:ascii="Times New Roman" w:hAnsi="Times New Roman" w:cs="Times New Roman"/>
          <w:bCs/>
          <w:iCs/>
          <w:color w:val="auto"/>
        </w:rPr>
        <w:t xml:space="preserve">. </w:t>
      </w:r>
      <w:r>
        <w:rPr>
          <w:rFonts w:ascii="Times New Roman" w:hAnsi="Times New Roman" w:cs="Times New Roman"/>
          <w:bCs/>
          <w:iCs/>
          <w:color w:val="auto"/>
        </w:rPr>
        <w:t>The PHA will provide the family with the information in EIV. The family will be required to sign a self-certification stating that the amount listed in EIV is accurate and representative of current income. If the family disagrees with the amount in EIV, the amount is not reflective of current income, or if less than two quarters are available in EIV, the PHA will use written third-party verification from the source as outlined below.</w:t>
      </w:r>
    </w:p>
    <w:p w:rsidR="00E56E23" w:rsidRDefault="00E56E23" w:rsidP="00E56E23">
      <w:pPr>
        <w:ind w:left="1800"/>
        <w:rPr>
          <w:bCs/>
          <w:iCs/>
        </w:rPr>
      </w:pPr>
      <w:r>
        <w:rPr>
          <w:bCs/>
          <w:iCs/>
        </w:rPr>
        <w:t>The PHA will not use this method of verification at new admission since EIV is not available for applicant families or at interim reexamination since the income information in EIV is not current.</w:t>
      </w:r>
    </w:p>
    <w:p w:rsidR="00E56E23" w:rsidRDefault="00E56E23" w:rsidP="00E56E23">
      <w:pPr>
        <w:rPr>
          <w:b/>
          <w:bCs/>
          <w:iCs/>
        </w:rPr>
      </w:pPr>
    </w:p>
    <w:p w:rsidR="0057094E" w:rsidRDefault="0057094E">
      <w:pPr>
        <w:pStyle w:val="BodyText"/>
        <w:spacing w:before="120"/>
        <w:ind w:right="249"/>
      </w:pPr>
      <w:r w:rsidRPr="001A669A">
        <w:rPr>
          <w:b/>
          <w:iCs/>
        </w:rPr>
        <w:t>Written Third-Party Verification from the Source</w:t>
      </w:r>
      <w:r>
        <w:t xml:space="preserve"> </w:t>
      </w:r>
    </w:p>
    <w:p w:rsidR="0057094E" w:rsidRDefault="0057094E">
      <w:pPr>
        <w:pStyle w:val="BodyText"/>
        <w:spacing w:before="120"/>
        <w:ind w:right="249"/>
      </w:pPr>
    </w:p>
    <w:p w:rsidR="0057094E" w:rsidRPr="0057094E" w:rsidRDefault="0057094E" w:rsidP="0057094E">
      <w:pPr>
        <w:rPr>
          <w:bCs/>
          <w:iCs/>
        </w:rPr>
      </w:pPr>
      <w:r>
        <w:rPr>
          <w:bCs/>
          <w:iCs/>
        </w:rPr>
        <w:t>While HUD considers standardized third-party forms to be less reliable than the third-party written verification described above, this form of verification is mandatory when the family cannot provide acceptable documentation. Written third-party verification is also required when there appears to be unreported income and other forms of verification are not available.</w:t>
      </w:r>
    </w:p>
    <w:p w:rsidR="004E13A5" w:rsidRDefault="00681463">
      <w:pPr>
        <w:pStyle w:val="BodyText"/>
        <w:spacing w:before="120"/>
        <w:ind w:right="249"/>
      </w:pPr>
      <w:r>
        <w:t>Written third-party verification documents must be original and authentic and may be supplied by the family or received from a third-party source.</w:t>
      </w:r>
    </w:p>
    <w:p w:rsidR="004E13A5" w:rsidRDefault="00681463">
      <w:pPr>
        <w:pStyle w:val="BodyText"/>
        <w:ind w:right="522"/>
      </w:pPr>
      <w:r>
        <w:t>Examples of acceptable tenant-provided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 notices.</w:t>
      </w:r>
    </w:p>
    <w:p w:rsidR="004E13A5" w:rsidRDefault="004E13A5">
      <w:pPr>
        <w:sectPr w:rsidR="004E13A5">
          <w:pgSz w:w="12240" w:h="15840"/>
          <w:pgMar w:top="1000" w:right="1260" w:bottom="1240" w:left="1220" w:header="0" w:footer="998" w:gutter="0"/>
          <w:cols w:space="720"/>
        </w:sectPr>
      </w:pPr>
    </w:p>
    <w:p w:rsidR="004E13A5" w:rsidRDefault="00681463">
      <w:pPr>
        <w:pStyle w:val="BodyText"/>
        <w:spacing w:before="79"/>
      </w:pPr>
      <w:r>
        <w:lastRenderedPageBreak/>
        <w:t>The PHA may reject documentation provided by the family if the document is not an original, if the document appears to be forged, or if the document is altered, mutilated, or illegible.</w:t>
      </w:r>
    </w:p>
    <w:p w:rsidR="004E13A5" w:rsidRDefault="00681463">
      <w:pPr>
        <w:pStyle w:val="BodyText"/>
        <w:spacing w:before="120"/>
        <w:ind w:left="820"/>
      </w:pPr>
      <w:r>
        <w:rPr>
          <w:u w:val="single"/>
        </w:rPr>
        <w:t>PHA Policy</w:t>
      </w:r>
    </w:p>
    <w:p w:rsidR="004E13A5" w:rsidRDefault="00681463">
      <w:pPr>
        <w:pStyle w:val="BodyText"/>
        <w:ind w:left="820" w:right="481"/>
      </w:pPr>
      <w:r>
        <w:t>Third-party documents provided by the family must be dated within 60 days of the PHA request date.</w:t>
      </w:r>
    </w:p>
    <w:p w:rsidR="004E13A5" w:rsidRDefault="00681463">
      <w:pPr>
        <w:pStyle w:val="BodyText"/>
        <w:ind w:left="820"/>
      </w:pPr>
      <w:r>
        <w:t>If the PHA determines that third-party documents provided by the family are not acceptable, the PHA will explain the reason to the family and request additional documentation.</w:t>
      </w:r>
    </w:p>
    <w:p w:rsidR="004E13A5" w:rsidRDefault="00681463">
      <w:pPr>
        <w:pStyle w:val="BodyText"/>
        <w:ind w:left="820" w:right="295"/>
      </w:pPr>
      <w:r>
        <w:t>As verification of earned income, the PHA will require the family to provide the two most current, consecutive pay stubs. At the PHA’s discretion, if additional paystubs are needed due to the family’s circumstances (e.g., sporadic income, fluctuating schedule, etc.), the PHA may request additional paystubs or a payroll record.</w:t>
      </w:r>
    </w:p>
    <w:p w:rsidR="00E04AFE" w:rsidRDefault="00E04AFE">
      <w:pPr>
        <w:pStyle w:val="BodyText"/>
        <w:ind w:left="820" w:right="295"/>
      </w:pPr>
    </w:p>
    <w:p w:rsidR="00E04AFE" w:rsidRDefault="00E04AFE">
      <w:pPr>
        <w:pStyle w:val="BodyText"/>
        <w:ind w:left="820" w:right="295"/>
      </w:pPr>
      <w:r w:rsidRPr="00D06965">
        <w:rPr>
          <w:b/>
          <w:bCs/>
          <w:iCs/>
        </w:rPr>
        <w:t>7-I.</w:t>
      </w:r>
      <w:r>
        <w:rPr>
          <w:b/>
          <w:bCs/>
          <w:iCs/>
        </w:rPr>
        <w:t>G</w:t>
      </w:r>
      <w:r w:rsidRPr="00D06965">
        <w:rPr>
          <w:b/>
          <w:bCs/>
          <w:iCs/>
        </w:rPr>
        <w:t xml:space="preserve">. </w:t>
      </w:r>
      <w:r w:rsidRPr="009C6952">
        <w:rPr>
          <w:b/>
        </w:rPr>
        <w:t xml:space="preserve">. </w:t>
      </w:r>
      <w:bookmarkStart w:id="45" w:name="_Hlk149150198"/>
      <w:r w:rsidRPr="009C6952">
        <w:rPr>
          <w:b/>
        </w:rPr>
        <w:t xml:space="preserve">LEVEL 3 VERIFICATION: </w:t>
      </w:r>
      <w:bookmarkEnd w:id="45"/>
      <w:r w:rsidRPr="009C6952">
        <w:rPr>
          <w:b/>
        </w:rPr>
        <w:t>WRITTEN, THIRD-PARTY FORM</w:t>
      </w:r>
      <w:r w:rsidRPr="009C6952">
        <w:rPr>
          <w:b/>
          <w:bCs/>
          <w:iCs/>
        </w:rPr>
        <w:t xml:space="preserve"> [</w:t>
      </w:r>
      <w:bookmarkStart w:id="46" w:name="_Hlk149133659"/>
      <w:r w:rsidRPr="009C6952">
        <w:rPr>
          <w:b/>
          <w:bCs/>
          <w:iCs/>
        </w:rPr>
        <w:t>Notice</w:t>
      </w:r>
      <w:r>
        <w:rPr>
          <w:b/>
          <w:bCs/>
          <w:iCs/>
        </w:rPr>
        <w:t> </w:t>
      </w:r>
      <w:r w:rsidRPr="009C6952">
        <w:rPr>
          <w:b/>
          <w:bCs/>
          <w:iCs/>
        </w:rPr>
        <w:t>PIH</w:t>
      </w:r>
      <w:r>
        <w:rPr>
          <w:b/>
          <w:bCs/>
          <w:iCs/>
        </w:rPr>
        <w:t> </w:t>
      </w:r>
      <w:r w:rsidRPr="009C6952">
        <w:rPr>
          <w:b/>
          <w:bCs/>
          <w:iCs/>
        </w:rPr>
        <w:t>2023</w:t>
      </w:r>
      <w:r>
        <w:rPr>
          <w:b/>
          <w:bCs/>
          <w:iCs/>
        </w:rPr>
        <w:t> </w:t>
      </w:r>
      <w:r>
        <w:rPr>
          <w:b/>
          <w:bCs/>
          <w:iCs/>
        </w:rPr>
        <w:noBreakHyphen/>
      </w:r>
      <w:r w:rsidRPr="009C6952">
        <w:rPr>
          <w:b/>
          <w:bCs/>
          <w:iCs/>
        </w:rPr>
        <w:t>27</w:t>
      </w:r>
      <w:bookmarkEnd w:id="46"/>
      <w:r w:rsidRPr="009C6952">
        <w:rPr>
          <w:b/>
          <w:bCs/>
          <w:iCs/>
        </w:rPr>
        <w:t>]</w:t>
      </w:r>
    </w:p>
    <w:p w:rsidR="004E13A5" w:rsidRDefault="00681463">
      <w:pPr>
        <w:pStyle w:val="Heading4"/>
        <w:spacing w:before="119"/>
      </w:pPr>
      <w:r>
        <w:t>Written Third-Party Verification Form</w:t>
      </w:r>
    </w:p>
    <w:p w:rsidR="004E13A5" w:rsidRDefault="00681463">
      <w:pPr>
        <w:pStyle w:val="BodyText"/>
        <w:spacing w:before="120"/>
        <w:ind w:right="115"/>
      </w:pPr>
      <w:r>
        <w:t>When upfront verification is not available and the family is unable to provide written third-party documents, the PHA must request a written third-party verification form. HUD’s position is that this traditional third-party verification method presents administrative burdens and risks which may be reduced through the use of family-provided third-party documents.</w:t>
      </w:r>
    </w:p>
    <w:p w:rsidR="004E13A5" w:rsidRDefault="00681463">
      <w:pPr>
        <w:pStyle w:val="BodyText"/>
      </w:pPr>
      <w:r>
        <w:t>PHAs may mail, fax, or email third-party written verification form requests to third-party sources.</w:t>
      </w:r>
    </w:p>
    <w:p w:rsidR="004E13A5" w:rsidRDefault="00681463">
      <w:pPr>
        <w:pStyle w:val="BodyText"/>
        <w:ind w:left="820"/>
      </w:pPr>
      <w:r>
        <w:rPr>
          <w:u w:val="single"/>
        </w:rPr>
        <w:t>PHA Policy</w:t>
      </w:r>
    </w:p>
    <w:p w:rsidR="004E13A5" w:rsidRDefault="00681463">
      <w:pPr>
        <w:pStyle w:val="BodyText"/>
        <w:ind w:left="820"/>
      </w:pPr>
      <w:r>
        <w:t>The PHA will send third-party verification forms directly to the third party.</w:t>
      </w:r>
    </w:p>
    <w:p w:rsidR="004E13A5" w:rsidRDefault="00681463">
      <w:pPr>
        <w:pStyle w:val="BodyText"/>
        <w:ind w:left="820" w:right="616"/>
      </w:pPr>
      <w:r>
        <w:t>Third-party verification forms will be sent when third-party verification documents are unavailable or are rejected by the PHA.</w:t>
      </w:r>
    </w:p>
    <w:p w:rsidR="00E04AFE" w:rsidRDefault="00E04AFE">
      <w:pPr>
        <w:pStyle w:val="BodyText"/>
        <w:ind w:left="820" w:right="616"/>
      </w:pPr>
      <w:r>
        <w:rPr>
          <w:b/>
          <w:bCs/>
          <w:iCs/>
        </w:rPr>
        <w:t xml:space="preserve">7.I.H. </w:t>
      </w:r>
      <w:r w:rsidRPr="009C6952">
        <w:rPr>
          <w:b/>
          <w:bCs/>
          <w:iCs/>
        </w:rPr>
        <w:t xml:space="preserve">LEVEL 2: </w:t>
      </w:r>
      <w:r>
        <w:rPr>
          <w:b/>
          <w:bCs/>
          <w:iCs/>
        </w:rPr>
        <w:t>ORAL THIRD-PARTY VERIFICATION [Notice PIH 2023-27]</w:t>
      </w:r>
    </w:p>
    <w:p w:rsidR="004E13A5" w:rsidRDefault="00681463">
      <w:pPr>
        <w:pStyle w:val="Heading4"/>
        <w:spacing w:before="119"/>
      </w:pPr>
      <w:r>
        <w:t>Oral Third-Party Verification [Notice PIH 2018-18]</w:t>
      </w:r>
    </w:p>
    <w:p w:rsidR="004E13A5" w:rsidRDefault="00681463">
      <w:pPr>
        <w:pStyle w:val="BodyText"/>
        <w:ind w:right="609"/>
      </w:pPr>
      <w:r>
        <w:t>For third-party oral verification, PHAs contact sources, identified by UIV techniques or by the family, by telephone or in person.</w:t>
      </w:r>
    </w:p>
    <w:p w:rsidR="004E13A5" w:rsidRDefault="00681463">
      <w:pPr>
        <w:pStyle w:val="BodyText"/>
        <w:ind w:right="762"/>
      </w:pPr>
      <w:r>
        <w:t>Oral third-party verification is mandatory if neither form of written third-party verification is available.</w:t>
      </w:r>
    </w:p>
    <w:p w:rsidR="004E13A5" w:rsidRDefault="00681463">
      <w:pPr>
        <w:pStyle w:val="BodyText"/>
        <w:ind w:right="336"/>
      </w:pPr>
      <w:r>
        <w:t>Third-party oral verification may be used when requests for written third-party verification forms have not been returned within a reasonable time—e.g., 10 business days.</w:t>
      </w:r>
    </w:p>
    <w:p w:rsidR="004E13A5" w:rsidRDefault="00681463">
      <w:pPr>
        <w:pStyle w:val="BodyText"/>
        <w:ind w:right="362"/>
      </w:pPr>
      <w:r>
        <w:t>PHAs should document in the file the date and time of the telephone call or visit, the name of the person contacted, the telephone number, as well as the information confirmed.</w:t>
      </w:r>
    </w:p>
    <w:p w:rsidR="004E13A5" w:rsidRDefault="00681463">
      <w:pPr>
        <w:pStyle w:val="BodyText"/>
        <w:ind w:left="820"/>
      </w:pPr>
      <w:r>
        <w:rPr>
          <w:u w:val="single"/>
        </w:rPr>
        <w:t>PHA Policy</w:t>
      </w:r>
    </w:p>
    <w:p w:rsidR="004E13A5" w:rsidRDefault="00681463">
      <w:pPr>
        <w:pStyle w:val="BodyText"/>
        <w:ind w:left="820"/>
      </w:pPr>
      <w:r>
        <w:t>In collecting third-party oral verification, PHA staff will record in the family’s file the name and title of the person contacted, the date and time of the conversation (or attempt), the telephone number used, and the facts provided.</w:t>
      </w:r>
    </w:p>
    <w:p w:rsidR="004E13A5" w:rsidRDefault="00681463">
      <w:pPr>
        <w:pStyle w:val="BodyText"/>
        <w:ind w:left="820" w:right="183"/>
      </w:pPr>
      <w:r>
        <w:t xml:space="preserve">When any source responds verbally to the initial written request for verification the PHA </w:t>
      </w:r>
      <w:r>
        <w:lastRenderedPageBreak/>
        <w:t>will accept the verbal response as oral verification but will also request that the source complete and return any verification forms that were provided.</w:t>
      </w:r>
    </w:p>
    <w:p w:rsidR="004E13A5" w:rsidRDefault="004E13A5">
      <w:pPr>
        <w:sectPr w:rsidR="004E13A5">
          <w:pgSz w:w="12240" w:h="15840"/>
          <w:pgMar w:top="1000" w:right="1220" w:bottom="1240" w:left="1220" w:header="0" w:footer="998" w:gutter="0"/>
          <w:cols w:space="720"/>
        </w:sectPr>
      </w:pPr>
    </w:p>
    <w:p w:rsidR="00F31EE6" w:rsidRDefault="00F31EE6">
      <w:pPr>
        <w:pStyle w:val="Heading4"/>
        <w:spacing w:before="79"/>
      </w:pPr>
      <w:bookmarkStart w:id="47" w:name="_Hlk149151543"/>
      <w:r w:rsidRPr="009C6952">
        <w:rPr>
          <w:b w:val="0"/>
        </w:rPr>
        <w:lastRenderedPageBreak/>
        <w:t>7-I.</w:t>
      </w:r>
      <w:r>
        <w:rPr>
          <w:b w:val="0"/>
        </w:rPr>
        <w:t>I</w:t>
      </w:r>
      <w:r w:rsidRPr="009C6952">
        <w:rPr>
          <w:b w:val="0"/>
        </w:rPr>
        <w:t>. LEVEL 1: NON-THIRD-PARTY VERIFICATION TECHNIQUE: SELF-CERTIFICATION</w:t>
      </w:r>
      <w:bookmarkEnd w:id="47"/>
      <w:r w:rsidRPr="009C6952">
        <w:rPr>
          <w:b w:val="0"/>
        </w:rPr>
        <w:t xml:space="preserve"> [Notice PIH 2023-27]</w:t>
      </w:r>
    </w:p>
    <w:p w:rsidR="00F31EE6" w:rsidRPr="00D06965" w:rsidRDefault="00F31EE6" w:rsidP="00F31EE6">
      <w:pPr>
        <w:rPr>
          <w:bCs/>
          <w:iCs/>
        </w:rPr>
      </w:pPr>
      <w:r w:rsidRPr="003016DC">
        <w:rPr>
          <w:bCs/>
          <w:iCs/>
        </w:rPr>
        <w:t>Non-third-party verification consists of a signed statement of reported income and/or expenses to. This verification method should be used as a last resort when the PHA has not been successful in obtain information via all other required verification techniques</w:t>
      </w:r>
      <w:r w:rsidRPr="00D06965">
        <w:rPr>
          <w:bCs/>
          <w:iCs/>
        </w:rPr>
        <w:t>.</w:t>
      </w:r>
    </w:p>
    <w:p w:rsidR="00F31EE6" w:rsidRDefault="00F31EE6" w:rsidP="00F31EE6">
      <w:pPr>
        <w:pStyle w:val="BodyText"/>
        <w:ind w:left="820"/>
      </w:pPr>
      <w:r w:rsidRPr="00F31EE6">
        <w:rPr>
          <w:u w:val="single"/>
        </w:rPr>
        <w:t xml:space="preserve"> </w:t>
      </w:r>
      <w:r>
        <w:rPr>
          <w:u w:val="single"/>
        </w:rPr>
        <w:t>PHA Policy</w:t>
      </w:r>
    </w:p>
    <w:p w:rsidR="00F31EE6" w:rsidRDefault="00F31EE6" w:rsidP="00F31EE6">
      <w:pPr>
        <w:ind w:left="1800"/>
      </w:pPr>
      <w:r>
        <w:t xml:space="preserve"> </w:t>
      </w:r>
      <w:r w:rsidRPr="004926A1">
        <w:t>When information cannot be verified by a third party or by review of documents, family members will be required to submit self-certifications attesting to the accuracy of the information they have provided to the PHA.</w:t>
      </w:r>
    </w:p>
    <w:p w:rsidR="00F31EE6" w:rsidRPr="00D06965" w:rsidRDefault="00F31EE6" w:rsidP="00F31EE6">
      <w:pPr>
        <w:ind w:left="1800"/>
      </w:pPr>
      <w:r w:rsidRPr="00D06965">
        <w:t xml:space="preserve">The PHA may require a family to certify that a family member does </w:t>
      </w:r>
      <w:r w:rsidRPr="00D06965">
        <w:rPr>
          <w:u w:val="single"/>
        </w:rPr>
        <w:t>not</w:t>
      </w:r>
      <w:r w:rsidRPr="00D06965">
        <w:t xml:space="preserve"> receive a partic</w:t>
      </w:r>
      <w:r>
        <w:t>ular type of income or benefit.</w:t>
      </w:r>
    </w:p>
    <w:p w:rsidR="00F31EE6" w:rsidRDefault="00F31EE6" w:rsidP="00F31EE6">
      <w:pPr>
        <w:ind w:left="1800"/>
      </w:pPr>
      <w:r w:rsidRPr="00D06965">
        <w:t>The self-certification must be made in a format acceptable to the PHA and must be signed by the family member whose information or status is being verified.</w:t>
      </w:r>
    </w:p>
    <w:p w:rsidR="00F31EE6" w:rsidRDefault="00F31EE6" w:rsidP="00F31EE6">
      <w:pPr>
        <w:ind w:left="1800"/>
      </w:pPr>
      <w:r>
        <w:t>All self-certifications will include the following language:</w:t>
      </w:r>
    </w:p>
    <w:p w:rsidR="00F31EE6" w:rsidRPr="00D06965" w:rsidRDefault="00F31EE6" w:rsidP="00F31EE6">
      <w:pPr>
        <w:ind w:left="1800"/>
      </w:pPr>
      <w:r>
        <w:t>“I/We, the undersigned, certify under penalty of perjury that the information provided here is true and correct, to the best of my knowledge and recollection. WARNING: Anyone who knowingly submits a false claim or knowingly makes a false statement is subject to criminal and/or civil penalties, including confinement for up to five years, fines, and civil and administrative penalties. (18 U.S.C. 287, 1001, 1010, 1012; 31 U.S.C. 3279, 3802)”.</w:t>
      </w:r>
    </w:p>
    <w:p w:rsidR="004E13A5" w:rsidRDefault="00681463">
      <w:pPr>
        <w:pStyle w:val="BodyText"/>
        <w:ind w:left="820" w:right="289"/>
      </w:pPr>
      <w:r>
        <w:t>verification of income, assets, and expenses is not an unreasonable cost [VG, p. 18].</w:t>
      </w:r>
    </w:p>
    <w:p w:rsidR="004E13A5" w:rsidRDefault="00681463">
      <w:pPr>
        <w:pStyle w:val="Heading5"/>
      </w:pPr>
      <w:r>
        <w:t>Primary Documents</w:t>
      </w:r>
    </w:p>
    <w:p w:rsidR="004E13A5" w:rsidRDefault="00681463">
      <w:pPr>
        <w:pStyle w:val="BodyText"/>
        <w:spacing w:before="120"/>
        <w:ind w:right="415"/>
      </w:pPr>
      <w:r>
        <w:t>Third-party verification is not required when legal documents are the primary source, such as a birth certificate or other legal documentation of birth.</w:t>
      </w:r>
    </w:p>
    <w:p w:rsidR="004E13A5" w:rsidRDefault="00681463">
      <w:pPr>
        <w:pStyle w:val="Heading5"/>
      </w:pPr>
      <w:r>
        <w:t>Imputed Assets</w:t>
      </w:r>
    </w:p>
    <w:p w:rsidR="004E13A5" w:rsidRDefault="00681463">
      <w:pPr>
        <w:pStyle w:val="BodyText"/>
      </w:pPr>
      <w:r>
        <w:t>HUD permits PHAs to accept a self-certification from a family as verification of assets disposed of for less than fair market value [HCV GB, p. 5-28].</w:t>
      </w:r>
    </w:p>
    <w:p w:rsidR="004E13A5" w:rsidRDefault="00681463">
      <w:pPr>
        <w:pStyle w:val="BodyText"/>
        <w:ind w:left="820"/>
      </w:pPr>
      <w:r>
        <w:rPr>
          <w:u w:val="single"/>
        </w:rPr>
        <w:t>PHA Policy</w:t>
      </w:r>
    </w:p>
    <w:p w:rsidR="004E13A5" w:rsidRDefault="00681463">
      <w:pPr>
        <w:pStyle w:val="BodyText"/>
        <w:ind w:left="820" w:right="242"/>
      </w:pPr>
      <w:r>
        <w:t>The PHA will accept a self-certification from a family as verification of assets disposed of for less than fair market value.</w:t>
      </w:r>
    </w:p>
    <w:p w:rsidR="004E13A5" w:rsidRDefault="00681463">
      <w:pPr>
        <w:pStyle w:val="Heading5"/>
        <w:spacing w:before="0"/>
      </w:pPr>
      <w:r>
        <w:t>Value of Assets and Asset Income [24 CFR 982.516(a)]</w:t>
      </w:r>
    </w:p>
    <w:p w:rsidR="004E13A5" w:rsidRDefault="00681463">
      <w:pPr>
        <w:pStyle w:val="BodyText"/>
        <w:spacing w:before="0"/>
      </w:pPr>
      <w:r>
        <w:t>For families with net assets totaling $5,000 or less, the PHA may accept the family’s declaration of asset value and anticipated asset income. However, the PHA is required to obtain third-party verification of all assets regardless of the amount during the intake process and at least every three years thereafter.</w:t>
      </w:r>
    </w:p>
    <w:p w:rsidR="004E13A5" w:rsidRDefault="00681463">
      <w:pPr>
        <w:pStyle w:val="BodyText"/>
        <w:spacing w:before="0"/>
        <w:ind w:left="820"/>
      </w:pPr>
      <w:r>
        <w:rPr>
          <w:u w:val="single"/>
        </w:rPr>
        <w:t>PHA Policy</w:t>
      </w:r>
    </w:p>
    <w:p w:rsidR="004E13A5" w:rsidRDefault="00681463">
      <w:pPr>
        <w:pStyle w:val="BodyText"/>
        <w:spacing w:before="0"/>
        <w:ind w:left="820" w:right="140"/>
      </w:pPr>
      <w:r>
        <w:t>For families with net assets totaling $5,000 or less, the PHA will accept the family’s self- certification of the value of family assets and anticipated asset income when applicable. The family’s declaration must show each asset and the amount of income expected from that asset. All family members 18 years of age and older must sign the family’s</w:t>
      </w:r>
      <w:r>
        <w:rPr>
          <w:spacing w:val="-20"/>
        </w:rPr>
        <w:t xml:space="preserve"> </w:t>
      </w:r>
      <w:r>
        <w:t>declaration.</w:t>
      </w:r>
    </w:p>
    <w:p w:rsidR="004E13A5" w:rsidRDefault="004E13A5">
      <w:pPr>
        <w:pStyle w:val="BodyText"/>
        <w:spacing w:before="11"/>
        <w:ind w:left="0"/>
        <w:rPr>
          <w:sz w:val="23"/>
        </w:rPr>
      </w:pPr>
    </w:p>
    <w:p w:rsidR="004E13A5" w:rsidRDefault="00681463">
      <w:pPr>
        <w:pStyle w:val="BodyText"/>
        <w:spacing w:before="0"/>
        <w:ind w:left="820"/>
      </w:pPr>
      <w:r>
        <w:t>The PHA will use third-party documentation for assets as part of the intake process, whenever a family member is added to verify the individual’s assets, and every three years thereafter.</w:t>
      </w:r>
    </w:p>
    <w:p w:rsidR="004E13A5" w:rsidRDefault="004E13A5">
      <w:pPr>
        <w:pStyle w:val="BodyText"/>
        <w:spacing w:before="10"/>
        <w:ind w:left="0"/>
        <w:rPr>
          <w:sz w:val="20"/>
        </w:rPr>
      </w:pPr>
    </w:p>
    <w:p w:rsidR="004E13A5" w:rsidRDefault="00681463">
      <w:pPr>
        <w:pStyle w:val="Heading4"/>
      </w:pPr>
      <w:r>
        <w:t>7-I.</w:t>
      </w:r>
      <w:r w:rsidR="00F31EE6">
        <w:t>J</w:t>
      </w:r>
      <w:r>
        <w:t>. SELF-CERTIFICATION</w:t>
      </w:r>
    </w:p>
    <w:p w:rsidR="004E13A5" w:rsidRDefault="004E13A5">
      <w:pPr>
        <w:pStyle w:val="BodyText"/>
        <w:spacing w:before="9"/>
        <w:ind w:left="0"/>
        <w:rPr>
          <w:b/>
          <w:sz w:val="20"/>
        </w:rPr>
      </w:pPr>
    </w:p>
    <w:p w:rsidR="004E13A5" w:rsidRDefault="00681463">
      <w:pPr>
        <w:pStyle w:val="BodyText"/>
        <w:spacing w:before="0"/>
        <w:ind w:right="243"/>
      </w:pPr>
      <w:r>
        <w:lastRenderedPageBreak/>
        <w:t>When HUD requires third-party verification self-certification, or “tenant declaration,” is used as a last resort when the PHA is unable to obtain third-party verification.</w:t>
      </w:r>
    </w:p>
    <w:p w:rsidR="004E13A5" w:rsidRDefault="004E13A5">
      <w:pPr>
        <w:pStyle w:val="BodyText"/>
        <w:spacing w:before="10"/>
        <w:ind w:left="0"/>
        <w:rPr>
          <w:sz w:val="23"/>
        </w:rPr>
      </w:pPr>
    </w:p>
    <w:p w:rsidR="004E13A5" w:rsidRDefault="00681463">
      <w:pPr>
        <w:pStyle w:val="BodyText"/>
        <w:spacing w:before="1" w:line="276" w:lineRule="exact"/>
      </w:pPr>
      <w:r>
        <w:t>Self-certification, however, is an acceptable form of verification when:</w:t>
      </w:r>
    </w:p>
    <w:p w:rsidR="004E13A5" w:rsidRDefault="00681463">
      <w:pPr>
        <w:pStyle w:val="ListParagraph"/>
        <w:numPr>
          <w:ilvl w:val="0"/>
          <w:numId w:val="93"/>
        </w:numPr>
        <w:tabs>
          <w:tab w:val="left" w:pos="460"/>
          <w:tab w:val="left" w:pos="461"/>
        </w:tabs>
        <w:spacing w:before="0" w:line="293" w:lineRule="exact"/>
        <w:rPr>
          <w:rFonts w:ascii="Symbol"/>
          <w:sz w:val="24"/>
        </w:rPr>
      </w:pPr>
      <w:r>
        <w:rPr>
          <w:sz w:val="24"/>
        </w:rPr>
        <w:t>A source of income is fully</w:t>
      </w:r>
      <w:r>
        <w:rPr>
          <w:spacing w:val="-5"/>
          <w:sz w:val="24"/>
        </w:rPr>
        <w:t xml:space="preserve"> </w:t>
      </w:r>
      <w:r>
        <w:rPr>
          <w:sz w:val="24"/>
        </w:rPr>
        <w:t>excluded</w:t>
      </w:r>
    </w:p>
    <w:p w:rsidR="004E13A5" w:rsidRDefault="00681463">
      <w:pPr>
        <w:pStyle w:val="ListParagraph"/>
        <w:numPr>
          <w:ilvl w:val="0"/>
          <w:numId w:val="93"/>
        </w:numPr>
        <w:tabs>
          <w:tab w:val="left" w:pos="460"/>
          <w:tab w:val="left" w:pos="461"/>
        </w:tabs>
        <w:spacing w:before="0"/>
        <w:ind w:right="1024"/>
        <w:rPr>
          <w:rFonts w:ascii="Symbol"/>
          <w:sz w:val="24"/>
        </w:rPr>
      </w:pPr>
      <w:r>
        <w:rPr>
          <w:sz w:val="24"/>
        </w:rPr>
        <w:t>Net family assets total $5,000 or less and the PHA has adopted a policy to accept self- certification at annual recertification, when</w:t>
      </w:r>
      <w:r>
        <w:rPr>
          <w:spacing w:val="-8"/>
          <w:sz w:val="24"/>
        </w:rPr>
        <w:t xml:space="preserve"> </w:t>
      </w:r>
      <w:r>
        <w:rPr>
          <w:sz w:val="24"/>
        </w:rPr>
        <w:t>applicable</w:t>
      </w:r>
    </w:p>
    <w:p w:rsidR="004E13A5" w:rsidRDefault="004E13A5">
      <w:pPr>
        <w:rPr>
          <w:rFonts w:ascii="Symbol"/>
          <w:sz w:val="24"/>
        </w:rPr>
        <w:sectPr w:rsidR="004E13A5">
          <w:pgSz w:w="12240" w:h="15840"/>
          <w:pgMar w:top="1000" w:right="1260" w:bottom="1240" w:left="1220" w:header="0" w:footer="998" w:gutter="0"/>
          <w:cols w:space="720"/>
        </w:sectPr>
      </w:pPr>
    </w:p>
    <w:p w:rsidR="004E13A5" w:rsidRDefault="00681463">
      <w:pPr>
        <w:pStyle w:val="ListParagraph"/>
        <w:numPr>
          <w:ilvl w:val="0"/>
          <w:numId w:val="93"/>
        </w:numPr>
        <w:tabs>
          <w:tab w:val="left" w:pos="460"/>
          <w:tab w:val="left" w:pos="461"/>
        </w:tabs>
        <w:spacing w:before="78"/>
        <w:ind w:right="774"/>
        <w:rPr>
          <w:rFonts w:ascii="Symbol"/>
          <w:sz w:val="24"/>
        </w:rPr>
      </w:pPr>
      <w:r>
        <w:rPr>
          <w:sz w:val="24"/>
        </w:rPr>
        <w:lastRenderedPageBreak/>
        <w:t>The PHA has adopted a policy to implement streamlined annual recertifications for fixed sources of income (See Chapter</w:t>
      </w:r>
      <w:r>
        <w:rPr>
          <w:spacing w:val="-7"/>
          <w:sz w:val="24"/>
        </w:rPr>
        <w:t xml:space="preserve"> </w:t>
      </w:r>
      <w:r>
        <w:rPr>
          <w:sz w:val="24"/>
        </w:rPr>
        <w:t>11).</w:t>
      </w:r>
    </w:p>
    <w:p w:rsidR="004E13A5" w:rsidRDefault="004E13A5">
      <w:pPr>
        <w:pStyle w:val="BodyText"/>
        <w:spacing w:before="9"/>
        <w:ind w:left="0"/>
        <w:rPr>
          <w:sz w:val="20"/>
        </w:rPr>
      </w:pPr>
    </w:p>
    <w:p w:rsidR="004E13A5" w:rsidRDefault="00681463">
      <w:pPr>
        <w:pStyle w:val="BodyText"/>
        <w:spacing w:before="0"/>
      </w:pPr>
      <w:r>
        <w:t>When the PHA was required to obtain third-party verification but instead relies on a tenant declaration for verification of income, assets, or expenses, the family’s file must be documented to explain why third-party verification was not available.</w:t>
      </w:r>
    </w:p>
    <w:p w:rsidR="004E13A5" w:rsidRDefault="00681463">
      <w:pPr>
        <w:pStyle w:val="BodyText"/>
        <w:ind w:left="820"/>
      </w:pPr>
      <w:r>
        <w:rPr>
          <w:u w:val="single"/>
        </w:rPr>
        <w:t>PHA Policy</w:t>
      </w:r>
    </w:p>
    <w:p w:rsidR="004E13A5" w:rsidRDefault="00681463">
      <w:pPr>
        <w:pStyle w:val="BodyText"/>
        <w:ind w:left="820" w:right="469"/>
      </w:pPr>
      <w:r>
        <w:t>When information cannot be verified by a third party or by review of documents, family members will be required to submit self-certifications attesting to the accuracy of the information they have provided to the PHA.</w:t>
      </w:r>
    </w:p>
    <w:p w:rsidR="004E13A5" w:rsidRDefault="00681463">
      <w:pPr>
        <w:pStyle w:val="BodyText"/>
        <w:ind w:left="820" w:right="143"/>
      </w:pPr>
      <w:r>
        <w:t xml:space="preserve">The PHA may require a family to certify that a family member does </w:t>
      </w:r>
      <w:r>
        <w:rPr>
          <w:u w:val="single"/>
        </w:rPr>
        <w:t xml:space="preserve">not </w:t>
      </w:r>
      <w:r>
        <w:t>receive a particular type of income or benefit.</w:t>
      </w:r>
    </w:p>
    <w:p w:rsidR="004E13A5" w:rsidRDefault="00681463">
      <w:pPr>
        <w:pStyle w:val="BodyText"/>
        <w:ind w:left="820" w:right="116"/>
      </w:pPr>
      <w:r>
        <w:t>The self-certification must be made in a format acceptable to the PHA and must be signed by the family member whose information or status is being verified.</w:t>
      </w:r>
    </w:p>
    <w:p w:rsidR="004E13A5" w:rsidRDefault="00681463">
      <w:pPr>
        <w:pStyle w:val="Heading4"/>
        <w:spacing w:before="5" w:line="510" w:lineRule="atLeast"/>
        <w:ind w:right="2231" w:firstLine="2152"/>
      </w:pPr>
      <w:r>
        <w:t>PART II: VERIFYING FAMILY INFORMATION 7-II.A. VERIFICATION OF LEGAL IDENTITY</w:t>
      </w:r>
    </w:p>
    <w:p w:rsidR="004E13A5" w:rsidRDefault="00681463">
      <w:pPr>
        <w:pStyle w:val="BodyText"/>
        <w:ind w:left="820"/>
      </w:pPr>
      <w:r>
        <w:rPr>
          <w:u w:val="single"/>
        </w:rPr>
        <w:t>PHA Policy</w:t>
      </w:r>
    </w:p>
    <w:p w:rsidR="004E13A5" w:rsidRDefault="00681463">
      <w:pPr>
        <w:pStyle w:val="BodyText"/>
        <w:ind w:left="820"/>
      </w:pPr>
      <w:r>
        <w:t>The PHA will require families to furnish verification of legal identity for each household member.</w:t>
      </w:r>
    </w:p>
    <w:p w:rsidR="004E13A5" w:rsidRDefault="004E13A5">
      <w:pPr>
        <w:pStyle w:val="BodyText"/>
        <w:spacing w:before="5"/>
        <w:ind w:left="0"/>
        <w:rPr>
          <w:sz w:val="1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0"/>
        <w:gridCol w:w="4331"/>
      </w:tblGrid>
      <w:tr w:rsidR="004E13A5">
        <w:trPr>
          <w:trHeight w:hRule="exact" w:val="682"/>
        </w:trPr>
        <w:tc>
          <w:tcPr>
            <w:tcW w:w="4330" w:type="dxa"/>
          </w:tcPr>
          <w:p w:rsidR="004E13A5" w:rsidRDefault="00681463">
            <w:pPr>
              <w:pStyle w:val="TableParagraph"/>
              <w:spacing w:before="119"/>
              <w:ind w:left="107"/>
              <w:rPr>
                <w:b/>
                <w:sz w:val="24"/>
              </w:rPr>
            </w:pPr>
            <w:r>
              <w:rPr>
                <w:b/>
                <w:sz w:val="24"/>
              </w:rPr>
              <w:t>Verification of Legal Identity for Adults</w:t>
            </w:r>
          </w:p>
        </w:tc>
        <w:tc>
          <w:tcPr>
            <w:tcW w:w="4331" w:type="dxa"/>
          </w:tcPr>
          <w:p w:rsidR="004E13A5" w:rsidRDefault="00681463">
            <w:pPr>
              <w:pStyle w:val="TableParagraph"/>
              <w:spacing w:before="119"/>
              <w:ind w:left="1699" w:right="462" w:hanging="1220"/>
              <w:rPr>
                <w:b/>
                <w:sz w:val="24"/>
              </w:rPr>
            </w:pPr>
            <w:r>
              <w:rPr>
                <w:b/>
                <w:sz w:val="24"/>
              </w:rPr>
              <w:t>Verification of Legal Identity for Children</w:t>
            </w:r>
          </w:p>
        </w:tc>
      </w:tr>
      <w:tr w:rsidR="004E13A5">
        <w:trPr>
          <w:trHeight w:hRule="exact" w:val="3214"/>
        </w:trPr>
        <w:tc>
          <w:tcPr>
            <w:tcW w:w="4330" w:type="dxa"/>
          </w:tcPr>
          <w:p w:rsidR="004E13A5" w:rsidRDefault="00681463">
            <w:pPr>
              <w:pStyle w:val="TableParagraph"/>
              <w:spacing w:before="119" w:line="343" w:lineRule="auto"/>
              <w:ind w:right="285"/>
              <w:rPr>
                <w:sz w:val="24"/>
              </w:rPr>
            </w:pPr>
            <w:r>
              <w:rPr>
                <w:sz w:val="24"/>
              </w:rPr>
              <w:t>Certificate of birth, naturalization papers Church issued baptismal certificate</w:t>
            </w:r>
          </w:p>
          <w:p w:rsidR="004E13A5" w:rsidRDefault="00681463">
            <w:pPr>
              <w:pStyle w:val="TableParagraph"/>
              <w:spacing w:before="5"/>
              <w:ind w:right="285"/>
              <w:rPr>
                <w:sz w:val="24"/>
              </w:rPr>
            </w:pPr>
            <w:r>
              <w:rPr>
                <w:sz w:val="24"/>
              </w:rPr>
              <w:t>Current, valid driver's license or Department of Motor Vehicles identification card</w:t>
            </w:r>
          </w:p>
          <w:p w:rsidR="004E13A5" w:rsidRDefault="00681463">
            <w:pPr>
              <w:pStyle w:val="TableParagraph"/>
              <w:spacing w:before="120" w:line="343" w:lineRule="auto"/>
              <w:ind w:right="291"/>
              <w:rPr>
                <w:sz w:val="24"/>
              </w:rPr>
            </w:pPr>
            <w:r>
              <w:rPr>
                <w:sz w:val="24"/>
              </w:rPr>
              <w:t>U.S. military discharge (DD 214) Current U.S. passport</w:t>
            </w:r>
          </w:p>
          <w:p w:rsidR="004E13A5" w:rsidRDefault="00681463">
            <w:pPr>
              <w:pStyle w:val="TableParagraph"/>
              <w:spacing w:before="6"/>
              <w:ind w:right="1231"/>
              <w:rPr>
                <w:sz w:val="24"/>
              </w:rPr>
            </w:pPr>
            <w:r>
              <w:rPr>
                <w:sz w:val="24"/>
              </w:rPr>
              <w:t>Current government employer identification card with picture</w:t>
            </w:r>
          </w:p>
        </w:tc>
        <w:tc>
          <w:tcPr>
            <w:tcW w:w="4331" w:type="dxa"/>
          </w:tcPr>
          <w:p w:rsidR="004E13A5" w:rsidRDefault="00681463">
            <w:pPr>
              <w:pStyle w:val="TableParagraph"/>
              <w:spacing w:before="119" w:line="343" w:lineRule="auto"/>
              <w:ind w:right="1844"/>
              <w:rPr>
                <w:sz w:val="24"/>
              </w:rPr>
            </w:pPr>
            <w:r>
              <w:rPr>
                <w:sz w:val="24"/>
              </w:rPr>
              <w:t>Certificate of birth Adoption papers Custody agreement</w:t>
            </w:r>
          </w:p>
          <w:p w:rsidR="004E13A5" w:rsidRDefault="00681463">
            <w:pPr>
              <w:pStyle w:val="TableParagraph"/>
              <w:spacing w:before="5" w:line="343" w:lineRule="auto"/>
              <w:ind w:right="462"/>
              <w:rPr>
                <w:sz w:val="24"/>
              </w:rPr>
            </w:pPr>
            <w:r>
              <w:rPr>
                <w:sz w:val="24"/>
              </w:rPr>
              <w:t>Health and Human Services ID Certified school records</w:t>
            </w:r>
          </w:p>
        </w:tc>
      </w:tr>
    </w:tbl>
    <w:p w:rsidR="004E13A5" w:rsidRDefault="00681463">
      <w:pPr>
        <w:pStyle w:val="BodyText"/>
        <w:ind w:left="820"/>
      </w:pPr>
      <w:r>
        <w:t>If a document submitted by a family is illegible for any reason or otherwise questionable, more than one of these documents may be required.</w:t>
      </w:r>
    </w:p>
    <w:p w:rsidR="004E13A5" w:rsidRDefault="00681463">
      <w:pPr>
        <w:pStyle w:val="BodyText"/>
        <w:spacing w:before="120"/>
        <w:ind w:left="820" w:right="102"/>
      </w:pPr>
      <w:r>
        <w:t>If none of these documents can be provided and at the PHA’s discretion, a third party who knows the person may attest to the person’s identity. The certification must be provided in a format acceptable to the PHA and must be signed by the family member whose information or status is being verified.</w:t>
      </w:r>
    </w:p>
    <w:p w:rsidR="004E13A5" w:rsidRDefault="00681463">
      <w:pPr>
        <w:pStyle w:val="BodyText"/>
        <w:spacing w:before="120"/>
        <w:ind w:left="820" w:right="102"/>
      </w:pPr>
      <w:r>
        <w:t>Legal identity will be verified for all applicants at the time of eligibility determination and in cases where the PHA has reason to doubt the identity of a person representing</w:t>
      </w:r>
      <w:r>
        <w:rPr>
          <w:spacing w:val="-14"/>
        </w:rPr>
        <w:t xml:space="preserve"> </w:t>
      </w:r>
      <w:r>
        <w:t>themselves to be a</w:t>
      </w:r>
      <w:r>
        <w:rPr>
          <w:spacing w:val="-4"/>
        </w:rPr>
        <w:t xml:space="preserve"> </w:t>
      </w:r>
      <w:r>
        <w:t>participant.</w:t>
      </w:r>
    </w:p>
    <w:p w:rsidR="004E13A5" w:rsidRDefault="004E13A5">
      <w:pPr>
        <w:sectPr w:rsidR="004E13A5">
          <w:pgSz w:w="12240" w:h="15840"/>
          <w:pgMar w:top="1000" w:right="1240" w:bottom="1240" w:left="1220" w:header="0" w:footer="998" w:gutter="0"/>
          <w:cols w:space="720"/>
        </w:sectPr>
      </w:pPr>
    </w:p>
    <w:p w:rsidR="004E13A5" w:rsidRDefault="00681463">
      <w:pPr>
        <w:pStyle w:val="Heading4"/>
        <w:spacing w:before="79"/>
      </w:pPr>
      <w:r>
        <w:lastRenderedPageBreak/>
        <w:t>7-II.B. SOCIAL SECURITY NUMBERS [24 CFR 5.216, Notice PIH 2018-24]</w:t>
      </w:r>
    </w:p>
    <w:p w:rsidR="004E13A5" w:rsidRDefault="00681463">
      <w:pPr>
        <w:pStyle w:val="BodyText"/>
        <w:spacing w:before="120"/>
        <w:ind w:right="109"/>
      </w:pPr>
      <w:r>
        <w:t>The family must provide documentation of a valid social security number (SSN) for each member of the household, with the exception of individuals who do not contend eligible immigration status. Exemptions also include, existing program participants who were at least 62 years of age as of January 31, 2010, and had not previously disclosed an SSN.</w:t>
      </w:r>
    </w:p>
    <w:p w:rsidR="004E13A5" w:rsidRDefault="00681463">
      <w:pPr>
        <w:pStyle w:val="BodyText"/>
        <w:ind w:right="89"/>
      </w:pPr>
      <w:r>
        <w:t>Note that an individual who previously declared to have eligible immigration status may not change their declaration for the purpose of avoiding compliance with the SSN disclosure and documentation requirements or penalties associated with noncompliance with these requirements.</w:t>
      </w:r>
    </w:p>
    <w:p w:rsidR="004E13A5" w:rsidRDefault="00681463">
      <w:pPr>
        <w:pStyle w:val="BodyText"/>
        <w:spacing w:before="0"/>
        <w:ind w:right="395"/>
      </w:pPr>
      <w:r>
        <w:t>Nor may the head of household opt to remove a household member from the family composition for this purpose.</w:t>
      </w:r>
    </w:p>
    <w:p w:rsidR="004E13A5" w:rsidRDefault="00681463">
      <w:pPr>
        <w:pStyle w:val="BodyText"/>
        <w:spacing w:before="120"/>
        <w:ind w:right="436"/>
      </w:pPr>
      <w:r>
        <w:t>The PHA must accept the following documentation as acceptable evidence of the social security number:</w:t>
      </w:r>
    </w:p>
    <w:p w:rsidR="004E13A5" w:rsidRDefault="00681463">
      <w:pPr>
        <w:pStyle w:val="BodyText"/>
        <w:spacing w:before="120"/>
        <w:ind w:left="820"/>
      </w:pPr>
      <w:r>
        <w:t>An original SSN card issued by the Social Security Administration (SSA)</w:t>
      </w:r>
    </w:p>
    <w:p w:rsidR="004E13A5" w:rsidRDefault="00681463">
      <w:pPr>
        <w:pStyle w:val="BodyText"/>
        <w:spacing w:before="120"/>
        <w:ind w:left="820"/>
      </w:pPr>
      <w:r>
        <w:t>An original SSA-issued document, which contains the name and SSN of the individual</w:t>
      </w:r>
    </w:p>
    <w:p w:rsidR="004E13A5" w:rsidRDefault="00681463">
      <w:pPr>
        <w:pStyle w:val="BodyText"/>
        <w:spacing w:before="120"/>
        <w:ind w:left="820"/>
      </w:pPr>
      <w:r>
        <w:t>An original document issued by a federal, state, or local government agency, which contains the name and SSN of the individual</w:t>
      </w:r>
    </w:p>
    <w:p w:rsidR="004E13A5" w:rsidRDefault="00681463">
      <w:pPr>
        <w:pStyle w:val="BodyText"/>
        <w:spacing w:before="120"/>
      </w:pPr>
      <w:r>
        <w:t>The PHA may only reject documentation of an SSN provided by an applicant or participant if the document is not an original document or if the original document has been altered, mutilated, is illegible, or appears to be forged.</w:t>
      </w:r>
    </w:p>
    <w:p w:rsidR="004E13A5" w:rsidRDefault="00681463">
      <w:pPr>
        <w:pStyle w:val="BodyText"/>
        <w:spacing w:before="120"/>
        <w:ind w:left="820"/>
      </w:pPr>
      <w:r>
        <w:rPr>
          <w:u w:val="single"/>
        </w:rPr>
        <w:t>PHA Policy</w:t>
      </w:r>
    </w:p>
    <w:p w:rsidR="004E13A5" w:rsidRDefault="00681463">
      <w:pPr>
        <w:pStyle w:val="BodyText"/>
        <w:spacing w:before="120"/>
        <w:ind w:left="820" w:right="383"/>
      </w:pPr>
      <w:r>
        <w:t>The PHA will explain to the applicant or participant the reasons the document is not acceptable and request that the individual obtain and submit acceptable documentation of the SSN to the PHA within 90 days.</w:t>
      </w:r>
    </w:p>
    <w:p w:rsidR="004E13A5" w:rsidRDefault="00681463">
      <w:pPr>
        <w:pStyle w:val="BodyText"/>
        <w:spacing w:before="120"/>
        <w:ind w:right="222"/>
      </w:pPr>
      <w:r>
        <w:t>In the case of Moderate Rehabilitation Single Room Occupancy (SRO) individuals, the required documentation must be provided within 90 calendar days from the date of admission into the program. The PHA must grant one additional 90-day extension if it determines that the applicant’s failure to comply was due to circumstances that were beyond the applicant’s control and could not have been reasonably foreseen.</w:t>
      </w:r>
    </w:p>
    <w:p w:rsidR="004E13A5" w:rsidRDefault="00681463">
      <w:pPr>
        <w:pStyle w:val="BodyText"/>
        <w:ind w:left="820"/>
      </w:pPr>
      <w:r>
        <w:rPr>
          <w:u w:val="single"/>
        </w:rPr>
        <w:t>PHA Policy</w:t>
      </w:r>
    </w:p>
    <w:p w:rsidR="004E13A5" w:rsidRDefault="00681463">
      <w:pPr>
        <w:pStyle w:val="BodyText"/>
        <w:ind w:left="820" w:right="100"/>
      </w:pPr>
      <w:r>
        <w:t>The PHA will grant one additional 90-day extension if needed for reasons beyond the participant’s control such as delayed processing of the SSN application by the SSA, natural disaster, fire, death in the family, or other emergency. If the individual fails to comply with SSN disclosure and documentation requirements upon expiration of the provided time period, the PHA will terminate the individual’s assistance.</w:t>
      </w:r>
    </w:p>
    <w:p w:rsidR="004E13A5" w:rsidRDefault="004E13A5">
      <w:pPr>
        <w:pStyle w:val="BodyText"/>
        <w:spacing w:before="0"/>
        <w:ind w:left="0"/>
      </w:pPr>
    </w:p>
    <w:p w:rsidR="004E13A5" w:rsidRDefault="00681463">
      <w:pPr>
        <w:pStyle w:val="BodyText"/>
        <w:spacing w:before="0"/>
      </w:pPr>
      <w:r>
        <w:t>If an applicant family includes a child under 6 years of age who joined the household within the</w:t>
      </w:r>
    </w:p>
    <w:p w:rsidR="004E13A5" w:rsidRDefault="00681463">
      <w:pPr>
        <w:pStyle w:val="BodyText"/>
        <w:spacing w:before="0"/>
        <w:ind w:right="168"/>
      </w:pPr>
      <w:r>
        <w:t>6 months prior to the date of voucher issuance, an otherwise eligible family may be admitted to the program and the family must provide documentation of the child’s SSN within 90 days of the effective date of the initial HAP contract. A 90-day extension will be granted if the PHA determines that the participant’s failure to comply was due to unforeseen circumstances and was outside of the participant’s control.</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0"/>
        <w:ind w:left="820"/>
      </w:pPr>
      <w:r>
        <w:t>The PHA will grant one additional 90-day extension if needed for reasons beyond the applicant’s control, such as delayed processing of the SSN application by the SSA, natural disaster, fire, death in the family, or other emergency.</w:t>
      </w:r>
    </w:p>
    <w:p w:rsidR="004E13A5" w:rsidRDefault="004E13A5">
      <w:pPr>
        <w:pStyle w:val="BodyText"/>
        <w:spacing w:before="0"/>
        <w:ind w:left="0"/>
      </w:pPr>
    </w:p>
    <w:p w:rsidR="004E13A5" w:rsidRDefault="00681463">
      <w:pPr>
        <w:pStyle w:val="BodyText"/>
        <w:spacing w:before="0"/>
        <w:ind w:right="136"/>
      </w:pPr>
      <w:r>
        <w:t>When a participant requests to add a new household member who is at least 6 years of age, or who is under the age of 6 and has an SSN, the participant must provide the complete and accurate SSN assigned to each new member at the time of reexamination or recertification, in addition to the documentation required to verify it. The PHA may not add the new household member until such documentation is provided.</w:t>
      </w:r>
    </w:p>
    <w:p w:rsidR="004E13A5" w:rsidRDefault="00681463">
      <w:pPr>
        <w:pStyle w:val="BodyText"/>
        <w:spacing w:before="120"/>
        <w:ind w:right="89"/>
      </w:pPr>
      <w:r>
        <w:t>When a participant requests to add a new household member who is under the age of 6 and has not been assigned an SSN, the participant must provide the SSN assigned to each new child and the required documentation within 90 calendar days of the child being added to the household. A 90- day extension will be granted if the PHA determines that the participant’s failure to comply was due to unforeseen circumstances and was outside of the participant’s control. During the period the PHA is awaiting documentation of the SSN, the child will be counted as part of the assisted household.</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grant one additional 90-day extension if needed for reasons beyond the participant’s control such as delayed processing of the SSN application by the SSA, natural disaster, fire, death in the family, or other emergency.</w:t>
      </w:r>
    </w:p>
    <w:p w:rsidR="004E13A5" w:rsidRDefault="00681463">
      <w:pPr>
        <w:pStyle w:val="BodyText"/>
        <w:spacing w:before="120"/>
      </w:pPr>
      <w:r>
        <w:t>Social security numbers must be verified only once during continuously-assisted occupancy.</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verify each disclosed SSN by:</w:t>
      </w:r>
    </w:p>
    <w:p w:rsidR="004E13A5" w:rsidRDefault="00681463">
      <w:pPr>
        <w:pStyle w:val="BodyText"/>
        <w:spacing w:before="120"/>
        <w:ind w:left="1540"/>
      </w:pPr>
      <w:r>
        <w:t>Obtaining documentation from applicants and participants that is acceptable as evidence of social security numbers</w:t>
      </w:r>
    </w:p>
    <w:p w:rsidR="004E13A5" w:rsidRDefault="00681463">
      <w:pPr>
        <w:pStyle w:val="BodyText"/>
        <w:ind w:left="1540" w:right="136"/>
      </w:pPr>
      <w:r>
        <w:t>Making a copy of the original documentation submitted, returning it to the individual, and retaining a copy in the file folder</w:t>
      </w:r>
    </w:p>
    <w:p w:rsidR="004E13A5" w:rsidRDefault="00681463">
      <w:pPr>
        <w:pStyle w:val="BodyText"/>
        <w:ind w:right="136"/>
      </w:pPr>
      <w:r>
        <w:t>Once the individual’s verification status is classified as “verified,” the PHA may, at its discretion, remove and destroy copies of documentation accepted as evidence of social security numbers. The retention of the EIV Summary Report or Income Report is adequate documentation of an individual’s SSN.</w:t>
      </w:r>
    </w:p>
    <w:p w:rsidR="004E13A5" w:rsidRDefault="00681463">
      <w:pPr>
        <w:pStyle w:val="BodyText"/>
        <w:ind w:left="820"/>
      </w:pPr>
      <w:r>
        <w:rPr>
          <w:u w:val="single"/>
        </w:rPr>
        <w:t>PHA Policy</w:t>
      </w:r>
    </w:p>
    <w:p w:rsidR="004E13A5" w:rsidRDefault="00681463">
      <w:pPr>
        <w:pStyle w:val="BodyText"/>
        <w:ind w:left="820"/>
      </w:pPr>
      <w:r>
        <w:t>Once an individual’s status is classified as “verified” in HUD’s EIV system, the PHA will not remove and destroy copies of documentation accepted as evidence of social security numbers.</w:t>
      </w:r>
    </w:p>
    <w:p w:rsidR="004E13A5" w:rsidRDefault="004E13A5">
      <w:pPr>
        <w:pStyle w:val="BodyText"/>
        <w:spacing w:before="9"/>
        <w:ind w:left="0"/>
        <w:rPr>
          <w:sz w:val="20"/>
        </w:rPr>
      </w:pPr>
    </w:p>
    <w:p w:rsidR="004E13A5" w:rsidRDefault="00681463">
      <w:pPr>
        <w:pStyle w:val="Heading4"/>
      </w:pPr>
      <w:r>
        <w:t>7-II.C. DOCUMENTATION OF AGE</w:t>
      </w:r>
    </w:p>
    <w:p w:rsidR="004E13A5" w:rsidRDefault="00681463">
      <w:pPr>
        <w:pStyle w:val="BodyText"/>
        <w:spacing w:before="97"/>
        <w:ind w:right="296"/>
      </w:pPr>
      <w:r>
        <w:t>A birth certificate or other official record of birth is the preferred form of age verification for all family members. For elderly family members an original document that provides evidence of the receipt of social security retirement benefits is acceptable.</w:t>
      </w:r>
    </w:p>
    <w:p w:rsidR="004E13A5" w:rsidRDefault="004E13A5">
      <w:pPr>
        <w:sectPr w:rsidR="004E13A5">
          <w:pgSz w:w="12240" w:h="15840"/>
          <w:pgMar w:top="1000" w:right="130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01"/>
        <w:ind w:left="820" w:right="415"/>
      </w:pPr>
      <w:r>
        <w:t>If an official record of birth or evidence of social security retirement benefits cannot be provided, the PHA will require the family to submit other documents that support the reported age of the family member (e.g., school records, driver's license if birth year is recorded) and to provide a self-certification.</w:t>
      </w:r>
    </w:p>
    <w:p w:rsidR="004E13A5" w:rsidRDefault="00681463">
      <w:pPr>
        <w:pStyle w:val="BodyText"/>
        <w:spacing w:before="98"/>
      </w:pPr>
      <w:r>
        <w:t>Age must be verified only once during continuously assisted occupancy.</w:t>
      </w:r>
    </w:p>
    <w:p w:rsidR="004E13A5" w:rsidRDefault="004E13A5">
      <w:pPr>
        <w:pStyle w:val="BodyText"/>
        <w:spacing w:before="9"/>
        <w:ind w:left="0"/>
        <w:rPr>
          <w:sz w:val="20"/>
        </w:rPr>
      </w:pPr>
    </w:p>
    <w:p w:rsidR="004E13A5" w:rsidRDefault="00681463">
      <w:pPr>
        <w:pStyle w:val="Heading4"/>
      </w:pPr>
      <w:r>
        <w:t>7-II.D. FAMILY RELATIONSHIPS</w:t>
      </w:r>
    </w:p>
    <w:p w:rsidR="004E13A5" w:rsidRDefault="00681463">
      <w:pPr>
        <w:pStyle w:val="BodyText"/>
        <w:spacing w:before="100"/>
        <w:ind w:right="202"/>
      </w:pPr>
      <w:r>
        <w:t>Applicants and program participants are required to identify the relationship of each household member to the head of household. Definitions of the primary household relationships are provided in the Eligibility chapter.</w:t>
      </w:r>
    </w:p>
    <w:p w:rsidR="004E13A5" w:rsidRDefault="00681463">
      <w:pPr>
        <w:pStyle w:val="BodyText"/>
        <w:spacing w:before="100"/>
        <w:ind w:left="820"/>
      </w:pPr>
      <w:r>
        <w:rPr>
          <w:u w:val="single"/>
        </w:rPr>
        <w:t>PHA Policy</w:t>
      </w:r>
    </w:p>
    <w:p w:rsidR="004E13A5" w:rsidRDefault="00681463">
      <w:pPr>
        <w:pStyle w:val="BodyText"/>
        <w:spacing w:before="97"/>
        <w:ind w:left="820" w:right="798"/>
        <w:jc w:val="both"/>
      </w:pPr>
      <w:r>
        <w:t>Family relationships are verified only to the extent necessary to determine a</w:t>
      </w:r>
      <w:r>
        <w:rPr>
          <w:spacing w:val="-16"/>
        </w:rPr>
        <w:t xml:space="preserve"> </w:t>
      </w:r>
      <w:r>
        <w:t>family’s eligibility and level of assistance. Certification by the head of household normally is sufficient verification of family</w:t>
      </w:r>
      <w:r>
        <w:rPr>
          <w:spacing w:val="-10"/>
        </w:rPr>
        <w:t xml:space="preserve"> </w:t>
      </w:r>
      <w:r>
        <w:t>relationships.</w:t>
      </w:r>
    </w:p>
    <w:p w:rsidR="004E13A5" w:rsidRDefault="00681463">
      <w:pPr>
        <w:pStyle w:val="Heading4"/>
        <w:spacing w:before="100"/>
      </w:pPr>
      <w:r>
        <w:t>Marriage</w:t>
      </w:r>
    </w:p>
    <w:p w:rsidR="004E13A5" w:rsidRDefault="00681463">
      <w:pPr>
        <w:pStyle w:val="BodyText"/>
        <w:spacing w:before="100"/>
        <w:ind w:left="820"/>
      </w:pPr>
      <w:r>
        <w:rPr>
          <w:u w:val="single"/>
        </w:rPr>
        <w:t>PHA Policy</w:t>
      </w:r>
    </w:p>
    <w:p w:rsidR="004E13A5" w:rsidRDefault="00681463">
      <w:pPr>
        <w:pStyle w:val="BodyText"/>
        <w:spacing w:before="97"/>
        <w:ind w:left="820" w:right="82"/>
      </w:pPr>
      <w:r>
        <w:t>Certification by the head of household is normally sufficient verification. If the PHA has reasonable doubts about a marital relationship, the PHA will require the family to document the marriage.</w:t>
      </w:r>
    </w:p>
    <w:p w:rsidR="004E13A5" w:rsidRDefault="00681463">
      <w:pPr>
        <w:pStyle w:val="BodyText"/>
        <w:spacing w:before="100"/>
        <w:ind w:left="820"/>
      </w:pPr>
      <w:r>
        <w:t>A marriage certificate generally is required to verify that a couple is married.</w:t>
      </w:r>
    </w:p>
    <w:p w:rsidR="004E13A5" w:rsidRDefault="00681463">
      <w:pPr>
        <w:pStyle w:val="BodyText"/>
        <w:spacing w:before="98"/>
        <w:ind w:left="820" w:right="415"/>
      </w:pPr>
      <w:r>
        <w:t>In the case of a common law marriage, the couple must demonstrate that they hold themselves to be married (e.g., by telling the community they are married, calling each other husband and wife, using the same last name, filing joint income tax returns).</w:t>
      </w:r>
    </w:p>
    <w:p w:rsidR="004E13A5" w:rsidRDefault="00681463">
      <w:pPr>
        <w:pStyle w:val="Heading4"/>
        <w:spacing w:before="100"/>
      </w:pPr>
      <w:r>
        <w:t>Separation or Divorce</w:t>
      </w:r>
    </w:p>
    <w:p w:rsidR="004E13A5" w:rsidRDefault="00681463">
      <w:pPr>
        <w:pStyle w:val="BodyText"/>
        <w:spacing w:before="100"/>
        <w:ind w:left="820"/>
      </w:pPr>
      <w:r>
        <w:rPr>
          <w:u w:val="single"/>
        </w:rPr>
        <w:t>PHA Policy</w:t>
      </w:r>
    </w:p>
    <w:p w:rsidR="004E13A5" w:rsidRDefault="00681463">
      <w:pPr>
        <w:pStyle w:val="BodyText"/>
        <w:spacing w:before="98"/>
        <w:ind w:left="820"/>
      </w:pPr>
      <w:r>
        <w:t>Certification by the head of household is normally sufficient verification. If the PHA has reasonable doubts about a separation or divorce, the PHA will require the family to provide documentation of the divorce or separation.</w:t>
      </w:r>
    </w:p>
    <w:p w:rsidR="004E13A5" w:rsidRDefault="00681463">
      <w:pPr>
        <w:pStyle w:val="BodyText"/>
        <w:spacing w:before="100"/>
        <w:ind w:left="820" w:right="190"/>
      </w:pPr>
      <w:r>
        <w:t>A certified copy of a divorce decree, signed by a court officer, is required to document that a couple is divorced.</w:t>
      </w:r>
    </w:p>
    <w:p w:rsidR="004E13A5" w:rsidRDefault="00681463">
      <w:pPr>
        <w:pStyle w:val="BodyText"/>
        <w:spacing w:before="100"/>
        <w:ind w:left="820" w:right="616"/>
      </w:pPr>
      <w:r>
        <w:t>A copy of a court-ordered maintenance or other court record is required to document a separation.</w:t>
      </w:r>
    </w:p>
    <w:p w:rsidR="004E13A5" w:rsidRDefault="00681463">
      <w:pPr>
        <w:pStyle w:val="BodyText"/>
        <w:spacing w:before="98"/>
        <w:ind w:left="820" w:right="276"/>
      </w:pPr>
      <w:r>
        <w:t>If no court document is available, documentation from a community-based agency will be accepted.</w:t>
      </w:r>
    </w:p>
    <w:p w:rsidR="004E13A5" w:rsidRDefault="00681463">
      <w:pPr>
        <w:pStyle w:val="Heading4"/>
        <w:spacing w:before="119"/>
      </w:pPr>
      <w:r>
        <w:t>Absence of Adult Member</w:t>
      </w:r>
    </w:p>
    <w:p w:rsidR="004E13A5" w:rsidRDefault="00681463">
      <w:pPr>
        <w:pStyle w:val="BodyText"/>
        <w:ind w:left="820"/>
      </w:pPr>
      <w:r>
        <w:rPr>
          <w:u w:val="single"/>
        </w:rPr>
        <w:t>PHA Policy</w:t>
      </w:r>
    </w:p>
    <w:p w:rsidR="004E13A5" w:rsidRDefault="00681463">
      <w:pPr>
        <w:pStyle w:val="BodyText"/>
        <w:ind w:left="820" w:right="209"/>
      </w:pPr>
      <w:r>
        <w:t>If an adult member who was formerly a member of the household is reported to be permanently absent, the family must provide evidence to support that the person is no longer a member of the family (e.g., documentation of another address at which the person resides such as a lease or utility bill) if the PHA so requests.</w:t>
      </w:r>
    </w:p>
    <w:p w:rsidR="004E13A5" w:rsidRDefault="004E13A5">
      <w:pPr>
        <w:sectPr w:rsidR="004E13A5">
          <w:pgSz w:w="12240" w:h="15840"/>
          <w:pgMar w:top="1000" w:right="1260" w:bottom="1240" w:left="1220" w:header="0" w:footer="998" w:gutter="0"/>
          <w:cols w:space="720"/>
        </w:sectPr>
      </w:pPr>
    </w:p>
    <w:p w:rsidR="004E13A5" w:rsidRDefault="00681463">
      <w:pPr>
        <w:pStyle w:val="Heading4"/>
        <w:spacing w:before="79"/>
      </w:pPr>
      <w:r>
        <w:lastRenderedPageBreak/>
        <w:t>Foster Children and Foster Adults</w:t>
      </w:r>
    </w:p>
    <w:p w:rsidR="004E13A5" w:rsidRDefault="00681463">
      <w:pPr>
        <w:pStyle w:val="BodyText"/>
        <w:spacing w:before="120"/>
        <w:ind w:left="820"/>
      </w:pPr>
      <w:r>
        <w:rPr>
          <w:u w:val="single"/>
        </w:rPr>
        <w:t>PHA Policy</w:t>
      </w:r>
    </w:p>
    <w:p w:rsidR="004E13A5" w:rsidRDefault="00681463">
      <w:pPr>
        <w:pStyle w:val="BodyText"/>
        <w:ind w:left="820" w:right="689"/>
      </w:pPr>
      <w:r>
        <w:t>Third-party verification from the state or local government agency responsible for the placement of the individual with the family is required.</w:t>
      </w:r>
    </w:p>
    <w:p w:rsidR="004E13A5" w:rsidRDefault="004E13A5">
      <w:pPr>
        <w:pStyle w:val="BodyText"/>
        <w:spacing w:before="9"/>
        <w:ind w:left="0"/>
        <w:rPr>
          <w:sz w:val="20"/>
        </w:rPr>
      </w:pPr>
    </w:p>
    <w:p w:rsidR="004E13A5" w:rsidRDefault="00681463">
      <w:pPr>
        <w:pStyle w:val="Heading4"/>
      </w:pPr>
      <w:r>
        <w:t>7-II.E. VERIFICATION OF STUDENT STATUS</w:t>
      </w:r>
    </w:p>
    <w:p w:rsidR="004E13A5" w:rsidRDefault="00681463">
      <w:pPr>
        <w:spacing w:before="119"/>
        <w:ind w:left="100"/>
        <w:rPr>
          <w:b/>
          <w:sz w:val="24"/>
        </w:rPr>
      </w:pPr>
      <w:r>
        <w:rPr>
          <w:b/>
          <w:sz w:val="24"/>
        </w:rPr>
        <w:t>General Requirements</w:t>
      </w:r>
    </w:p>
    <w:p w:rsidR="004E13A5" w:rsidRDefault="00681463">
      <w:pPr>
        <w:pStyle w:val="BodyText"/>
        <w:ind w:left="820"/>
      </w:pPr>
      <w:r>
        <w:rPr>
          <w:u w:val="single"/>
        </w:rPr>
        <w:t>PHA Policy</w:t>
      </w:r>
    </w:p>
    <w:p w:rsidR="004E13A5" w:rsidRDefault="00681463">
      <w:pPr>
        <w:pStyle w:val="BodyText"/>
        <w:ind w:left="820" w:right="136"/>
      </w:pPr>
      <w:r>
        <w:t>The PHA requires families to provide information about the student status of all students who are 18 years of age or older. This information will be verified only if:</w:t>
      </w:r>
    </w:p>
    <w:p w:rsidR="004E13A5" w:rsidRDefault="00681463">
      <w:pPr>
        <w:pStyle w:val="BodyText"/>
        <w:ind w:left="1540" w:right="262"/>
      </w:pPr>
      <w:r>
        <w:t>The family reports full-time student status for an adult other than the head, spouse, or co-head.</w:t>
      </w:r>
    </w:p>
    <w:p w:rsidR="004E13A5" w:rsidRDefault="00681463">
      <w:pPr>
        <w:pStyle w:val="BodyText"/>
        <w:spacing w:before="120"/>
        <w:ind w:left="1540" w:right="396"/>
      </w:pPr>
      <w:r>
        <w:t>The family reports child care expenses to enable a family member to further their education.</w:t>
      </w:r>
    </w:p>
    <w:p w:rsidR="004E13A5" w:rsidRDefault="00681463">
      <w:pPr>
        <w:spacing w:before="119"/>
        <w:ind w:left="1540"/>
        <w:rPr>
          <w:i/>
          <w:sz w:val="24"/>
        </w:rPr>
      </w:pPr>
      <w:r>
        <w:rPr>
          <w:sz w:val="24"/>
        </w:rPr>
        <w:t xml:space="preserve">The family includes a student enrolled in an </w:t>
      </w:r>
      <w:r>
        <w:rPr>
          <w:i/>
          <w:sz w:val="24"/>
        </w:rPr>
        <w:t>institution of higher education.</w:t>
      </w:r>
    </w:p>
    <w:p w:rsidR="004E13A5" w:rsidRDefault="00681463">
      <w:pPr>
        <w:pStyle w:val="Heading4"/>
        <w:spacing w:before="119"/>
      </w:pPr>
      <w:r>
        <w:t>Restrictions on Assistance to Students Enrolled in Institutions of Higher Education</w:t>
      </w:r>
    </w:p>
    <w:p w:rsidR="004E13A5" w:rsidRDefault="00681463">
      <w:pPr>
        <w:pStyle w:val="BodyText"/>
      </w:pPr>
      <w:r>
        <w:t>This section applies only to students who are seeking assistance on their own, separately from their parents. It does not apply to students residing with parents who are seeking or receiving HCV assistance.</w:t>
      </w:r>
    </w:p>
    <w:p w:rsidR="004E13A5" w:rsidRDefault="00681463">
      <w:pPr>
        <w:pStyle w:val="BodyText"/>
        <w:ind w:left="820"/>
      </w:pPr>
      <w:r>
        <w:rPr>
          <w:u w:val="single"/>
        </w:rPr>
        <w:t>PHA Policy</w:t>
      </w:r>
    </w:p>
    <w:p w:rsidR="004E13A5" w:rsidRDefault="00681463">
      <w:pPr>
        <w:pStyle w:val="BodyText"/>
        <w:ind w:left="820" w:right="128"/>
      </w:pPr>
      <w:r>
        <w:t>In accordance with the verification hierarchy described in section 7-1.B, the PHA will determine whether the student is exempt from the restrictions in 24 CFR 5.612 by verifying any one of the following exemption criteria:</w:t>
      </w:r>
    </w:p>
    <w:p w:rsidR="004E13A5" w:rsidRDefault="00681463">
      <w:pPr>
        <w:pStyle w:val="BodyText"/>
        <w:ind w:left="1540" w:right="128"/>
      </w:pPr>
      <w:r>
        <w:t xml:space="preserve">The student is enrolled at an educational institution that does not meet the definition of </w:t>
      </w:r>
      <w:r>
        <w:rPr>
          <w:i/>
        </w:rPr>
        <w:t xml:space="preserve">institution of higher education </w:t>
      </w:r>
      <w:r>
        <w:t>in the Higher Education Act of 1965 (see section Exhibit 3-2).</w:t>
      </w:r>
    </w:p>
    <w:p w:rsidR="004E13A5" w:rsidRDefault="00681463">
      <w:pPr>
        <w:pStyle w:val="BodyText"/>
        <w:ind w:left="1540"/>
      </w:pPr>
      <w:r>
        <w:t>The student is at least 24 years old.</w:t>
      </w:r>
    </w:p>
    <w:p w:rsidR="004E13A5" w:rsidRDefault="00681463">
      <w:pPr>
        <w:pStyle w:val="BodyText"/>
        <w:spacing w:line="343" w:lineRule="auto"/>
        <w:ind w:left="1540" w:right="3148"/>
      </w:pPr>
      <w:r>
        <w:t>The student is a veteran, as defined in section 3-II.E. The student is married.</w:t>
      </w:r>
    </w:p>
    <w:p w:rsidR="004E13A5" w:rsidRDefault="00681463">
      <w:pPr>
        <w:pStyle w:val="BodyText"/>
        <w:spacing w:before="5"/>
        <w:ind w:left="1540"/>
      </w:pPr>
      <w:r>
        <w:t>The student has at least one dependent child, as defined in section 3-II.E.</w:t>
      </w:r>
    </w:p>
    <w:p w:rsidR="004E13A5" w:rsidRDefault="00681463">
      <w:pPr>
        <w:pStyle w:val="BodyText"/>
        <w:ind w:left="1540" w:right="788"/>
      </w:pPr>
      <w:r>
        <w:t>The student is a person with disabilities, as defined in section 3-II.E, and was receiving assistance prior to November 30, 2005.</w:t>
      </w:r>
    </w:p>
    <w:p w:rsidR="004E13A5" w:rsidRDefault="00681463">
      <w:pPr>
        <w:pStyle w:val="BodyText"/>
        <w:spacing w:before="120"/>
        <w:ind w:left="820" w:right="112"/>
      </w:pPr>
      <w:r>
        <w:t>If the PHA cannot verify at least one of these exemption criteria, the PHA will conclude that the student is subject to the restrictions on assistance at 24 CFR 5.612. In addition to verifying the student’s income eligibility, the PHA will then proceed to verify either the student’s parents’ income eligibility (see section 7-III.J) or the student’s independence from their parents (see</w:t>
      </w:r>
      <w:r>
        <w:rPr>
          <w:spacing w:val="-4"/>
        </w:rPr>
        <w:t xml:space="preserve"> </w:t>
      </w:r>
      <w:r>
        <w:t>below).</w:t>
      </w:r>
    </w:p>
    <w:p w:rsidR="004E13A5" w:rsidRDefault="004E13A5">
      <w:pPr>
        <w:sectPr w:rsidR="004E13A5">
          <w:pgSz w:w="12240" w:h="15840"/>
          <w:pgMar w:top="1000" w:right="1260" w:bottom="1240" w:left="1220" w:header="0" w:footer="998" w:gutter="0"/>
          <w:cols w:space="720"/>
        </w:sectPr>
      </w:pPr>
    </w:p>
    <w:p w:rsidR="004E13A5" w:rsidRDefault="00681463">
      <w:pPr>
        <w:pStyle w:val="Heading5"/>
        <w:spacing w:before="79"/>
      </w:pPr>
      <w:r>
        <w:lastRenderedPageBreak/>
        <w:t>Independent Student</w:t>
      </w:r>
    </w:p>
    <w:p w:rsidR="004E13A5" w:rsidRDefault="00681463">
      <w:pPr>
        <w:pStyle w:val="BodyText"/>
        <w:spacing w:before="120"/>
        <w:ind w:left="820"/>
      </w:pPr>
      <w:r>
        <w:rPr>
          <w:u w:val="single"/>
        </w:rPr>
        <w:t>PHA Policy</w:t>
      </w:r>
    </w:p>
    <w:p w:rsidR="004E13A5" w:rsidRDefault="00681463">
      <w:pPr>
        <w:pStyle w:val="BodyText"/>
        <w:ind w:left="820" w:right="136"/>
      </w:pPr>
      <w:r>
        <w:t>The PHA will verify a student’s independence from their parents to determine that the student’s parents’ income is not relevant for determining the student’s eligibility by doing all of the following:</w:t>
      </w:r>
    </w:p>
    <w:p w:rsidR="004E13A5" w:rsidRDefault="00681463">
      <w:pPr>
        <w:pStyle w:val="BodyText"/>
        <w:ind w:left="1540" w:right="49"/>
      </w:pPr>
      <w:r>
        <w:t xml:space="preserve">Either reviewing or verifying previous address information to determine whether the student has established a household separate from their parents for at least one year or reviewing and verifying documentation relevant to determining whether the student meets the U.S. Department of Education’s definition of </w:t>
      </w:r>
      <w:r>
        <w:rPr>
          <w:i/>
        </w:rPr>
        <w:t xml:space="preserve">independent student </w:t>
      </w:r>
      <w:r>
        <w:t>(see section 3-II.E)</w:t>
      </w:r>
    </w:p>
    <w:p w:rsidR="004E13A5" w:rsidRDefault="00681463">
      <w:pPr>
        <w:pStyle w:val="BodyText"/>
        <w:ind w:left="1540" w:right="602"/>
      </w:pPr>
      <w:r>
        <w:t xml:space="preserve">Reviewing the student’s prior year income tax returns to verify the student is independent or verifying the student meets the U.S. Department of Education’s definition of </w:t>
      </w:r>
      <w:r>
        <w:rPr>
          <w:i/>
        </w:rPr>
        <w:t xml:space="preserve">independent student </w:t>
      </w:r>
      <w:r>
        <w:t>(see section 3-II.E)</w:t>
      </w:r>
    </w:p>
    <w:p w:rsidR="004E13A5" w:rsidRDefault="00681463">
      <w:pPr>
        <w:pStyle w:val="BodyText"/>
        <w:ind w:left="1540" w:right="136"/>
      </w:pPr>
      <w:r>
        <w:t xml:space="preserve">Requesting and obtaining written certification directly from the student’s parents identifying the amount of support they will be providing to the student, even if the amount of support is $0, except in cases in which the PHA determines that the student is a </w:t>
      </w:r>
      <w:r>
        <w:rPr>
          <w:i/>
        </w:rPr>
        <w:t xml:space="preserve">vulnerable youth </w:t>
      </w:r>
      <w:r>
        <w:t>(see section 3-II.E).</w:t>
      </w:r>
    </w:p>
    <w:p w:rsidR="004E13A5" w:rsidRDefault="004E13A5">
      <w:pPr>
        <w:pStyle w:val="BodyText"/>
        <w:spacing w:before="9"/>
        <w:ind w:left="0"/>
        <w:rPr>
          <w:sz w:val="20"/>
        </w:rPr>
      </w:pPr>
    </w:p>
    <w:p w:rsidR="004E13A5" w:rsidRDefault="00681463">
      <w:pPr>
        <w:pStyle w:val="Heading4"/>
      </w:pPr>
      <w:r>
        <w:t>7-II.F. DOCUMENTATION OF DISABILITY</w:t>
      </w:r>
    </w:p>
    <w:p w:rsidR="004E13A5" w:rsidRDefault="00681463">
      <w:pPr>
        <w:pStyle w:val="BodyText"/>
        <w:ind w:right="88"/>
      </w:pPr>
      <w:r>
        <w:t>The PHA must verify the existence of a disability in order to allow certain income disallowances and deductions from income. The PHA is not permitted to inquire about the nature or extent of a person’s disability [24 CFR 100.202(c)]. The PHA may not inquire about a person’s diagnosis or details of treatment for a disability or medical condition. If the PHA receives a verification document that provides such information, the PHA will not place this information in the tenant file. Under no circumstances will the PHA request a participant’s medical record(s). For more information on health care privacy laws, see the Department of Health and Human Services’ website a</w:t>
      </w:r>
      <w:hyperlink r:id="rId37">
        <w:r>
          <w:t>t http://www.hhs.gov/ocr/privacy/.</w:t>
        </w:r>
      </w:hyperlink>
    </w:p>
    <w:p w:rsidR="004E13A5" w:rsidRDefault="00681463">
      <w:pPr>
        <w:pStyle w:val="BodyText"/>
        <w:ind w:right="362"/>
      </w:pPr>
      <w:r>
        <w:t>The above cited regulation does not prohibit the following inquiries, provided these inquiries are made of all applicants, whether or not they are persons with disabilities [VG, p. 24]:</w:t>
      </w:r>
    </w:p>
    <w:p w:rsidR="004E13A5" w:rsidRDefault="00681463">
      <w:pPr>
        <w:pStyle w:val="BodyText"/>
      </w:pPr>
      <w:r>
        <w:t>Inquiry into an applicant’s ability to meet the requirements of ownership or tenancy</w:t>
      </w:r>
    </w:p>
    <w:p w:rsidR="004E13A5" w:rsidRDefault="00681463">
      <w:pPr>
        <w:pStyle w:val="BodyText"/>
        <w:ind w:left="460" w:right="129" w:hanging="360"/>
      </w:pPr>
      <w:r>
        <w:t>Inquiry to determine whether an applicant is qualified for a dwelling available only to persons with disabilities or to persons with a particular type of disability</w:t>
      </w:r>
    </w:p>
    <w:p w:rsidR="004E13A5" w:rsidRDefault="00681463">
      <w:pPr>
        <w:pStyle w:val="BodyText"/>
        <w:ind w:left="460" w:right="415" w:hanging="360"/>
      </w:pPr>
      <w:r>
        <w:t>Inquiry to determine whether an applicant for a dwelling is qualified for a priority available to persons with disabilities or to persons with a particular type of disability</w:t>
      </w:r>
    </w:p>
    <w:p w:rsidR="004E13A5" w:rsidRDefault="00681463">
      <w:pPr>
        <w:pStyle w:val="BodyText"/>
        <w:ind w:left="460" w:right="415" w:hanging="360"/>
      </w:pPr>
      <w:r>
        <w:t>Inquiring whether an applicant for a dwelling is a current illegal abuser or addict of a controlled substance</w:t>
      </w:r>
    </w:p>
    <w:p w:rsidR="004E13A5" w:rsidRDefault="00681463">
      <w:pPr>
        <w:pStyle w:val="BodyText"/>
        <w:ind w:left="460" w:right="416" w:hanging="360"/>
      </w:pPr>
      <w:r>
        <w:t>Inquiring whether an applicant has been convicted of the illegal manufacture or distribution of a controlled substance</w:t>
      </w:r>
    </w:p>
    <w:p w:rsidR="004E13A5" w:rsidRDefault="00681463">
      <w:pPr>
        <w:pStyle w:val="Heading4"/>
        <w:spacing w:before="119"/>
      </w:pPr>
      <w:r>
        <w:t>Family Members Receiving SSA Disability Benefits</w:t>
      </w:r>
    </w:p>
    <w:p w:rsidR="004E13A5" w:rsidRDefault="00681463">
      <w:pPr>
        <w:pStyle w:val="BodyText"/>
        <w:ind w:right="328"/>
      </w:pPr>
      <w:r>
        <w:t>Verification of the receipt of disability benefits from the Social Security Administration (SSA) is sufficient verification of disability for the purpose of qualifying for waiting list preferences (if applicable) or certain income disallowances and deductions [VG, p. 23].</w:t>
      </w:r>
    </w:p>
    <w:p w:rsidR="004E13A5" w:rsidRDefault="004E13A5">
      <w:pPr>
        <w:sectPr w:rsidR="004E13A5">
          <w:pgSz w:w="12240" w:h="15840"/>
          <w:pgMar w:top="1000" w:right="126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95"/>
      </w:pPr>
      <w:r>
        <w:t xml:space="preserve">For family members claiming disability who receive disability benefits from the SSA, the PHA will attempt to obtain information about disability benefits through the HUD Enterprise Income Verification (EIV) system. If documentation from HUD’s EIV System is not available, the PHA will request a current (dated within the last 60 days) SSA benefit verification letter from each family member claiming disability status. If the family is unable to provide the document(s), the PHA will ask the family to request a benefit verification letter by either calling SSA at 1-800-772-1213, or by requesting it from </w:t>
      </w:r>
      <w:hyperlink r:id="rId38">
        <w:r>
          <w:rPr>
            <w:color w:val="0000FF"/>
            <w:u w:val="single" w:color="0000FF"/>
          </w:rPr>
          <w:t>www.ssa.gov</w:t>
        </w:r>
        <w:r>
          <w:t>.</w:t>
        </w:r>
      </w:hyperlink>
      <w:r>
        <w:t xml:space="preserve"> Once the applicant or participant receives the benefit verification letter they will be required to provide it to the PHA.</w:t>
      </w:r>
    </w:p>
    <w:p w:rsidR="004E13A5" w:rsidRDefault="00681463">
      <w:pPr>
        <w:pStyle w:val="Heading4"/>
        <w:spacing w:before="119"/>
      </w:pPr>
      <w:r>
        <w:t>Family Members Not Receiving SSA Disability Benefits</w:t>
      </w:r>
    </w:p>
    <w:p w:rsidR="004E13A5" w:rsidRDefault="00681463">
      <w:pPr>
        <w:pStyle w:val="BodyText"/>
        <w:ind w:right="329"/>
      </w:pPr>
      <w:r>
        <w:t>Receipt of veteran’s disability benefits, worker’s compensation, or other non-SSA benefits based on the individual’s claimed disability are not sufficient verification that the individual meets HUD’s definition of disability in 24 CFR 5.403.</w:t>
      </w:r>
    </w:p>
    <w:p w:rsidR="004E13A5" w:rsidRDefault="00681463">
      <w:pPr>
        <w:pStyle w:val="BodyText"/>
        <w:ind w:left="820"/>
      </w:pPr>
      <w:r>
        <w:rPr>
          <w:u w:val="single"/>
        </w:rPr>
        <w:t>PHA Policy</w:t>
      </w:r>
    </w:p>
    <w:p w:rsidR="004E13A5" w:rsidRDefault="00681463">
      <w:pPr>
        <w:pStyle w:val="BodyText"/>
        <w:ind w:left="820" w:right="475"/>
      </w:pPr>
      <w:r>
        <w:t>For family members claiming disability who do not receive disability benefits from the SSA, a knowledgeable professional must provide third-party verification that the family member meets the HUD definition of disability. See the Eligibility chapter for the HUD definition of disability. The knowledgeable professional will verify whether the family member does or does not meet the HUD definition.</w:t>
      </w:r>
    </w:p>
    <w:p w:rsidR="004E13A5" w:rsidRDefault="004E13A5">
      <w:pPr>
        <w:pStyle w:val="BodyText"/>
        <w:spacing w:before="9"/>
        <w:ind w:left="0"/>
        <w:rPr>
          <w:sz w:val="20"/>
        </w:rPr>
      </w:pPr>
    </w:p>
    <w:p w:rsidR="004E13A5" w:rsidRDefault="00681463">
      <w:pPr>
        <w:pStyle w:val="Heading4"/>
      </w:pPr>
      <w:r>
        <w:t>7-II.G. CITIZENSHIP OR ELIGIBLE IMMIGRATION STATUS [24 CFR 5.508]</w:t>
      </w:r>
    </w:p>
    <w:p w:rsidR="004E13A5" w:rsidRDefault="00681463">
      <w:pPr>
        <w:spacing w:before="119"/>
        <w:ind w:left="100"/>
        <w:rPr>
          <w:b/>
          <w:sz w:val="24"/>
        </w:rPr>
      </w:pPr>
      <w:r>
        <w:rPr>
          <w:b/>
          <w:sz w:val="24"/>
        </w:rPr>
        <w:t>Overview</w:t>
      </w:r>
    </w:p>
    <w:p w:rsidR="004E13A5" w:rsidRDefault="00681463">
      <w:pPr>
        <w:pStyle w:val="BodyText"/>
        <w:ind w:right="169"/>
      </w:pPr>
      <w:r>
        <w:t>Housing assistance is not available to persons who are not citizens, nationals, or eligible immigrants. Prorated assistance is provided for "mixed families" containing both eligible and ineligible persons. A detailed discussion of eligibility requirements is in the Eligibility chapter. This verifications chapter discusses HUD and PHA verification requirements related to citizenship status.</w:t>
      </w:r>
    </w:p>
    <w:p w:rsidR="004E13A5" w:rsidRDefault="00681463">
      <w:pPr>
        <w:pStyle w:val="BodyText"/>
        <w:ind w:right="143"/>
      </w:pPr>
      <w:r>
        <w:t>The family must provide a certification that identifies each family member as a U.S. citizen, a U.S. national, an eligible noncitizen or an ineligible noncitizen and submit the documents discussed below for each family member. Once eligibility to receive assistance has been verified for an individual it need not be collected or verified again during continuously-assisted occupancy. [24 CFR 5.508(g)(5)]</w:t>
      </w:r>
    </w:p>
    <w:p w:rsidR="004E13A5" w:rsidRDefault="00681463">
      <w:pPr>
        <w:pStyle w:val="Heading4"/>
        <w:spacing w:before="119"/>
      </w:pPr>
      <w:r>
        <w:t>U.S. Citizens and Nationals</w:t>
      </w:r>
    </w:p>
    <w:p w:rsidR="004E13A5" w:rsidRDefault="00681463">
      <w:pPr>
        <w:pStyle w:val="BodyText"/>
        <w:ind w:right="116"/>
      </w:pPr>
      <w:r>
        <w:t>HUD requires a declaration for each family member who claims to be a U.S. citizen or national. The declaration must be signed personally by any family member 18 or older and by a guardian for minors.</w:t>
      </w:r>
    </w:p>
    <w:p w:rsidR="004E13A5" w:rsidRDefault="00681463">
      <w:pPr>
        <w:pStyle w:val="BodyText"/>
      </w:pPr>
      <w:r>
        <w:t>The PHA may request verification of the declaration by requiring presentation of a birth certificate, United States passport or other appropriate documentation.</w:t>
      </w:r>
    </w:p>
    <w:p w:rsidR="004E13A5" w:rsidRDefault="00681463">
      <w:pPr>
        <w:pStyle w:val="BodyText"/>
        <w:ind w:left="820"/>
      </w:pPr>
      <w:r>
        <w:rPr>
          <w:u w:val="single"/>
        </w:rPr>
        <w:t>PHA Policy</w:t>
      </w:r>
    </w:p>
    <w:p w:rsidR="004E13A5" w:rsidRDefault="00681463">
      <w:pPr>
        <w:pStyle w:val="BodyText"/>
        <w:ind w:left="820" w:right="362"/>
      </w:pPr>
      <w:r>
        <w:t>Family members who claim U.S. citizenship or national status will not be required to provide additional documentation unless the PHA receives information indicating that an individual’s declaration may not be accurate.</w:t>
      </w:r>
    </w:p>
    <w:p w:rsidR="004E13A5" w:rsidRDefault="004E13A5">
      <w:pPr>
        <w:sectPr w:rsidR="004E13A5">
          <w:pgSz w:w="12240" w:h="15840"/>
          <w:pgMar w:top="1000" w:right="1260" w:bottom="1240" w:left="1220" w:header="0" w:footer="998" w:gutter="0"/>
          <w:cols w:space="720"/>
        </w:sectPr>
      </w:pPr>
    </w:p>
    <w:p w:rsidR="004E13A5" w:rsidRDefault="00681463">
      <w:pPr>
        <w:pStyle w:val="Heading4"/>
        <w:spacing w:before="79"/>
      </w:pPr>
      <w:r>
        <w:lastRenderedPageBreak/>
        <w:t>Eligible Immigrants</w:t>
      </w:r>
    </w:p>
    <w:p w:rsidR="004E13A5" w:rsidRDefault="00681463">
      <w:pPr>
        <w:pStyle w:val="Heading5"/>
        <w:spacing w:before="120"/>
      </w:pPr>
      <w:r>
        <w:t>Documents Required</w:t>
      </w:r>
    </w:p>
    <w:p w:rsidR="004E13A5" w:rsidRDefault="00681463">
      <w:pPr>
        <w:pStyle w:val="BodyText"/>
        <w:ind w:right="675"/>
      </w:pPr>
      <w:r>
        <w:t>All family members claiming eligible immigration status must declare their status in the same manner as U.S. citizens and nationals.</w:t>
      </w:r>
    </w:p>
    <w:p w:rsidR="004E13A5" w:rsidRDefault="00681463">
      <w:pPr>
        <w:pStyle w:val="BodyText"/>
        <w:ind w:right="103"/>
      </w:pPr>
      <w:r>
        <w:t>The documentation required for eligible noncitizens varies depending upon factors such as the date the person entered the U.S., the conditions under which eligible immigration status has been granted, age, and the date on which the family began receiving HUD-funded assistance. Exhibit 7-1 at the end of this chapter summarizes documents family members must provide.</w:t>
      </w:r>
    </w:p>
    <w:p w:rsidR="004E13A5" w:rsidRDefault="00681463">
      <w:pPr>
        <w:spacing w:before="119"/>
        <w:ind w:left="100"/>
        <w:rPr>
          <w:sz w:val="24"/>
        </w:rPr>
      </w:pPr>
      <w:r>
        <w:rPr>
          <w:b/>
          <w:i/>
          <w:sz w:val="24"/>
        </w:rPr>
        <w:t xml:space="preserve">PHA Verification </w:t>
      </w:r>
      <w:r>
        <w:rPr>
          <w:sz w:val="24"/>
        </w:rPr>
        <w:t>[HCV GB, pp. 5-3 and 5-7]</w:t>
      </w:r>
    </w:p>
    <w:p w:rsidR="004E13A5" w:rsidRDefault="00681463">
      <w:pPr>
        <w:pStyle w:val="BodyText"/>
        <w:ind w:right="125"/>
      </w:pPr>
      <w:r>
        <w:t>For family members age 62 or older who claim to be eligible immigrants, proof of age is required in the manner described in 7-II.C. of this plan. No further verification of eligible immigration status is</w:t>
      </w:r>
      <w:r>
        <w:rPr>
          <w:spacing w:val="-3"/>
        </w:rPr>
        <w:t xml:space="preserve"> </w:t>
      </w:r>
      <w:r>
        <w:t>required.</w:t>
      </w:r>
    </w:p>
    <w:p w:rsidR="004E13A5" w:rsidRDefault="00681463">
      <w:pPr>
        <w:pStyle w:val="BodyText"/>
        <w:spacing w:before="120"/>
        <w:ind w:right="162"/>
      </w:pPr>
      <w:r>
        <w:t>For family members under the age of 62 who claim to be eligible immigrants, the PHA must verify immigration status with the United States Citizenship and Immigration Services (USCIS).</w:t>
      </w:r>
    </w:p>
    <w:p w:rsidR="004E13A5" w:rsidRDefault="00681463">
      <w:pPr>
        <w:pStyle w:val="BodyText"/>
      </w:pPr>
      <w:r>
        <w:t>The PHA will follow all USCIS protocols for verification of eligible immigration status.</w:t>
      </w:r>
    </w:p>
    <w:p w:rsidR="004E13A5" w:rsidRDefault="004E13A5">
      <w:pPr>
        <w:pStyle w:val="BodyText"/>
        <w:spacing w:before="9"/>
        <w:ind w:left="0"/>
        <w:rPr>
          <w:sz w:val="20"/>
        </w:rPr>
      </w:pPr>
    </w:p>
    <w:p w:rsidR="004E13A5" w:rsidRDefault="00681463">
      <w:pPr>
        <w:pStyle w:val="Heading4"/>
      </w:pPr>
      <w:r>
        <w:t>7-II.H. VERIFICATION OF PREFERENCE STATUS</w:t>
      </w:r>
    </w:p>
    <w:p w:rsidR="004E13A5" w:rsidRDefault="00681463">
      <w:pPr>
        <w:pStyle w:val="BodyText"/>
      </w:pPr>
      <w:r>
        <w:t>The PHA must verify any preferences claimed by an applicant that determined placement on the waiting list.</w:t>
      </w:r>
    </w:p>
    <w:p w:rsidR="004E13A5" w:rsidRDefault="00681463">
      <w:pPr>
        <w:pStyle w:val="BodyText"/>
        <w:ind w:left="820"/>
      </w:pPr>
      <w:r>
        <w:rPr>
          <w:u w:val="single"/>
        </w:rPr>
        <w:t>PHA Policy</w:t>
      </w:r>
    </w:p>
    <w:p w:rsidR="004E13A5" w:rsidRDefault="00681463">
      <w:pPr>
        <w:pStyle w:val="BodyText"/>
        <w:ind w:left="820"/>
      </w:pPr>
      <w:r>
        <w:t>The PHA offers no preference.</w:t>
      </w:r>
    </w:p>
    <w:p w:rsidR="004E13A5" w:rsidRDefault="004E13A5">
      <w:pPr>
        <w:pStyle w:val="BodyText"/>
        <w:spacing w:before="0"/>
        <w:ind w:left="0"/>
        <w:rPr>
          <w:sz w:val="26"/>
        </w:rPr>
      </w:pPr>
    </w:p>
    <w:p w:rsidR="004E13A5" w:rsidRDefault="00681463">
      <w:pPr>
        <w:pStyle w:val="Heading4"/>
        <w:spacing w:before="216"/>
        <w:ind w:left="2342"/>
      </w:pPr>
      <w:r>
        <w:t>PART III: VERIFYING INCOME AND ASSETS</w:t>
      </w:r>
    </w:p>
    <w:p w:rsidR="004E13A5" w:rsidRDefault="00681463">
      <w:pPr>
        <w:pStyle w:val="BodyText"/>
        <w:ind w:right="222"/>
      </w:pPr>
      <w:r>
        <w:t>Chapter 6, Part I of this plan describes in detail the types of income that are included and excluded and how assets and income from assets are handled. Any assets and income reported by the family must be verified. This part provides PHA policies that supplement the general verification procedures specified in Part I of this chapter.</w:t>
      </w:r>
    </w:p>
    <w:p w:rsidR="004E13A5" w:rsidRDefault="004E13A5">
      <w:pPr>
        <w:pStyle w:val="BodyText"/>
        <w:spacing w:before="9"/>
        <w:ind w:left="0"/>
        <w:rPr>
          <w:sz w:val="20"/>
        </w:rPr>
      </w:pPr>
    </w:p>
    <w:p w:rsidR="004E13A5" w:rsidRDefault="00681463">
      <w:pPr>
        <w:pStyle w:val="Heading4"/>
        <w:spacing w:before="1"/>
      </w:pPr>
      <w:r>
        <w:t>7-III.A. EARNED INCOME</w:t>
      </w:r>
    </w:p>
    <w:p w:rsidR="004E13A5" w:rsidRDefault="00681463">
      <w:pPr>
        <w:spacing w:before="120"/>
        <w:ind w:left="100"/>
        <w:rPr>
          <w:b/>
          <w:sz w:val="24"/>
        </w:rPr>
      </w:pPr>
      <w:r>
        <w:rPr>
          <w:b/>
          <w:sz w:val="24"/>
        </w:rPr>
        <w:t>Tips</w:t>
      </w:r>
    </w:p>
    <w:p w:rsidR="004E13A5" w:rsidRDefault="004E13A5">
      <w:pPr>
        <w:rPr>
          <w:sz w:val="24"/>
        </w:rPr>
        <w:sectPr w:rsidR="004E13A5">
          <w:pgSz w:w="12240" w:h="15840"/>
          <w:pgMar w:top="1000" w:right="1220" w:bottom="1240" w:left="1220" w:header="0" w:footer="998" w:gutter="0"/>
          <w:cols w:space="720"/>
        </w:sectPr>
      </w:pPr>
    </w:p>
    <w:p w:rsidR="004E13A5" w:rsidRDefault="004E13A5">
      <w:pPr>
        <w:pStyle w:val="BodyText"/>
        <w:spacing w:before="0"/>
        <w:ind w:left="0"/>
        <w:rPr>
          <w:b/>
          <w:sz w:val="26"/>
        </w:rPr>
      </w:pPr>
    </w:p>
    <w:p w:rsidR="004E13A5" w:rsidRDefault="004E13A5">
      <w:pPr>
        <w:pStyle w:val="BodyText"/>
        <w:spacing w:before="0"/>
        <w:ind w:left="0"/>
        <w:rPr>
          <w:b/>
          <w:sz w:val="26"/>
        </w:rPr>
      </w:pPr>
    </w:p>
    <w:p w:rsidR="004E13A5" w:rsidRDefault="004E13A5">
      <w:pPr>
        <w:pStyle w:val="BodyText"/>
        <w:spacing w:before="0"/>
        <w:ind w:left="0"/>
        <w:rPr>
          <w:b/>
          <w:sz w:val="26"/>
        </w:rPr>
      </w:pPr>
    </w:p>
    <w:p w:rsidR="004E13A5" w:rsidRDefault="004E13A5">
      <w:pPr>
        <w:pStyle w:val="BodyText"/>
        <w:spacing w:before="0"/>
        <w:ind w:left="0"/>
        <w:rPr>
          <w:b/>
          <w:sz w:val="26"/>
        </w:rPr>
      </w:pPr>
    </w:p>
    <w:p w:rsidR="004E13A5" w:rsidRDefault="004E13A5">
      <w:pPr>
        <w:pStyle w:val="BodyText"/>
        <w:spacing w:before="4"/>
        <w:ind w:left="0"/>
        <w:rPr>
          <w:b/>
          <w:sz w:val="23"/>
        </w:rPr>
      </w:pPr>
    </w:p>
    <w:p w:rsidR="004E13A5" w:rsidRDefault="00681463">
      <w:pPr>
        <w:ind w:left="100"/>
        <w:rPr>
          <w:b/>
          <w:sz w:val="24"/>
        </w:rPr>
      </w:pPr>
      <w:r>
        <w:rPr>
          <w:b/>
          <w:sz w:val="24"/>
        </w:rPr>
        <w:t>Wages</w:t>
      </w:r>
    </w:p>
    <w:p w:rsidR="004E13A5" w:rsidRDefault="00681463">
      <w:pPr>
        <w:pStyle w:val="BodyText"/>
        <w:spacing w:before="120"/>
        <w:ind w:left="0"/>
      </w:pPr>
      <w:r>
        <w:br w:type="column"/>
      </w:r>
      <w:r>
        <w:rPr>
          <w:u w:val="single"/>
        </w:rPr>
        <w:t>PHA Policy</w:t>
      </w:r>
    </w:p>
    <w:p w:rsidR="004E13A5" w:rsidRDefault="00681463">
      <w:pPr>
        <w:pStyle w:val="BodyText"/>
        <w:spacing w:before="120"/>
        <w:ind w:left="0" w:right="109"/>
      </w:pPr>
      <w:r>
        <w:t>Unless tip income is included in a family member’s W-2 by the employer, persons who work in industries where tips are standard will be required to sign a certified estimate of tips received for the prior year and tips anticipated to be received in the coming year.</w:t>
      </w:r>
    </w:p>
    <w:p w:rsidR="004E13A5" w:rsidRDefault="004E13A5">
      <w:pPr>
        <w:pStyle w:val="BodyText"/>
        <w:spacing w:before="0"/>
        <w:ind w:left="0"/>
        <w:rPr>
          <w:sz w:val="26"/>
        </w:rPr>
      </w:pPr>
    </w:p>
    <w:p w:rsidR="004E13A5" w:rsidRDefault="00681463">
      <w:pPr>
        <w:pStyle w:val="BodyText"/>
        <w:spacing w:before="217"/>
        <w:ind w:left="0"/>
      </w:pPr>
      <w:r>
        <w:rPr>
          <w:u w:val="single"/>
        </w:rPr>
        <w:t>PHA Policy</w:t>
      </w:r>
    </w:p>
    <w:p w:rsidR="004E13A5" w:rsidRDefault="00681463">
      <w:pPr>
        <w:pStyle w:val="BodyText"/>
        <w:spacing w:before="120"/>
        <w:ind w:left="0"/>
      </w:pPr>
      <w:r>
        <w:t>For wages other than tips, the family must provide originals of the two most current, consecutive pay stubs.</w:t>
      </w:r>
    </w:p>
    <w:p w:rsidR="004E13A5" w:rsidRDefault="004E13A5">
      <w:pPr>
        <w:sectPr w:rsidR="004E13A5">
          <w:type w:val="continuous"/>
          <w:pgSz w:w="12240" w:h="15840"/>
          <w:pgMar w:top="1500" w:right="1220" w:bottom="280" w:left="1220" w:header="720" w:footer="720" w:gutter="0"/>
          <w:cols w:num="2" w:space="720" w:equalWidth="0">
            <w:col w:w="780" w:space="40"/>
            <w:col w:w="8980"/>
          </w:cols>
        </w:sectPr>
      </w:pPr>
    </w:p>
    <w:p w:rsidR="004E13A5" w:rsidRDefault="00681463">
      <w:pPr>
        <w:pStyle w:val="Heading4"/>
        <w:spacing w:before="79"/>
      </w:pPr>
      <w:r>
        <w:lastRenderedPageBreak/>
        <w:t>7-III.B. BUSINESS AND SELF EMPLOYMENT INCOME</w:t>
      </w:r>
    </w:p>
    <w:p w:rsidR="004E13A5" w:rsidRDefault="00681463">
      <w:pPr>
        <w:pStyle w:val="BodyText"/>
        <w:spacing w:before="120"/>
        <w:ind w:left="820"/>
      </w:pPr>
      <w:r>
        <w:rPr>
          <w:u w:val="single"/>
        </w:rPr>
        <w:t>PHA Policy</w:t>
      </w:r>
    </w:p>
    <w:p w:rsidR="004E13A5" w:rsidRDefault="00681463">
      <w:pPr>
        <w:pStyle w:val="BodyText"/>
        <w:ind w:left="820"/>
      </w:pPr>
      <w:r>
        <w:t>Business owners and self-employed persons will be required to provide:</w:t>
      </w:r>
    </w:p>
    <w:p w:rsidR="004E13A5" w:rsidRDefault="00681463">
      <w:pPr>
        <w:pStyle w:val="BodyText"/>
        <w:ind w:left="1540" w:right="102"/>
      </w:pPr>
      <w:r>
        <w:t>An audited financial statement for the previous fiscal year if an audit was conducted. If an audit was not conducted, a statement of income and expenses must be submitted and the business owner or self-employed person must certify to its accuracy.</w:t>
      </w:r>
    </w:p>
    <w:p w:rsidR="004E13A5" w:rsidRDefault="00681463">
      <w:pPr>
        <w:pStyle w:val="BodyText"/>
        <w:ind w:left="1540"/>
      </w:pPr>
      <w:r>
        <w:t>All schedules completed for filing federal and local taxes in the preceding year.</w:t>
      </w:r>
    </w:p>
    <w:p w:rsidR="004E13A5" w:rsidRDefault="00681463">
      <w:pPr>
        <w:pStyle w:val="BodyText"/>
        <w:ind w:left="1540" w:right="636"/>
      </w:pPr>
      <w:r>
        <w:t>If accelerated depreciation was used on the tax return or financial statement, an accountant's calculation of depreciation expense, computed using straight-line depreciation rules.</w:t>
      </w:r>
    </w:p>
    <w:p w:rsidR="004E13A5" w:rsidRDefault="00681463">
      <w:pPr>
        <w:pStyle w:val="BodyText"/>
        <w:ind w:left="820" w:right="136"/>
      </w:pPr>
      <w:r>
        <w:t>The PHA will provide a format for any person who is unable to provide such a statement to record income and expenses for the coming year. The business owner/self-employed person will be required to submit the information requested and to certify to its accuracy at all future reexaminations.</w:t>
      </w:r>
    </w:p>
    <w:p w:rsidR="004E13A5" w:rsidRDefault="00681463">
      <w:pPr>
        <w:pStyle w:val="BodyText"/>
        <w:ind w:left="820" w:right="555"/>
      </w:pPr>
      <w:r>
        <w:t>At any reexamination the PHA may request documents that support submitted financial statements such as manifests, appointment books, cash books, or bank statements.</w:t>
      </w:r>
    </w:p>
    <w:p w:rsidR="004E13A5" w:rsidRDefault="00681463">
      <w:pPr>
        <w:pStyle w:val="BodyText"/>
        <w:ind w:left="820" w:right="176"/>
      </w:pPr>
      <w:r>
        <w:t>If a family member has been self-employed less than three (3) months, the PHA will accept the family member's certified estimate of income and schedule an interim reexamination in three (3) months. If the family member has been self-employed for three (3) to twelve (12) months the PHA will require the family to provide documentation of income and expenses for this period and use that information to project income.</w:t>
      </w:r>
    </w:p>
    <w:p w:rsidR="004E13A5" w:rsidRDefault="004E13A5">
      <w:pPr>
        <w:pStyle w:val="BodyText"/>
        <w:spacing w:before="9"/>
        <w:ind w:left="0"/>
        <w:rPr>
          <w:sz w:val="20"/>
        </w:rPr>
      </w:pPr>
    </w:p>
    <w:p w:rsidR="004E13A5" w:rsidRDefault="00681463">
      <w:pPr>
        <w:pStyle w:val="Heading4"/>
      </w:pPr>
      <w:r>
        <w:t>7-III.C. PERIODIC PAYMENTS AND PAYMENTS IN LIEU OF EARNINGS</w:t>
      </w:r>
    </w:p>
    <w:p w:rsidR="004E13A5" w:rsidRDefault="004E13A5">
      <w:pPr>
        <w:pStyle w:val="BodyText"/>
        <w:spacing w:before="9"/>
        <w:ind w:left="0"/>
        <w:rPr>
          <w:b/>
          <w:sz w:val="20"/>
        </w:rPr>
      </w:pPr>
    </w:p>
    <w:p w:rsidR="004E13A5" w:rsidRDefault="00681463">
      <w:pPr>
        <w:pStyle w:val="BodyText"/>
        <w:spacing w:before="0"/>
      </w:pPr>
      <w:r>
        <w:t>For policies governing streamlined income determinations for fixed sources of income, please see Chapter 11.</w:t>
      </w:r>
    </w:p>
    <w:p w:rsidR="004E13A5" w:rsidRDefault="00681463">
      <w:pPr>
        <w:pStyle w:val="Heading4"/>
        <w:spacing w:before="119"/>
      </w:pPr>
      <w:r>
        <w:t>Social Security/SSI Benefits</w:t>
      </w:r>
    </w:p>
    <w:p w:rsidR="004E13A5" w:rsidRDefault="00681463">
      <w:pPr>
        <w:pStyle w:val="BodyText"/>
        <w:spacing w:before="138"/>
        <w:ind w:right="102"/>
      </w:pPr>
      <w:r>
        <w:t>To ensure consistency in the determination of annual Social Security and SSI income, PHAs are required to use EIV-reported Social Security and SSI benefit amounts unless the tenant disputes the EIV-reported amount [Notice PIH 2018-24].</w:t>
      </w:r>
    </w:p>
    <w:p w:rsidR="004E13A5" w:rsidRDefault="00681463">
      <w:pPr>
        <w:pStyle w:val="BodyText"/>
        <w:spacing w:before="138"/>
        <w:ind w:left="820"/>
      </w:pPr>
      <w:r>
        <w:rPr>
          <w:u w:val="single"/>
        </w:rPr>
        <w:t>PHA Policy</w:t>
      </w:r>
    </w:p>
    <w:p w:rsidR="004E13A5" w:rsidRDefault="00681463">
      <w:pPr>
        <w:pStyle w:val="BodyText"/>
        <w:ind w:left="820" w:right="121"/>
      </w:pPr>
      <w:r>
        <w:t xml:space="preserve">To verify the SS/SSI benefits of applicants, the PHA will request a current (dated within the last 60 days) SSA benefit verification letter from each family member that receives social security benefits. If the family is unable to provide the document(s), the PHA will </w:t>
      </w:r>
      <w:hyperlink r:id="rId39">
        <w:r>
          <w:t>help</w:t>
        </w:r>
      </w:hyperlink>
      <w:r>
        <w:t xml:space="preserve"> the applicant request a benefit verification letter from SSA’s wWeb site at </w:t>
      </w:r>
      <w:hyperlink r:id="rId40">
        <w:r>
          <w:rPr>
            <w:color w:val="0000FF"/>
            <w:u w:val="single" w:color="0000FF"/>
          </w:rPr>
          <w:t xml:space="preserve">www.ssa.gov </w:t>
        </w:r>
      </w:hyperlink>
      <w:r>
        <w:t>or ask the family to request one by calling SSA at</w:t>
      </w:r>
    </w:p>
    <w:p w:rsidR="004E13A5" w:rsidRDefault="00681463">
      <w:pPr>
        <w:pStyle w:val="BodyText"/>
        <w:spacing w:before="0"/>
        <w:ind w:left="820" w:right="236"/>
      </w:pPr>
      <w:r>
        <w:t>1-800-772-1213. Once the applicant has received the benefit verification letter they will be required to provide it to the PHA.</w:t>
      </w:r>
    </w:p>
    <w:p w:rsidR="004E13A5" w:rsidRDefault="00681463">
      <w:pPr>
        <w:pStyle w:val="BodyText"/>
        <w:spacing w:before="120"/>
        <w:ind w:left="820" w:right="89"/>
      </w:pPr>
      <w:r>
        <w:t>To verify the SS/SSI benefits of participants, the PHA will obtain information about social security/SSI benefits through the HUD EIV System, and confirm with the participant(s) that the current listed benefit amount is correct. If the participant disputes the EIV-reported benefit amount, or if benefit information is not available in HUD systems, the PHA will</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right="215"/>
      </w:pPr>
      <w:r>
        <w:lastRenderedPageBreak/>
        <w:t xml:space="preserve">request a current SSA benefit verification letter from each family member that receives social security benefits. If the family is unable to provide the document(s) the PHA will </w:t>
      </w:r>
      <w:hyperlink r:id="rId41">
        <w:r>
          <w:t>help</w:t>
        </w:r>
      </w:hyperlink>
      <w:r>
        <w:t xml:space="preserve"> the participant request a benefit verification letter from SSA’s wWeb site at </w:t>
      </w:r>
      <w:hyperlink r:id="rId42">
        <w:r>
          <w:rPr>
            <w:color w:val="0000FF"/>
            <w:u w:val="single" w:color="0000FF"/>
          </w:rPr>
          <w:t xml:space="preserve">www.ssa.gov </w:t>
        </w:r>
      </w:hyperlink>
      <w:r>
        <w:t>or ask the family to request one by calling SSA at 1-800-772-1213. Once the participant has received the benefit verification letter they will be required to provide it to the PHA.</w:t>
      </w:r>
    </w:p>
    <w:p w:rsidR="004E13A5" w:rsidRDefault="004E13A5">
      <w:pPr>
        <w:pStyle w:val="BodyText"/>
        <w:spacing w:before="9"/>
        <w:ind w:left="0"/>
        <w:rPr>
          <w:sz w:val="20"/>
        </w:rPr>
      </w:pPr>
    </w:p>
    <w:p w:rsidR="004E13A5" w:rsidRDefault="00681463">
      <w:pPr>
        <w:pStyle w:val="Heading4"/>
        <w:spacing w:before="1"/>
      </w:pPr>
      <w:r>
        <w:t>7-III.D. ALIMONY OR CHILD SUPPORT</w:t>
      </w:r>
    </w:p>
    <w:p w:rsidR="004E13A5" w:rsidRDefault="00681463">
      <w:pPr>
        <w:pStyle w:val="BodyText"/>
        <w:spacing w:before="120"/>
        <w:ind w:left="820"/>
      </w:pPr>
      <w:r>
        <w:rPr>
          <w:u w:val="single"/>
        </w:rPr>
        <w:t>PHA Policy</w:t>
      </w:r>
    </w:p>
    <w:p w:rsidR="004E13A5" w:rsidRDefault="00681463">
      <w:pPr>
        <w:pStyle w:val="BodyText"/>
        <w:spacing w:before="120"/>
        <w:ind w:left="820" w:right="961"/>
      </w:pPr>
      <w:r>
        <w:t>The methods the PHA will use to verify alimony and child support payments differ depending on whether the family declares that it receives regular payments.</w:t>
      </w:r>
    </w:p>
    <w:p w:rsidR="004E13A5" w:rsidRDefault="00681463">
      <w:pPr>
        <w:spacing w:before="120"/>
        <w:ind w:left="1540" w:right="95"/>
        <w:rPr>
          <w:sz w:val="24"/>
        </w:rPr>
      </w:pPr>
      <w:r>
        <w:rPr>
          <w:sz w:val="24"/>
        </w:rPr>
        <w:t xml:space="preserve">If the family declares that it </w:t>
      </w:r>
      <w:r>
        <w:rPr>
          <w:b/>
          <w:i/>
          <w:sz w:val="24"/>
        </w:rPr>
        <w:t>receives regular payments</w:t>
      </w:r>
      <w:r>
        <w:rPr>
          <w:sz w:val="24"/>
        </w:rPr>
        <w:t>, verification will be obtained in the following order of priority:</w:t>
      </w:r>
    </w:p>
    <w:p w:rsidR="004E13A5" w:rsidRDefault="00681463">
      <w:pPr>
        <w:pStyle w:val="BodyText"/>
        <w:spacing w:before="120"/>
        <w:ind w:left="2260" w:right="494"/>
      </w:pPr>
      <w:r>
        <w:t>Copies of the receipts and/or payment stubs for the 60 days prior to PHA request</w:t>
      </w:r>
    </w:p>
    <w:p w:rsidR="004E13A5" w:rsidRDefault="00681463">
      <w:pPr>
        <w:pStyle w:val="BodyText"/>
        <w:ind w:left="2260" w:right="1215"/>
      </w:pPr>
      <w:r>
        <w:t>Third-party verification form from the state or local child support enforcement agency</w:t>
      </w:r>
    </w:p>
    <w:p w:rsidR="004E13A5" w:rsidRDefault="00681463">
      <w:pPr>
        <w:pStyle w:val="BodyText"/>
        <w:spacing w:line="343" w:lineRule="auto"/>
        <w:ind w:left="2260" w:right="961"/>
      </w:pPr>
      <w:r>
        <w:t>Third-party verification form from the person paying the support Family's self-certification of amount received</w:t>
      </w:r>
    </w:p>
    <w:p w:rsidR="004E13A5" w:rsidRDefault="00681463">
      <w:pPr>
        <w:pStyle w:val="BodyText"/>
        <w:spacing w:before="5"/>
        <w:ind w:left="1540" w:right="116"/>
      </w:pPr>
      <w:r>
        <w:t xml:space="preserve">If the family declares that it </w:t>
      </w:r>
      <w:r>
        <w:rPr>
          <w:b/>
          <w:i/>
        </w:rPr>
        <w:t>receives irregular or no payments</w:t>
      </w:r>
      <w:r>
        <w:t>, in addition to the verification process listed above, the family must provide evidence that it has taken all reasonable efforts to collect amounts due. This may include:</w:t>
      </w:r>
    </w:p>
    <w:p w:rsidR="004E13A5" w:rsidRDefault="00681463">
      <w:pPr>
        <w:pStyle w:val="BodyText"/>
        <w:ind w:left="2260" w:right="235"/>
      </w:pPr>
      <w:r>
        <w:t>A statement from any agency responsible for enforcing payment that shows the family has requested enforcement and is cooperating with all enforcement efforts</w:t>
      </w:r>
    </w:p>
    <w:p w:rsidR="004E13A5" w:rsidRDefault="00681463">
      <w:pPr>
        <w:pStyle w:val="BodyText"/>
        <w:ind w:left="2260" w:right="236"/>
      </w:pPr>
      <w:r>
        <w:t>If the family has made independent efforts at collection, a written statement from the attorney or other collection entity that has assisted the family in these efforts</w:t>
      </w:r>
    </w:p>
    <w:p w:rsidR="004E13A5" w:rsidRDefault="00681463">
      <w:pPr>
        <w:pStyle w:val="BodyText"/>
        <w:ind w:left="1540"/>
      </w:pPr>
      <w:r>
        <w:rPr>
          <w:b/>
          <w:i/>
        </w:rPr>
        <w:t xml:space="preserve">Note: </w:t>
      </w:r>
      <w:r>
        <w:t>Families are not required to undertake independent enforcement action.</w:t>
      </w:r>
    </w:p>
    <w:p w:rsidR="00540B75" w:rsidRDefault="00540B75" w:rsidP="00540B75">
      <w:pPr>
        <w:spacing w:before="240"/>
        <w:rPr>
          <w:b/>
          <w:iCs/>
        </w:rPr>
      </w:pPr>
      <w:bookmarkStart w:id="48" w:name="_Hlk149225420"/>
      <w:r w:rsidRPr="00D42683">
        <w:rPr>
          <w:b/>
          <w:iCs/>
        </w:rPr>
        <w:t>7-III.</w:t>
      </w:r>
      <w:r>
        <w:rPr>
          <w:b/>
          <w:iCs/>
        </w:rPr>
        <w:t>E</w:t>
      </w:r>
      <w:r w:rsidRPr="00D42683">
        <w:rPr>
          <w:b/>
          <w:iCs/>
        </w:rPr>
        <w:t xml:space="preserve">. </w:t>
      </w:r>
      <w:r>
        <w:rPr>
          <w:b/>
          <w:iCs/>
        </w:rPr>
        <w:t>NONRECURRING INCOME</w:t>
      </w:r>
      <w:bookmarkEnd w:id="48"/>
      <w:r>
        <w:rPr>
          <w:b/>
          <w:iCs/>
        </w:rPr>
        <w:t xml:space="preserve"> [Notice PIH 2023-27]</w:t>
      </w:r>
    </w:p>
    <w:p w:rsidR="00540B75" w:rsidRDefault="00540B75" w:rsidP="00540B75">
      <w:pPr>
        <w:spacing w:before="240"/>
        <w:rPr>
          <w:b/>
          <w:iCs/>
        </w:rPr>
      </w:pPr>
    </w:p>
    <w:p w:rsidR="00540B75" w:rsidRDefault="00540B75" w:rsidP="00540B75">
      <w:r>
        <w:t xml:space="preserve">Income that will not be repeated beyond the coming year (i.e., the 12 months following the effective date of the certification), based on information provided by the family, is considered nonrecurring income and is excluded from annual income. </w:t>
      </w:r>
    </w:p>
    <w:p w:rsidR="00540B75" w:rsidRDefault="00540B75" w:rsidP="00540B75">
      <w:pPr>
        <w:pStyle w:val="BodyText"/>
        <w:ind w:left="820"/>
      </w:pPr>
      <w:r>
        <w:rPr>
          <w:u w:val="single"/>
        </w:rPr>
        <w:t>PHA Policy</w:t>
      </w:r>
    </w:p>
    <w:p w:rsidR="00540B75" w:rsidRDefault="00540B75" w:rsidP="00540B75">
      <w:pPr>
        <w:ind w:left="1800"/>
      </w:pPr>
      <w:r>
        <w:t xml:space="preserve">The PHA will accept self-certification from the family stating that income will not be repeated in the coming year.  However, the PHA may choose, on a case-by-case basis, to require third-party verification that income sources will not be repeated in the coming year. </w:t>
      </w:r>
    </w:p>
    <w:p w:rsidR="00540B75" w:rsidRDefault="00540B75">
      <w:pPr>
        <w:pStyle w:val="BodyText"/>
        <w:ind w:left="1540"/>
      </w:pPr>
    </w:p>
    <w:p w:rsidR="004E13A5" w:rsidRDefault="004E13A5">
      <w:pPr>
        <w:pStyle w:val="BodyText"/>
        <w:spacing w:before="9"/>
        <w:ind w:left="0"/>
        <w:rPr>
          <w:sz w:val="20"/>
        </w:rPr>
      </w:pPr>
    </w:p>
    <w:p w:rsidR="004E13A5" w:rsidRDefault="00681463">
      <w:pPr>
        <w:pStyle w:val="Heading4"/>
      </w:pPr>
      <w:r>
        <w:t>7-III.</w:t>
      </w:r>
      <w:r w:rsidR="00540B75">
        <w:t>F</w:t>
      </w:r>
      <w:r>
        <w:t>. ASSETS AND INCOME FROM ASSETS</w:t>
      </w:r>
    </w:p>
    <w:p w:rsidR="009B365F" w:rsidRDefault="009B365F" w:rsidP="009B365F">
      <w:pPr>
        <w:rPr>
          <w:b/>
          <w:bCs/>
        </w:rPr>
      </w:pPr>
      <w:bookmarkStart w:id="49" w:name="_Hlk146724766"/>
      <w:r w:rsidRPr="00ED7F89">
        <w:rPr>
          <w:b/>
          <w:bCs/>
        </w:rPr>
        <w:lastRenderedPageBreak/>
        <w:t>Net Family Assets Equal to or Less than $50,000</w:t>
      </w:r>
      <w:r>
        <w:rPr>
          <w:b/>
          <w:bCs/>
        </w:rPr>
        <w:t xml:space="preserve"> </w:t>
      </w:r>
      <w:bookmarkEnd w:id="49"/>
      <w:r>
        <w:rPr>
          <w:b/>
          <w:bCs/>
        </w:rPr>
        <w:t>[24 CFR 5.603]</w:t>
      </w:r>
    </w:p>
    <w:p w:rsidR="009B365F" w:rsidRPr="00ED7F89" w:rsidRDefault="009B365F" w:rsidP="009B365F">
      <w:pPr>
        <w:rPr>
          <w:b/>
          <w:bCs/>
        </w:rPr>
      </w:pPr>
    </w:p>
    <w:p w:rsidR="009B365F" w:rsidRDefault="009B365F" w:rsidP="009B365F">
      <w:r>
        <w:t>For families with net assets totaling $50,000 or less, the PHA may accept the family’s self-certification that their assets do not exceed $50,000 without taking any additional steps to verify the accuracy of the declaration. The PHA must include in its policy whether it will accept self-certification.</w:t>
      </w:r>
    </w:p>
    <w:p w:rsidR="009B365F" w:rsidRDefault="009B365F">
      <w:pPr>
        <w:pStyle w:val="Heading4"/>
      </w:pPr>
    </w:p>
    <w:p w:rsidR="009B365F" w:rsidRDefault="009B365F" w:rsidP="009B365F">
      <w:pPr>
        <w:pStyle w:val="BodyText"/>
        <w:ind w:left="820"/>
        <w:rPr>
          <w:u w:val="single"/>
        </w:rPr>
      </w:pPr>
      <w:r>
        <w:rPr>
          <w:u w:val="single"/>
        </w:rPr>
        <w:t>PHA Policy</w:t>
      </w:r>
    </w:p>
    <w:p w:rsidR="009B365F" w:rsidRDefault="009B365F" w:rsidP="009B365F">
      <w:pPr>
        <w:ind w:left="1800"/>
      </w:pPr>
      <w:bookmarkStart w:id="50" w:name="_Hlk142987613"/>
      <w:r>
        <w:t xml:space="preserve">For families with net assets totaling $50,000 or less, the PHA will accept the family’s self-certification of the value of family assets and anticipated asset income. </w:t>
      </w:r>
      <w:r>
        <w:rPr>
          <w:bCs/>
          <w:iCs/>
        </w:rPr>
        <w:t>The family’s declaration must show each asset and the amount of income expected from that asset</w:t>
      </w:r>
      <w:r>
        <w:t xml:space="preserve">. All family members 18 years of age and older must sign the family’s declaration. </w:t>
      </w:r>
      <w:bookmarkStart w:id="51" w:name="_Hlk135907712"/>
      <w:r>
        <w:t xml:space="preserve">The PHA reserves the right to require additional verification in situations where the accuracy of the declaration is in question. Any income the family expects to receive from assets will be included in the family’s annual income. </w:t>
      </w:r>
      <w:bookmarkEnd w:id="51"/>
      <w:r>
        <w:t>The PHA will obtain third-party verification of net family assets every three years.</w:t>
      </w:r>
      <w:bookmarkEnd w:id="50"/>
    </w:p>
    <w:p w:rsidR="009B365F" w:rsidRDefault="009B365F" w:rsidP="009B365F">
      <w:pPr>
        <w:pStyle w:val="BodyText"/>
        <w:ind w:left="820"/>
      </w:pPr>
    </w:p>
    <w:p w:rsidR="009B365F" w:rsidRDefault="009B365F">
      <w:pPr>
        <w:pStyle w:val="Heading4"/>
        <w:rPr>
          <w:b w:val="0"/>
          <w:bCs w:val="0"/>
        </w:rPr>
      </w:pPr>
      <w:r w:rsidRPr="00ED7F89">
        <w:rPr>
          <w:b w:val="0"/>
          <w:bCs w:val="0"/>
        </w:rPr>
        <w:t>Self-Certification of Real Property Ownership</w:t>
      </w:r>
      <w:r>
        <w:rPr>
          <w:b w:val="0"/>
          <w:bCs w:val="0"/>
        </w:rPr>
        <w:t xml:space="preserve"> [24 CFR 5.618(b)(2)]</w:t>
      </w:r>
    </w:p>
    <w:p w:rsidR="009B365F" w:rsidRDefault="009B365F">
      <w:pPr>
        <w:pStyle w:val="Heading4"/>
      </w:pPr>
    </w:p>
    <w:p w:rsidR="009B365F" w:rsidRDefault="009B365F" w:rsidP="009B365F">
      <w:r>
        <w:t xml:space="preserve">The PHA must determine whether a family has present ownership in real property for purposes of determining whether the family is compliant with the asset limitation. At admission and reexam, the PHA may accept a self-certification from the family that the family does not have any present ownership in any real property. If the family declares they have present ownership in real property, the PHA must obtain third-party verification. </w:t>
      </w:r>
    </w:p>
    <w:p w:rsidR="009B365F" w:rsidRDefault="009B365F" w:rsidP="009B365F">
      <w:pPr>
        <w:pStyle w:val="BodyText"/>
        <w:ind w:left="820"/>
        <w:rPr>
          <w:u w:val="single"/>
        </w:rPr>
      </w:pPr>
      <w:r>
        <w:rPr>
          <w:u w:val="single"/>
        </w:rPr>
        <w:t>PHA Policy</w:t>
      </w:r>
    </w:p>
    <w:p w:rsidR="009B365F" w:rsidRDefault="009B365F" w:rsidP="009B365F">
      <w:pPr>
        <w:ind w:left="1800"/>
      </w:pPr>
      <w:bookmarkStart w:id="52" w:name="_Hlk142987877"/>
      <w:r>
        <w:t>Both at admission and reexam, the PHA will accept self-certification from the family that the family does not have any present ownership in any real property. The certification will state that the family does not have any present ownership interest in any real property and must be signed by all family members 18 years of age and older.</w:t>
      </w:r>
      <w:r w:rsidRPr="009C1BEB">
        <w:t xml:space="preserve"> </w:t>
      </w:r>
      <w:r>
        <w:t>The PHA reserves the right to require additional verification in situations where the accuracy of the declaration is in question.</w:t>
      </w:r>
    </w:p>
    <w:p w:rsidR="009B365F" w:rsidRDefault="009B365F" w:rsidP="009B365F">
      <w:pPr>
        <w:ind w:left="1800"/>
      </w:pPr>
      <w:r>
        <w:t>If the family declares they have a present ownership in real property, the PHA will obtain third-party verification of the following factors: whether the family has the legal right to reside in the property; whether the family has effective legal authority to sell the property; and whether the property is suitable for occupancy by the family as a residence. However, in cases where a family member is a victim of domestic violence, dating violence, sexual, or stalking, the PHA will comply with confidentiality requirements under 24 CFR 5.2007 and will accept a self-certification.</w:t>
      </w:r>
      <w:bookmarkEnd w:id="52"/>
    </w:p>
    <w:p w:rsidR="009B365F" w:rsidRDefault="009B365F" w:rsidP="009B365F">
      <w:pPr>
        <w:pStyle w:val="BodyText"/>
        <w:ind w:left="820"/>
      </w:pPr>
    </w:p>
    <w:p w:rsidR="009B365F" w:rsidRDefault="009B365F">
      <w:pPr>
        <w:pStyle w:val="Heading4"/>
      </w:pPr>
    </w:p>
    <w:p w:rsidR="009B365F" w:rsidRPr="00CF179B" w:rsidRDefault="009B365F" w:rsidP="009B365F">
      <w:pPr>
        <w:rPr>
          <w:b/>
          <w:bCs/>
          <w:iCs/>
        </w:rPr>
      </w:pPr>
      <w:r w:rsidRPr="004926A1">
        <w:rPr>
          <w:b/>
        </w:rPr>
        <w:t>7-III.</w:t>
      </w:r>
      <w:r>
        <w:rPr>
          <w:b/>
        </w:rPr>
        <w:t>G.</w:t>
      </w:r>
      <w:r w:rsidRPr="004926A1">
        <w:rPr>
          <w:b/>
          <w:bCs/>
        </w:rPr>
        <w:t xml:space="preserve"> </w:t>
      </w:r>
      <w:r>
        <w:rPr>
          <w:b/>
          <w:bCs/>
        </w:rPr>
        <w:t>ASSETS DISPOSED OF FOR LESS THAN FAIR MARKET VALUE</w:t>
      </w:r>
      <w:r w:rsidDel="009B365F">
        <w:rPr>
          <w:b/>
          <w:sz w:val="24"/>
        </w:rPr>
        <w:t xml:space="preserve"> </w:t>
      </w:r>
      <w:r>
        <w:rPr>
          <w:bCs/>
          <w:iCs/>
        </w:rPr>
        <w:t xml:space="preserve">HUD permits PHAs to accept a self-certification from a family as verification of assets disposed of for less than fair market value [HCV GB, p. 5-28]. </w:t>
      </w:r>
    </w:p>
    <w:p w:rsidR="009B365F" w:rsidRDefault="009B365F" w:rsidP="009B365F">
      <w:pPr>
        <w:pStyle w:val="BodyText"/>
        <w:ind w:left="820"/>
      </w:pPr>
      <w:r>
        <w:rPr>
          <w:u w:val="single"/>
        </w:rPr>
        <w:t>PHA Policy</w:t>
      </w:r>
    </w:p>
    <w:p w:rsidR="009B365F" w:rsidRPr="004926A1" w:rsidRDefault="009B365F" w:rsidP="009B365F">
      <w:pPr>
        <w:ind w:left="1800"/>
      </w:pPr>
      <w:r>
        <w:t xml:space="preserve">The </w:t>
      </w:r>
      <w:r w:rsidRPr="004926A1">
        <w:t xml:space="preserve">PHA </w:t>
      </w:r>
      <w:r>
        <w:t>will</w:t>
      </w:r>
      <w:r w:rsidRPr="004926A1">
        <w:t xml:space="preserve"> accept a self-certification from </w:t>
      </w:r>
      <w:r>
        <w:t>a</w:t>
      </w:r>
      <w:r w:rsidRPr="004926A1">
        <w:t xml:space="preserve"> family as verification of assets disposed of for less than fair market value.</w:t>
      </w:r>
    </w:p>
    <w:p w:rsidR="009B365F" w:rsidRDefault="009B365F">
      <w:pPr>
        <w:spacing w:before="119"/>
        <w:ind w:left="100"/>
        <w:rPr>
          <w:b/>
          <w:sz w:val="24"/>
        </w:rPr>
      </w:pPr>
    </w:p>
    <w:p w:rsidR="004E13A5" w:rsidRDefault="00681463">
      <w:pPr>
        <w:pStyle w:val="BodyText"/>
        <w:ind w:right="163"/>
      </w:pPr>
      <w:r>
        <w:t>The family must certify whether any assets have been disposed of for less than fair market value in the preceding two years. The PHA needs to verify only those certifications that warrant documentation [HCV GB, p. 5-28].</w:t>
      </w:r>
    </w:p>
    <w:p w:rsidR="004E13A5" w:rsidRDefault="00681463">
      <w:pPr>
        <w:pStyle w:val="BodyText"/>
        <w:ind w:left="820"/>
      </w:pPr>
      <w:r>
        <w:rPr>
          <w:u w:val="single"/>
        </w:rPr>
        <w:lastRenderedPageBreak/>
        <w:t>PHA Policy</w:t>
      </w:r>
    </w:p>
    <w:p w:rsidR="004E13A5" w:rsidRDefault="00681463">
      <w:pPr>
        <w:pStyle w:val="BodyText"/>
        <w:ind w:left="820"/>
      </w:pPr>
      <w:r>
        <w:t>The PHA will verify the value of assets disposed of only if:</w:t>
      </w:r>
    </w:p>
    <w:p w:rsidR="004E13A5" w:rsidRDefault="00681463">
      <w:pPr>
        <w:pStyle w:val="BodyText"/>
        <w:ind w:left="1540" w:right="122"/>
      </w:pPr>
      <w:r>
        <w:t>The PHA does not already have a reasonable estimation of its value from previously collected information, or</w:t>
      </w:r>
    </w:p>
    <w:p w:rsidR="004E13A5" w:rsidRDefault="00681463">
      <w:pPr>
        <w:pStyle w:val="BodyText"/>
        <w:ind w:left="1540"/>
      </w:pPr>
      <w:r>
        <w:t>The amount reported by the family in the certification appears obviously in error.</w:t>
      </w:r>
    </w:p>
    <w:p w:rsidR="004E13A5" w:rsidRDefault="004E13A5">
      <w:pPr>
        <w:sectPr w:rsidR="004E13A5">
          <w:pgSz w:w="12240" w:h="15840"/>
          <w:pgMar w:top="1000" w:right="1240" w:bottom="1240" w:left="1220" w:header="0" w:footer="998" w:gutter="0"/>
          <w:cols w:space="720"/>
        </w:sectPr>
      </w:pPr>
    </w:p>
    <w:p w:rsidR="004E13A5" w:rsidRDefault="00681463">
      <w:pPr>
        <w:ind w:left="702"/>
        <w:rPr>
          <w:sz w:val="20"/>
        </w:rPr>
      </w:pPr>
      <w:r>
        <w:rPr>
          <w:spacing w:val="-49"/>
          <w:sz w:val="20"/>
        </w:rPr>
        <w:lastRenderedPageBreak/>
        <w:t xml:space="preserve"> </w:t>
      </w:r>
      <w:r w:rsidR="003263D1">
        <w:rPr>
          <w:noProof/>
          <w:spacing w:val="-49"/>
          <w:sz w:val="20"/>
        </w:rPr>
        <mc:AlternateContent>
          <mc:Choice Requires="wps">
            <w:drawing>
              <wp:inline distT="0" distB="0" distL="0" distR="0">
                <wp:extent cx="5783580" cy="1510665"/>
                <wp:effectExtent l="11430" t="9525" r="5715" b="13335"/>
                <wp:docPr id="6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510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pStyle w:val="BodyText"/>
                              <w:spacing w:before="18"/>
                              <w:ind w:left="107" w:right="137"/>
                            </w:pPr>
                            <w:r>
                              <w:t>Example 1: An elderly participant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 necessary.</w:t>
                            </w:r>
                          </w:p>
                          <w:p w:rsidR="00BA59C9" w:rsidRDefault="00BA59C9">
                            <w:pPr>
                              <w:pStyle w:val="BodyText"/>
                              <w:ind w:left="107" w:right="130"/>
                            </w:pPr>
                            <w:r>
                              <w:t>Example 2: A family member has disposed of its 1/4 share of real property located in a desirable area and has valued her share at approximately $5,000. Based upon market conditions, this declaration does not seem realistic. Therefore, the PHA will verify the value of this asset.</w:t>
                            </w:r>
                          </w:p>
                        </w:txbxContent>
                      </wps:txbx>
                      <wps:bodyPr rot="0" vert="horz" wrap="square" lIns="0" tIns="0" rIns="0" bIns="0" anchor="t" anchorCtr="0" upright="1">
                        <a:noAutofit/>
                      </wps:bodyPr>
                    </wps:wsp>
                  </a:graphicData>
                </a:graphic>
              </wp:inline>
            </w:drawing>
          </mc:Choice>
          <mc:Fallback>
            <w:pict>
              <v:shape id="Text Box 92" o:spid="_x0000_s1039" type="#_x0000_t202" style="width:455.4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" filled="f" strokeweight=".48pt">
                <v:textbox inset="0,0,0,0">
                  <w:txbxContent>
                    <w:p w:rsidR="00BA59C9" w:rsidRDefault="00BA59C9">
                      <w:pPr>
                        <w:pStyle w:val="BodyText"/>
                        <w:spacing w:before="18"/>
                        <w:ind w:left="107" w:right="137"/>
                      </w:pPr>
                      <w:r>
                        <w:t>Example 1: An elderly participant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 necessary.</w:t>
                      </w:r>
                    </w:p>
                    <w:p w:rsidR="00BA59C9" w:rsidRDefault="00BA59C9">
                      <w:pPr>
                        <w:pStyle w:val="BodyText"/>
                        <w:ind w:left="107" w:right="130"/>
                      </w:pPr>
                      <w:r>
                        <w:t>Example 2: A family member has disposed of its 1/4 share of real property located in a desirable area and has valued her share at approximately $5,000. Based upon market conditions, this declaration does not seem realistic. Therefore, the PHA will verify the value of this asset.</w:t>
                      </w:r>
                    </w:p>
                  </w:txbxContent>
                </v:textbox>
                <w10:anchorlock/>
              </v:shape>
            </w:pict>
          </mc:Fallback>
        </mc:AlternateContent>
      </w:r>
    </w:p>
    <w:p w:rsidR="004E13A5" w:rsidRDefault="004E13A5">
      <w:pPr>
        <w:pStyle w:val="BodyText"/>
        <w:spacing w:before="8"/>
        <w:ind w:left="0"/>
        <w:rPr>
          <w:sz w:val="9"/>
        </w:rPr>
      </w:pPr>
    </w:p>
    <w:p w:rsidR="004E13A5" w:rsidRDefault="00681463">
      <w:pPr>
        <w:pStyle w:val="Heading4"/>
        <w:spacing w:before="90"/>
      </w:pPr>
      <w:r>
        <w:t>7-III.</w:t>
      </w:r>
      <w:r w:rsidR="009B365F">
        <w:t>H</w:t>
      </w:r>
      <w:r>
        <w:t>. NET INCOME FROM RENTAL PROPERTY</w:t>
      </w:r>
    </w:p>
    <w:p w:rsidR="004E13A5" w:rsidRDefault="00681463">
      <w:pPr>
        <w:pStyle w:val="BodyText"/>
        <w:ind w:left="820"/>
      </w:pPr>
      <w:r>
        <w:rPr>
          <w:u w:val="single"/>
        </w:rPr>
        <w:t>PHA Policy</w:t>
      </w:r>
    </w:p>
    <w:p w:rsidR="004E13A5" w:rsidRDefault="00681463">
      <w:pPr>
        <w:pStyle w:val="BodyText"/>
        <w:ind w:left="820"/>
      </w:pPr>
      <w:r>
        <w:t>The family must provide:</w:t>
      </w:r>
    </w:p>
    <w:p w:rsidR="004E13A5" w:rsidRDefault="00681463">
      <w:pPr>
        <w:pStyle w:val="BodyText"/>
        <w:spacing w:before="120"/>
        <w:ind w:left="1540" w:right="389"/>
      </w:pPr>
      <w:r>
        <w:t>A current executed lease for the property that shows the rental amount or certification from the current tenant</w:t>
      </w:r>
    </w:p>
    <w:p w:rsidR="004E13A5" w:rsidRDefault="00681463">
      <w:pPr>
        <w:pStyle w:val="BodyText"/>
        <w:spacing w:before="120"/>
        <w:ind w:left="1540"/>
      </w:pPr>
      <w:r>
        <w:t>A self-certification from the family members engaged in the rental of property providing an estimate of expenses for the coming year and the most recent IRS Form 1040 with Schedule E (Rental Income).</w:t>
      </w:r>
    </w:p>
    <w:p w:rsidR="004E13A5" w:rsidRDefault="00681463">
      <w:pPr>
        <w:pStyle w:val="BodyText"/>
        <w:spacing w:before="120"/>
        <w:ind w:left="1540" w:right="389"/>
      </w:pPr>
      <w:r>
        <w:t>If schedule E was not prepared, the PHA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 expense.</w:t>
      </w:r>
    </w:p>
    <w:p w:rsidR="004E13A5" w:rsidRDefault="004E13A5">
      <w:pPr>
        <w:pStyle w:val="BodyText"/>
        <w:spacing w:before="10"/>
        <w:ind w:left="0"/>
        <w:rPr>
          <w:sz w:val="20"/>
        </w:rPr>
      </w:pPr>
    </w:p>
    <w:p w:rsidR="004E13A5" w:rsidRDefault="00681463">
      <w:pPr>
        <w:pStyle w:val="Heading4"/>
      </w:pPr>
      <w:r>
        <w:t>7-III.</w:t>
      </w:r>
      <w:r w:rsidR="009B365F">
        <w:t>I</w:t>
      </w:r>
      <w:r>
        <w:t>. RETIREMENT ACCOUNTS</w:t>
      </w:r>
    </w:p>
    <w:p w:rsidR="004E13A5" w:rsidRDefault="00681463">
      <w:pPr>
        <w:pStyle w:val="BodyText"/>
        <w:ind w:left="820"/>
      </w:pPr>
      <w:r>
        <w:rPr>
          <w:u w:val="single"/>
        </w:rPr>
        <w:t>PHA Policy</w:t>
      </w:r>
    </w:p>
    <w:p w:rsidR="004E13A5" w:rsidRDefault="00681463">
      <w:pPr>
        <w:pStyle w:val="BodyText"/>
        <w:ind w:left="820" w:right="489"/>
      </w:pPr>
      <w:r>
        <w:t>The PHA will accept written third-party documents supplied by the family as evidence of the status of retirement accounts.</w:t>
      </w:r>
    </w:p>
    <w:p w:rsidR="004E13A5" w:rsidRDefault="00681463">
      <w:pPr>
        <w:pStyle w:val="BodyText"/>
        <w:ind w:left="820"/>
      </w:pPr>
      <w:r>
        <w:t>The type of original document that will be accepted depends upon the family member’s retirement status.</w:t>
      </w:r>
    </w:p>
    <w:p w:rsidR="004E13A5" w:rsidRDefault="00681463">
      <w:pPr>
        <w:pStyle w:val="BodyText"/>
        <w:ind w:left="1540" w:right="235"/>
      </w:pPr>
      <w:r>
        <w:rPr>
          <w:i/>
        </w:rPr>
        <w:t xml:space="preserve">Before </w:t>
      </w:r>
      <w:r>
        <w:t>retirement, the PHA will accept an original document from the entity holding the account with a date that shows it is the most recently scheduled statement for the account but in no case earlier than 6 months from the effective date of the examination.</w:t>
      </w:r>
    </w:p>
    <w:p w:rsidR="004E13A5" w:rsidRDefault="00681463">
      <w:pPr>
        <w:pStyle w:val="BodyText"/>
        <w:ind w:left="1540" w:right="342"/>
      </w:pPr>
      <w:r>
        <w:rPr>
          <w:i/>
        </w:rPr>
        <w:t xml:space="preserve">Upon </w:t>
      </w:r>
      <w:r>
        <w:t>retirement, the PHA will accept an original document from the entity holding the account that reflects any distributions of the account balance, any lump sums taken and any regular payments.</w:t>
      </w:r>
    </w:p>
    <w:p w:rsidR="004E13A5" w:rsidRDefault="00681463">
      <w:pPr>
        <w:pStyle w:val="BodyText"/>
        <w:ind w:left="1540" w:right="399"/>
        <w:jc w:val="both"/>
      </w:pPr>
      <w:r>
        <w:rPr>
          <w:i/>
        </w:rPr>
        <w:t xml:space="preserve">After </w:t>
      </w:r>
      <w:r>
        <w:t>retirement, the PHA will accept an original document from the entity holding the account dated no earlier than 12 months before that reflects any distributions of the account balance, any lump sums taken and any regular payments.</w:t>
      </w:r>
    </w:p>
    <w:p w:rsidR="004E13A5" w:rsidRDefault="004E13A5">
      <w:pPr>
        <w:jc w:val="both"/>
        <w:sectPr w:rsidR="004E13A5">
          <w:pgSz w:w="12240" w:h="15840"/>
          <w:pgMar w:top="1080" w:right="1100" w:bottom="1240" w:left="1220" w:header="0" w:footer="998" w:gutter="0"/>
          <w:cols w:space="720"/>
        </w:sectPr>
      </w:pPr>
    </w:p>
    <w:p w:rsidR="004E13A5" w:rsidRDefault="00681463">
      <w:pPr>
        <w:pStyle w:val="Heading4"/>
        <w:spacing w:before="79"/>
      </w:pPr>
      <w:r>
        <w:lastRenderedPageBreak/>
        <w:t>7-III.</w:t>
      </w:r>
      <w:r w:rsidR="009B365F">
        <w:t>J</w:t>
      </w:r>
      <w:r>
        <w:t>. INCOME FROM EXCLUDED SOURCES</w:t>
      </w:r>
    </w:p>
    <w:p w:rsidR="004E13A5" w:rsidRDefault="00681463">
      <w:pPr>
        <w:pStyle w:val="BodyText"/>
        <w:spacing w:before="120"/>
      </w:pPr>
      <w:r>
        <w:t>A detailed discussion of excluded income is provided in Chapter 6, Part I.</w:t>
      </w:r>
    </w:p>
    <w:p w:rsidR="004E13A5" w:rsidRDefault="00681463">
      <w:pPr>
        <w:pStyle w:val="BodyText"/>
        <w:ind w:right="409"/>
      </w:pPr>
      <w:r>
        <w:t>HUD guidance on verification of excluded income draws a distinction between income which is fully excluded and income which is only partially excluded.</w:t>
      </w:r>
    </w:p>
    <w:p w:rsidR="004E13A5" w:rsidRDefault="00681463">
      <w:pPr>
        <w:pStyle w:val="BodyText"/>
        <w:ind w:right="189"/>
      </w:pPr>
      <w:r>
        <w:t xml:space="preserve">For fully excluded income, the PHA is </w:t>
      </w:r>
      <w:r>
        <w:rPr>
          <w:b/>
        </w:rPr>
        <w:t xml:space="preserve">not </w:t>
      </w:r>
      <w:r>
        <w:t>required to follow the verification hierarchy, document why third-party verification is not available, or report the income on the 50058. Fully excluded income is defined as income that is entirely excluded from the annual income determination (for example, food stamps, earned income of a minor, or foster care funds) [Notice PIH 2013-04].</w:t>
      </w:r>
    </w:p>
    <w:p w:rsidR="004E13A5" w:rsidRDefault="00681463">
      <w:pPr>
        <w:pStyle w:val="BodyText"/>
        <w:ind w:right="183"/>
      </w:pPr>
      <w:r>
        <w:t>PHAs may accept a family’s signed application or reexamination form as self-certification of fully excluded income. They do not have to require additional documentation. However, if there is any doubt that a source of income qualifies for full exclusion, PHAs have the option of requiring additional verification.</w:t>
      </w:r>
    </w:p>
    <w:p w:rsidR="004E13A5" w:rsidRDefault="00681463">
      <w:pPr>
        <w:pStyle w:val="BodyText"/>
        <w:spacing w:before="120"/>
        <w:ind w:right="96"/>
      </w:pPr>
      <w:r>
        <w:t xml:space="preserve">For partially excluded income, the PHA </w:t>
      </w:r>
      <w:r>
        <w:rPr>
          <w:b/>
        </w:rPr>
        <w:t xml:space="preserve">is </w:t>
      </w:r>
      <w:r>
        <w:t>required to follow the verification hierarchy and all applicable regulations, and to report the income on the 50058. Partially excluded income is defined as income where only a certain portion of what is reported by the family qualifies to be excluded and the remainder is included in annual income (for example, the income of an adult full-time student, or income excluded under the earned income disallowance).</w:t>
      </w:r>
    </w:p>
    <w:p w:rsidR="004E13A5" w:rsidRDefault="00681463">
      <w:pPr>
        <w:pStyle w:val="BodyText"/>
        <w:spacing w:before="120"/>
        <w:ind w:left="820"/>
      </w:pPr>
      <w:r>
        <w:rPr>
          <w:u w:val="single"/>
        </w:rPr>
        <w:t>PHA Policy</w:t>
      </w:r>
    </w:p>
    <w:p w:rsidR="004E13A5" w:rsidRDefault="00681463">
      <w:pPr>
        <w:pStyle w:val="BodyText"/>
        <w:spacing w:before="120"/>
        <w:ind w:left="820" w:right="89"/>
      </w:pPr>
      <w:r>
        <w:t>The PHA will accept the family’s self-certification as verification of fully excluded income. The PHA may request additional documentation if necessary to document the income source.</w:t>
      </w:r>
    </w:p>
    <w:p w:rsidR="004E13A5" w:rsidRDefault="00681463">
      <w:pPr>
        <w:pStyle w:val="BodyText"/>
        <w:spacing w:before="120"/>
        <w:ind w:left="820" w:right="136"/>
      </w:pPr>
      <w:r>
        <w:t>The PHA will verify the source and amount of partially excluded income as described in Part 1 of this chapter.</w:t>
      </w:r>
    </w:p>
    <w:p w:rsidR="004E13A5" w:rsidRDefault="004E13A5">
      <w:pPr>
        <w:pStyle w:val="BodyText"/>
        <w:spacing w:before="10"/>
        <w:ind w:left="0"/>
        <w:rPr>
          <w:sz w:val="20"/>
        </w:rPr>
      </w:pPr>
    </w:p>
    <w:p w:rsidR="004E13A5" w:rsidRDefault="00681463">
      <w:pPr>
        <w:pStyle w:val="Heading4"/>
      </w:pPr>
      <w:r>
        <w:t>7-III.</w:t>
      </w:r>
      <w:r w:rsidR="009B365F">
        <w:t>K</w:t>
      </w:r>
      <w:r>
        <w:t>. ZERO ANNUAL INCOME STATUS</w:t>
      </w:r>
    </w:p>
    <w:p w:rsidR="004E13A5" w:rsidRDefault="00681463">
      <w:pPr>
        <w:pStyle w:val="BodyText"/>
        <w:ind w:left="820"/>
      </w:pPr>
      <w:r>
        <w:rPr>
          <w:u w:val="single"/>
        </w:rPr>
        <w:t>PHA Policy</w:t>
      </w:r>
    </w:p>
    <w:p w:rsidR="004E13A5" w:rsidRDefault="00681463">
      <w:pPr>
        <w:pStyle w:val="BodyText"/>
        <w:ind w:left="820" w:right="446"/>
        <w:jc w:val="both"/>
      </w:pPr>
      <w:r>
        <w:t>The PHA will check UIV sources and/or request information from third-party sources to verify that certain forms of income such as unemployment benefits, TANF, SS, SSI,</w:t>
      </w:r>
      <w:r>
        <w:rPr>
          <w:spacing w:val="-19"/>
        </w:rPr>
        <w:t xml:space="preserve"> </w:t>
      </w:r>
      <w:r>
        <w:t>and earnings are not being received by families claiming to have zero annual</w:t>
      </w:r>
      <w:r>
        <w:rPr>
          <w:spacing w:val="-16"/>
        </w:rPr>
        <w:t xml:space="preserve"> </w:t>
      </w:r>
      <w:r>
        <w:t>income.</w:t>
      </w:r>
    </w:p>
    <w:p w:rsidR="004E13A5" w:rsidRDefault="004E13A5">
      <w:pPr>
        <w:pStyle w:val="BodyText"/>
        <w:spacing w:before="9"/>
        <w:ind w:left="0"/>
        <w:rPr>
          <w:sz w:val="20"/>
        </w:rPr>
      </w:pPr>
    </w:p>
    <w:p w:rsidR="004E13A5" w:rsidRDefault="00681463">
      <w:pPr>
        <w:pStyle w:val="Heading4"/>
      </w:pPr>
      <w:r>
        <w:t>7-III.</w:t>
      </w:r>
      <w:r w:rsidR="009B365F">
        <w:t>L</w:t>
      </w:r>
      <w:r>
        <w:t>. STUDENT FINANCIAL ASSISTANCE [Notice PIH 2015-21]</w:t>
      </w:r>
    </w:p>
    <w:p w:rsidR="009B365F" w:rsidRDefault="009B365F" w:rsidP="009B365F">
      <w:pPr>
        <w:rPr>
          <w:b/>
          <w:bCs/>
        </w:rPr>
      </w:pPr>
      <w:r>
        <w:t>The regulations under HOTMA distinguish between two categories of student financial assistance</w:t>
      </w:r>
      <w:r w:rsidRPr="0038473D">
        <w:t xml:space="preserve"> </w:t>
      </w:r>
      <w:r>
        <w:t>paid to both full-time and part-time students.</w:t>
      </w:r>
      <w:r>
        <w:rPr>
          <w:b/>
          <w:bCs/>
        </w:rPr>
        <w:t xml:space="preserve"> </w:t>
      </w:r>
      <w:r>
        <w:t>Any assistance to students under section 479B of the Higher Education Act of 1965 (Tile IV of the HEA) must be excluded from the family’s annual income [24 CFR 5.609(b)(9)(i)].</w:t>
      </w:r>
      <w:r>
        <w:rPr>
          <w:b/>
          <w:bCs/>
        </w:rPr>
        <w:t xml:space="preserve"> </w:t>
      </w:r>
      <w:r>
        <w:t>Any other grant-in-aid, scholarship, or other assistance amounts an individual receives for the actual covered costs charged by the institute of higher education not otherwise excluded by the federally mandated income exclusions are excluded [24 CFR 5.609(b)(9)(ii)].</w:t>
      </w:r>
    </w:p>
    <w:p w:rsidR="009B365F" w:rsidRDefault="009B365F">
      <w:pPr>
        <w:pStyle w:val="Heading4"/>
      </w:pPr>
    </w:p>
    <w:p w:rsidR="004E13A5" w:rsidRDefault="00681463">
      <w:pPr>
        <w:pStyle w:val="BodyText"/>
        <w:ind w:right="295"/>
      </w:pPr>
      <w:r>
        <w:t>Any financial assistance, in excess of amounts received for tuition, fees, and any other required charges, that a person attending an institution of higher education receives under the Higher Education Act of 1965, from private sources, or from an institution of higher education must be considered income unless the student is over the age of 23 with dependent children or is residing with parents who are seeking or receiving HCV assistance [24 CFR 5.609(b)(9) and FR 4/10/06].</w:t>
      </w:r>
    </w:p>
    <w:p w:rsidR="004E13A5" w:rsidRDefault="00681463">
      <w:pPr>
        <w:pStyle w:val="BodyText"/>
        <w:ind w:right="162"/>
      </w:pPr>
      <w:r>
        <w:t xml:space="preserve">For students over the age of 23 with dependent children or students residing with parents who are </w:t>
      </w:r>
      <w:r>
        <w:lastRenderedPageBreak/>
        <w:t>seeking or receiving HCV assistance, the full amount of student financial assistance is excluded from annual income [24 CFR 5.609(c)(6)]. The full amount of student financial assistance is also excluded for students attending schools that do not qualify as institutions of higher education (as defined in Exhibit 3-2). Excluded amounts are verified only if, without verification, the PHA would not be able to determine whether or to what extent the income is to be excluded (see section 7-III.H).</w:t>
      </w:r>
    </w:p>
    <w:p w:rsidR="004E13A5" w:rsidRDefault="004E13A5">
      <w:pPr>
        <w:sectPr w:rsidR="004E13A5">
          <w:pgSz w:w="12240" w:h="15840"/>
          <w:pgMar w:top="1000" w:right="1260" w:bottom="1240" w:left="1220" w:header="0" w:footer="998" w:gutter="0"/>
          <w:cols w:space="720"/>
        </w:sectPr>
      </w:pPr>
    </w:p>
    <w:p w:rsidR="004E13A5" w:rsidRDefault="00681463">
      <w:pPr>
        <w:pStyle w:val="BodyText"/>
        <w:spacing w:before="79"/>
        <w:ind w:left="820"/>
      </w:pPr>
      <w:r>
        <w:rPr>
          <w:u w:val="single"/>
        </w:rPr>
        <w:lastRenderedPageBreak/>
        <w:t>PHA Policy</w:t>
      </w:r>
    </w:p>
    <w:p w:rsidR="009B365F" w:rsidRPr="00392246" w:rsidRDefault="009B365F" w:rsidP="009B365F">
      <w:pPr>
        <w:ind w:left="1800"/>
      </w:pPr>
      <w:r>
        <w:t>T</w:t>
      </w:r>
      <w:r w:rsidRPr="00392246">
        <w:t xml:space="preserve">he PHA will request </w:t>
      </w:r>
      <w:r>
        <w:t xml:space="preserve">written </w:t>
      </w:r>
      <w:r w:rsidRPr="00392246">
        <w:t>third-party verification of both the source and the amount</w:t>
      </w:r>
      <w:r w:rsidRPr="007123F8">
        <w:t xml:space="preserve"> </w:t>
      </w:r>
      <w:r>
        <w:t>of student financial assistance. Family-provided documents</w:t>
      </w:r>
      <w:r w:rsidRPr="00392246">
        <w:t xml:space="preserve"> from the educational institution attended by the student </w:t>
      </w:r>
      <w:r>
        <w:t xml:space="preserve">will be requested, </w:t>
      </w:r>
      <w:r w:rsidRPr="00392246">
        <w:t xml:space="preserve">as well as </w:t>
      </w:r>
      <w:r>
        <w:t xml:space="preserve">documents generated by </w:t>
      </w:r>
      <w:r w:rsidRPr="00392246">
        <w:t xml:space="preserve">any other person or entity providing such assistance, as reported by the student. In addition, </w:t>
      </w:r>
      <w:r>
        <w:t xml:space="preserve">unless the student’s only source of assistance is assistance under Title IV of the HEA, </w:t>
      </w:r>
      <w:r w:rsidRPr="00392246">
        <w:t xml:space="preserve">the PHA will request written verification </w:t>
      </w:r>
      <w:r>
        <w:t>of</w:t>
      </w:r>
      <w:r w:rsidRPr="00392246">
        <w:t xml:space="preserve"> the student’s tuition</w:t>
      </w:r>
      <w:r>
        <w:t>, books, supplies, room and board, and other required fees and charges</w:t>
      </w:r>
      <w:r w:rsidRPr="0093786D">
        <w:t xml:space="preserve"> </w:t>
      </w:r>
      <w:r>
        <w:t>to the student from the educational institution</w:t>
      </w:r>
      <w:r w:rsidRPr="00392246">
        <w:t>.</w:t>
      </w:r>
    </w:p>
    <w:p w:rsidR="009B365F" w:rsidRDefault="009B365F" w:rsidP="009B365F">
      <w:pPr>
        <w:ind w:left="1800"/>
      </w:pPr>
      <w:r>
        <w:t>If the PHA is unable to obtain third-party written verification of the requested information, the PHA will pursue other forms of verification following the verification hierarchy in Section 7-I.B.</w:t>
      </w:r>
    </w:p>
    <w:p w:rsidR="004E13A5" w:rsidRDefault="004E13A5">
      <w:pPr>
        <w:pStyle w:val="BodyText"/>
        <w:spacing w:before="10"/>
        <w:ind w:left="0"/>
        <w:rPr>
          <w:sz w:val="20"/>
        </w:rPr>
      </w:pPr>
    </w:p>
    <w:p w:rsidR="004E13A5" w:rsidRDefault="00681463">
      <w:pPr>
        <w:pStyle w:val="Heading4"/>
        <w:ind w:right="1558"/>
      </w:pPr>
      <w:r>
        <w:t>7-III.</w:t>
      </w:r>
      <w:r w:rsidR="0023253F">
        <w:t>M</w:t>
      </w:r>
      <w:r>
        <w:t>. PARENTAL INCOME OF STUDENTS SUBJECT TO ELIGIBILITY RESTRICTIONS</w:t>
      </w:r>
    </w:p>
    <w:p w:rsidR="004E13A5" w:rsidRDefault="00681463">
      <w:pPr>
        <w:pStyle w:val="BodyText"/>
        <w:ind w:right="115"/>
      </w:pPr>
      <w:r>
        <w:t xml:space="preserve">If a student enrolled at an institution of higher education is under the age of 24, is not a veteran, is not married, does not have a dependent child, and is not a person with disabilities receiving HCV assistance as of November 30, 2005, the income of the student’s parents must be considered when determining income eligibility, unless the student is determined independent from their parents or a </w:t>
      </w:r>
      <w:r>
        <w:rPr>
          <w:i/>
        </w:rPr>
        <w:t xml:space="preserve">vulnerable </w:t>
      </w:r>
      <w:r>
        <w:t>youth in accordance with PHA policy [24 CFR 5.612, FR 4/10/06, p. 18146, and FR Notice 9/21/16].</w:t>
      </w:r>
    </w:p>
    <w:p w:rsidR="004E13A5" w:rsidRDefault="00681463">
      <w:pPr>
        <w:pStyle w:val="BodyText"/>
        <w:ind w:right="162"/>
      </w:pPr>
      <w:r>
        <w:t>This provision does not apply to students residing with parents who are seeking or receiving HCV assistance. It is limited to students who are seeking or receiving assistance on their own, separately from their parents.</w:t>
      </w:r>
    </w:p>
    <w:p w:rsidR="004E13A5" w:rsidRDefault="00681463">
      <w:pPr>
        <w:pStyle w:val="BodyText"/>
        <w:spacing w:before="120"/>
        <w:ind w:left="820"/>
      </w:pPr>
      <w:r>
        <w:rPr>
          <w:u w:val="single"/>
        </w:rPr>
        <w:t>PHA Policy</w:t>
      </w:r>
    </w:p>
    <w:p w:rsidR="004E13A5" w:rsidRDefault="00681463">
      <w:pPr>
        <w:pStyle w:val="BodyText"/>
        <w:spacing w:before="120"/>
        <w:ind w:left="820" w:right="342"/>
      </w:pPr>
      <w:r>
        <w:t>If the PHA is required to determine the income eligibility of a student’s parents, the PHA will request an income declaration and certification of income from the appropriate parent(s) (as determined in section 3-II.E). The PHA will send the request directly to the parents, who will be required to certify to their income under penalty of perjury. The parents will be required to submit the information directly to the PHA. The required information must be submitted (postmarked) within 10 business days of the date of the PHA’s request or within any extended timeframe approved by the PHA.</w:t>
      </w:r>
    </w:p>
    <w:p w:rsidR="004E13A5" w:rsidRDefault="00681463">
      <w:pPr>
        <w:pStyle w:val="BodyText"/>
        <w:spacing w:before="120"/>
        <w:ind w:left="820" w:right="95"/>
      </w:pPr>
      <w:r>
        <w:t>The PHA reserves the right to request and review supporting documentation at any time if it questions the declaration or certification. Supporting documentation may include, but is not limited to, Internal Revenue Service (IRS) tax returns, consecutive and original pay stubs, bank statements, pension benefit statements, benefit award letters, and other official and authentic documents from a federal, state, or local agency.</w:t>
      </w:r>
    </w:p>
    <w:p w:rsidR="004E13A5" w:rsidRDefault="004E13A5">
      <w:pPr>
        <w:pStyle w:val="BodyText"/>
        <w:spacing w:before="9"/>
        <w:ind w:left="0"/>
        <w:rPr>
          <w:sz w:val="20"/>
        </w:rPr>
      </w:pPr>
    </w:p>
    <w:p w:rsidR="004E13A5" w:rsidRDefault="00681463">
      <w:pPr>
        <w:pStyle w:val="Heading4"/>
        <w:spacing w:before="1"/>
        <w:ind w:left="2166"/>
      </w:pPr>
      <w:r>
        <w:t>PART IV: VERIFYING MANDATORY DEDUCTIONS</w:t>
      </w:r>
    </w:p>
    <w:p w:rsidR="004E13A5" w:rsidRDefault="004E13A5">
      <w:pPr>
        <w:pStyle w:val="BodyText"/>
        <w:spacing w:before="10"/>
        <w:ind w:left="0"/>
        <w:rPr>
          <w:b/>
          <w:sz w:val="20"/>
        </w:rPr>
      </w:pPr>
    </w:p>
    <w:p w:rsidR="004E13A5" w:rsidRDefault="00681463">
      <w:pPr>
        <w:ind w:left="100"/>
        <w:rPr>
          <w:b/>
          <w:sz w:val="24"/>
        </w:rPr>
      </w:pPr>
      <w:r>
        <w:rPr>
          <w:b/>
          <w:sz w:val="24"/>
        </w:rPr>
        <w:t>7-IV.A. DEPENDENT AND ELDERLY/DISABLED HOUSEHOLD DEDUCTIONS</w:t>
      </w:r>
    </w:p>
    <w:p w:rsidR="004E13A5" w:rsidRDefault="00681463">
      <w:pPr>
        <w:pStyle w:val="BodyText"/>
        <w:spacing w:before="120"/>
        <w:ind w:right="142"/>
      </w:pPr>
      <w:r>
        <w:t>The dependent and elderly/disabled family deductions require only that the PHA verify that the family members identified as dependents or elderly/disabled persons meet the statutory definitions. No further verifications are required.</w:t>
      </w:r>
    </w:p>
    <w:p w:rsidR="004E13A5" w:rsidRDefault="004E13A5">
      <w:pPr>
        <w:sectPr w:rsidR="004E13A5">
          <w:pgSz w:w="12240" w:h="15840"/>
          <w:pgMar w:top="1000" w:right="1240" w:bottom="1240" w:left="1220" w:header="0" w:footer="998" w:gutter="0"/>
          <w:cols w:space="720"/>
        </w:sectPr>
      </w:pPr>
    </w:p>
    <w:p w:rsidR="004E13A5" w:rsidRDefault="00681463">
      <w:pPr>
        <w:pStyle w:val="Heading4"/>
        <w:spacing w:before="79"/>
      </w:pPr>
      <w:r>
        <w:lastRenderedPageBreak/>
        <w:t>Dependent Deduction</w:t>
      </w:r>
    </w:p>
    <w:p w:rsidR="004E13A5" w:rsidRDefault="00681463">
      <w:pPr>
        <w:pStyle w:val="BodyText"/>
        <w:spacing w:before="120"/>
      </w:pPr>
      <w:r>
        <w:t>See Chapter 6 (6-II.B.) for a full discussion of this deduction. The PHA must verify that:</w:t>
      </w:r>
    </w:p>
    <w:p w:rsidR="004E13A5" w:rsidRDefault="00681463">
      <w:pPr>
        <w:pStyle w:val="BodyText"/>
        <w:tabs>
          <w:tab w:val="left" w:pos="460"/>
        </w:tabs>
        <w:ind w:left="460" w:right="356" w:hanging="360"/>
      </w:pPr>
      <w:r>
        <w:rPr>
          <w:rFonts w:ascii="Symbol" w:hAnsi="Symbol"/>
        </w:rPr>
        <w:t></w:t>
      </w:r>
      <w:r>
        <w:tab/>
        <w:t>Any person under the age of 18 for whom the dependent deduction is claimed is not</w:t>
      </w:r>
      <w:r>
        <w:rPr>
          <w:spacing w:val="-12"/>
        </w:rPr>
        <w:t xml:space="preserve"> </w:t>
      </w:r>
      <w:r>
        <w:t>the</w:t>
      </w:r>
      <w:r>
        <w:rPr>
          <w:spacing w:val="-1"/>
        </w:rPr>
        <w:t xml:space="preserve"> </w:t>
      </w:r>
      <w:r>
        <w:t>head, spouse, or co-head of the family and is not a foster</w:t>
      </w:r>
      <w:r>
        <w:rPr>
          <w:spacing w:val="-9"/>
        </w:rPr>
        <w:t xml:space="preserve"> </w:t>
      </w:r>
      <w:r>
        <w:t>child</w:t>
      </w:r>
    </w:p>
    <w:p w:rsidR="004E13A5" w:rsidRDefault="00681463">
      <w:pPr>
        <w:pStyle w:val="BodyText"/>
        <w:tabs>
          <w:tab w:val="left" w:pos="460"/>
        </w:tabs>
        <w:ind w:left="460" w:right="114" w:hanging="360"/>
      </w:pPr>
      <w:r>
        <w:rPr>
          <w:rFonts w:ascii="Symbol" w:hAnsi="Symbol"/>
        </w:rPr>
        <w:t></w:t>
      </w:r>
      <w:r>
        <w:tab/>
        <w:t>Any person age 18 or older for whom the dependent deduction is claimed is not a foster</w:t>
      </w:r>
      <w:r>
        <w:rPr>
          <w:spacing w:val="-11"/>
        </w:rPr>
        <w:t xml:space="preserve"> </w:t>
      </w:r>
      <w:r>
        <w:t>adult</w:t>
      </w:r>
      <w:r>
        <w:rPr>
          <w:spacing w:val="-1"/>
        </w:rPr>
        <w:t xml:space="preserve"> </w:t>
      </w:r>
      <w:r>
        <w:t>or live-in aide, and is a person with a disability or a full time</w:t>
      </w:r>
      <w:r>
        <w:rPr>
          <w:spacing w:val="-10"/>
        </w:rPr>
        <w:t xml:space="preserve"> </w:t>
      </w:r>
      <w:r>
        <w:t>student</w:t>
      </w:r>
    </w:p>
    <w:p w:rsidR="004E13A5" w:rsidRDefault="00681463">
      <w:pPr>
        <w:pStyle w:val="Heading4"/>
        <w:spacing w:before="119"/>
      </w:pPr>
      <w:r>
        <w:t>Elderly/Disabled Family Deduction</w:t>
      </w:r>
    </w:p>
    <w:p w:rsidR="004E13A5" w:rsidRDefault="00681463">
      <w:pPr>
        <w:pStyle w:val="BodyText"/>
        <w:ind w:right="176"/>
      </w:pPr>
      <w:r>
        <w:t>See Eligibility chapter for a definition of elderly and disabled families and Chapter 6 (6-II.C.) for a discussion of the deduction. The PHA must verify that the head, spouse, or co-head is 62 years of age or older or a person with disabilities.</w:t>
      </w:r>
    </w:p>
    <w:p w:rsidR="004E13A5" w:rsidRDefault="004E13A5">
      <w:pPr>
        <w:pStyle w:val="BodyText"/>
        <w:spacing w:before="9"/>
        <w:ind w:left="0"/>
        <w:rPr>
          <w:sz w:val="20"/>
        </w:rPr>
      </w:pPr>
    </w:p>
    <w:p w:rsidR="004E13A5" w:rsidRDefault="00681463">
      <w:pPr>
        <w:pStyle w:val="Heading4"/>
      </w:pPr>
      <w:r>
        <w:t xml:space="preserve">7-IV.B. </w:t>
      </w:r>
      <w:r w:rsidR="0023253F">
        <w:rPr>
          <w:b w:val="0"/>
          <w:bCs w:val="0"/>
          <w:iCs/>
        </w:rPr>
        <w:t xml:space="preserve">HEALTH AND </w:t>
      </w:r>
      <w:r w:rsidR="0023253F" w:rsidRPr="00D06965">
        <w:rPr>
          <w:b w:val="0"/>
          <w:bCs w:val="0"/>
          <w:iCs/>
        </w:rPr>
        <w:t xml:space="preserve">MEDICAL </w:t>
      </w:r>
      <w:r w:rsidR="0023253F">
        <w:rPr>
          <w:b w:val="0"/>
          <w:bCs w:val="0"/>
          <w:iCs/>
        </w:rPr>
        <w:t xml:space="preserve">CARE </w:t>
      </w:r>
      <w:r w:rsidR="0023253F" w:rsidRPr="00D06965">
        <w:rPr>
          <w:b w:val="0"/>
          <w:bCs w:val="0"/>
          <w:iCs/>
        </w:rPr>
        <w:t>EXPENSE DEDUCTION</w:t>
      </w:r>
    </w:p>
    <w:p w:rsidR="004E13A5" w:rsidRDefault="00681463">
      <w:pPr>
        <w:pStyle w:val="BodyText"/>
        <w:spacing w:before="120"/>
        <w:ind w:right="729"/>
      </w:pPr>
      <w:r>
        <w:t>Policies related to medical expenses are found in 6-II.D. The amount of the deduction will be verified following the standard verification procedures described in Part I.</w:t>
      </w:r>
    </w:p>
    <w:p w:rsidR="004E13A5" w:rsidRDefault="00681463">
      <w:pPr>
        <w:pStyle w:val="Heading4"/>
        <w:spacing w:before="120"/>
      </w:pPr>
      <w:r>
        <w:t>Amount of Expense</w:t>
      </w:r>
    </w:p>
    <w:p w:rsidR="004E13A5" w:rsidRDefault="00681463">
      <w:pPr>
        <w:pStyle w:val="BodyText"/>
        <w:spacing w:before="120"/>
        <w:ind w:left="820"/>
      </w:pPr>
      <w:r>
        <w:rPr>
          <w:u w:val="single"/>
        </w:rPr>
        <w:t>PHA Policy</w:t>
      </w:r>
    </w:p>
    <w:p w:rsidR="004E13A5" w:rsidRDefault="00681463">
      <w:pPr>
        <w:pStyle w:val="BodyText"/>
        <w:spacing w:before="120"/>
        <w:ind w:left="820"/>
      </w:pPr>
      <w:r>
        <w:t>Medical expenses will be verified through:</w:t>
      </w:r>
    </w:p>
    <w:p w:rsidR="004E13A5" w:rsidRDefault="00681463">
      <w:pPr>
        <w:pStyle w:val="BodyText"/>
        <w:spacing w:before="120"/>
        <w:ind w:left="1540" w:right="328"/>
      </w:pPr>
      <w:r>
        <w:t>Written third-party documents provided by the family, such as pharmacy printouts or receipts.</w:t>
      </w:r>
    </w:p>
    <w:p w:rsidR="004E13A5" w:rsidRDefault="00681463">
      <w:pPr>
        <w:pStyle w:val="BodyText"/>
        <w:spacing w:before="120"/>
        <w:ind w:left="1540" w:right="102"/>
      </w:pPr>
      <w:r>
        <w:t>The PHA will make a best effort to determine what expenses from the past are likely to continue to occur in the future. The PHA will also accept evidence of monthly payments or total payments that will be due for medical expenses during the upcoming 12 months.</w:t>
      </w:r>
    </w:p>
    <w:p w:rsidR="004E13A5" w:rsidRDefault="00681463">
      <w:pPr>
        <w:pStyle w:val="BodyText"/>
        <w:spacing w:before="120"/>
        <w:ind w:left="1540" w:right="296"/>
      </w:pPr>
      <w:r>
        <w:t>Written third-party verification forms, if the family is unable to provide acceptable documentation.</w:t>
      </w:r>
    </w:p>
    <w:p w:rsidR="004E13A5" w:rsidRDefault="00681463">
      <w:pPr>
        <w:pStyle w:val="BodyText"/>
        <w:spacing w:before="120"/>
        <w:ind w:left="1540"/>
      </w:pPr>
      <w:r>
        <w:t>If third-party or document review is not possible, written family certification as to costs anticipated to be incurred during the upcoming 12 months.</w:t>
      </w:r>
    </w:p>
    <w:p w:rsidR="004E13A5" w:rsidRDefault="004E13A5">
      <w:pPr>
        <w:pStyle w:val="BodyText"/>
        <w:spacing w:before="0"/>
        <w:ind w:left="0"/>
        <w:rPr>
          <w:sz w:val="26"/>
        </w:rPr>
      </w:pPr>
    </w:p>
    <w:p w:rsidR="004E13A5" w:rsidRDefault="00681463">
      <w:pPr>
        <w:pStyle w:val="BodyText"/>
        <w:spacing w:before="217"/>
      </w:pPr>
      <w:r>
        <w:t>In addition, the PHA must verify that:</w:t>
      </w:r>
    </w:p>
    <w:p w:rsidR="004E13A5" w:rsidRDefault="00681463">
      <w:pPr>
        <w:pStyle w:val="BodyText"/>
        <w:tabs>
          <w:tab w:val="left" w:pos="460"/>
        </w:tabs>
      </w:pPr>
      <w:r>
        <w:rPr>
          <w:rFonts w:ascii="Symbol" w:hAnsi="Symbol"/>
        </w:rPr>
        <w:t></w:t>
      </w:r>
      <w:r>
        <w:tab/>
        <w:t>The household is eligible for the</w:t>
      </w:r>
      <w:r>
        <w:rPr>
          <w:spacing w:val="-10"/>
        </w:rPr>
        <w:t xml:space="preserve"> </w:t>
      </w:r>
      <w:r>
        <w:t>deduction.</w:t>
      </w:r>
    </w:p>
    <w:p w:rsidR="004E13A5" w:rsidRDefault="00681463">
      <w:pPr>
        <w:pStyle w:val="BodyText"/>
        <w:tabs>
          <w:tab w:val="left" w:pos="460"/>
        </w:tabs>
        <w:spacing w:before="118"/>
      </w:pPr>
      <w:r>
        <w:rPr>
          <w:rFonts w:ascii="Symbol" w:hAnsi="Symbol"/>
        </w:rPr>
        <w:t></w:t>
      </w:r>
      <w:r>
        <w:tab/>
        <w:t>The costs to be deducted are qualified medical</w:t>
      </w:r>
      <w:r>
        <w:rPr>
          <w:spacing w:val="-11"/>
        </w:rPr>
        <w:t xml:space="preserve"> </w:t>
      </w:r>
      <w:r>
        <w:t>expenses.</w:t>
      </w:r>
    </w:p>
    <w:p w:rsidR="004E13A5" w:rsidRDefault="00681463">
      <w:pPr>
        <w:pStyle w:val="BodyText"/>
        <w:tabs>
          <w:tab w:val="left" w:pos="460"/>
        </w:tabs>
      </w:pPr>
      <w:r>
        <w:rPr>
          <w:rFonts w:ascii="Symbol" w:hAnsi="Symbol"/>
        </w:rPr>
        <w:t></w:t>
      </w:r>
      <w:r>
        <w:tab/>
        <w:t>The expenses are not paid for or reimbursed by any other</w:t>
      </w:r>
      <w:r>
        <w:rPr>
          <w:spacing w:val="-12"/>
        </w:rPr>
        <w:t xml:space="preserve"> </w:t>
      </w:r>
      <w:r>
        <w:t>source.</w:t>
      </w:r>
    </w:p>
    <w:p w:rsidR="004E13A5" w:rsidRDefault="00681463">
      <w:pPr>
        <w:pStyle w:val="BodyText"/>
        <w:tabs>
          <w:tab w:val="left" w:pos="460"/>
        </w:tabs>
        <w:spacing w:before="121"/>
      </w:pPr>
      <w:r>
        <w:rPr>
          <w:rFonts w:ascii="Symbol" w:hAnsi="Symbol"/>
        </w:rPr>
        <w:t></w:t>
      </w:r>
      <w:r>
        <w:tab/>
        <w:t>Costs incurred in past years are counted only</w:t>
      </w:r>
      <w:r>
        <w:rPr>
          <w:spacing w:val="-7"/>
        </w:rPr>
        <w:t xml:space="preserve"> </w:t>
      </w:r>
      <w:r>
        <w:t>once.</w:t>
      </w:r>
    </w:p>
    <w:p w:rsidR="004E13A5" w:rsidRDefault="00681463">
      <w:pPr>
        <w:pStyle w:val="Heading4"/>
        <w:spacing w:before="119"/>
      </w:pPr>
      <w:r>
        <w:t>Eligible Household</w:t>
      </w:r>
    </w:p>
    <w:p w:rsidR="004E13A5" w:rsidRDefault="00681463">
      <w:pPr>
        <w:pStyle w:val="BodyText"/>
        <w:ind w:right="262"/>
      </w:pPr>
      <w:r>
        <w:t>The medical expense deduction is permitted only for households in which the head, spouse, or co- head is at least 62, or a person with disabilities. The PHA must verify that the family meets the definition of an elderly or disabled family provided in the Eligibility chapter and as described in Chapter 7 (7-IV.A.) of this plan.</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pPr>
      <w:r>
        <w:lastRenderedPageBreak/>
        <w:t>Qualified Expenses</w:t>
      </w:r>
    </w:p>
    <w:p w:rsidR="004E13A5" w:rsidRDefault="00681463">
      <w:pPr>
        <w:pStyle w:val="BodyText"/>
        <w:spacing w:before="120"/>
      </w:pPr>
      <w:r>
        <w:t>To be eligible for the medical expenses deduction, the costs must qualify as medical expenses. See Chapter 6 (6-II.D.) for the PHA’s policy on what counts as a medical expense.</w:t>
      </w:r>
    </w:p>
    <w:p w:rsidR="004E13A5" w:rsidRDefault="00681463">
      <w:pPr>
        <w:pStyle w:val="Heading4"/>
        <w:spacing w:before="119"/>
      </w:pPr>
      <w:r>
        <w:t>Unreimbursed Expenses</w:t>
      </w:r>
    </w:p>
    <w:p w:rsidR="004E13A5" w:rsidRDefault="00681463">
      <w:pPr>
        <w:pStyle w:val="BodyText"/>
      </w:pPr>
      <w:r>
        <w:t>To be eligible for the medical expenses deduction, the costs must not be reimbursed by another source.</w:t>
      </w:r>
    </w:p>
    <w:p w:rsidR="004E13A5" w:rsidRDefault="00681463">
      <w:pPr>
        <w:pStyle w:val="BodyText"/>
        <w:ind w:left="820"/>
        <w:jc w:val="both"/>
      </w:pPr>
      <w:r>
        <w:rPr>
          <w:u w:val="single"/>
        </w:rPr>
        <w:t>PHA Policy</w:t>
      </w:r>
    </w:p>
    <w:p w:rsidR="004E13A5" w:rsidRDefault="00681463">
      <w:pPr>
        <w:pStyle w:val="BodyText"/>
        <w:ind w:left="820" w:right="127"/>
        <w:jc w:val="both"/>
      </w:pPr>
      <w:r>
        <w:t>The family will be required to certify that the medical expenses are not paid or reimbursed to the family from any source. If expenses are verified through a third party, the third party must certify that the expenses are not paid or reimbursed from any other source.</w:t>
      </w:r>
    </w:p>
    <w:p w:rsidR="004E13A5" w:rsidRDefault="00681463">
      <w:pPr>
        <w:pStyle w:val="Heading4"/>
        <w:spacing w:before="119"/>
      </w:pPr>
      <w:r>
        <w:t>Expenses Incurred in Past Years</w:t>
      </w:r>
    </w:p>
    <w:p w:rsidR="004E13A5" w:rsidRDefault="00681463">
      <w:pPr>
        <w:pStyle w:val="BodyText"/>
        <w:spacing w:before="120"/>
        <w:ind w:left="820"/>
        <w:jc w:val="both"/>
      </w:pPr>
      <w:r>
        <w:rPr>
          <w:u w:val="single"/>
        </w:rPr>
        <w:t>PHA Policy</w:t>
      </w:r>
    </w:p>
    <w:p w:rsidR="004E13A5" w:rsidRDefault="00681463">
      <w:pPr>
        <w:pStyle w:val="BodyText"/>
        <w:spacing w:before="120"/>
        <w:ind w:left="820" w:right="382"/>
      </w:pPr>
      <w:r>
        <w:t>When anticipated costs are related to on-going payment of medical bills incurred in past years, the PHA will verify:</w:t>
      </w:r>
    </w:p>
    <w:p w:rsidR="004E13A5" w:rsidRDefault="00681463">
      <w:pPr>
        <w:pStyle w:val="BodyText"/>
        <w:spacing w:before="120" w:line="343" w:lineRule="auto"/>
        <w:ind w:left="1540" w:right="4328"/>
      </w:pPr>
      <w:r>
        <w:t>The anticipated repayment schedule The amounts paid in the past, and</w:t>
      </w:r>
    </w:p>
    <w:p w:rsidR="004E13A5" w:rsidRDefault="00681463">
      <w:pPr>
        <w:pStyle w:val="BodyText"/>
        <w:spacing w:before="6"/>
        <w:ind w:left="1540"/>
      </w:pPr>
      <w:r>
        <w:t>Whether the amounts to be repaid have been deducted from the family’s annual income in past years</w:t>
      </w:r>
    </w:p>
    <w:p w:rsidR="004E13A5" w:rsidRDefault="004E13A5">
      <w:pPr>
        <w:pStyle w:val="BodyText"/>
        <w:spacing w:before="10"/>
        <w:ind w:left="0"/>
        <w:rPr>
          <w:sz w:val="20"/>
        </w:rPr>
      </w:pPr>
    </w:p>
    <w:p w:rsidR="004E13A5" w:rsidRDefault="00681463">
      <w:pPr>
        <w:pStyle w:val="Heading4"/>
      </w:pPr>
      <w:r>
        <w:t>7-IV.C. DISABILITY ASSISTANCE EXPENSES</w:t>
      </w:r>
    </w:p>
    <w:p w:rsidR="004E13A5" w:rsidRDefault="00681463">
      <w:pPr>
        <w:pStyle w:val="BodyText"/>
        <w:spacing w:before="120"/>
        <w:ind w:right="202"/>
      </w:pPr>
      <w:r>
        <w:t>Policies related to disability assistance expenses are found in 6-II.E. The amount of the deduction will be verified following the standard verification procedures described in Part I.</w:t>
      </w:r>
    </w:p>
    <w:p w:rsidR="004E13A5" w:rsidRDefault="00681463">
      <w:pPr>
        <w:pStyle w:val="Heading4"/>
        <w:spacing w:before="120"/>
      </w:pPr>
      <w:r>
        <w:t>Amount of Expense</w:t>
      </w:r>
    </w:p>
    <w:p w:rsidR="004E13A5" w:rsidRDefault="00681463">
      <w:pPr>
        <w:pStyle w:val="Heading5"/>
      </w:pPr>
      <w:r>
        <w:t>Attendant Care</w:t>
      </w:r>
    </w:p>
    <w:p w:rsidR="004E13A5" w:rsidRDefault="00681463">
      <w:pPr>
        <w:pStyle w:val="BodyText"/>
        <w:ind w:left="820"/>
        <w:jc w:val="both"/>
      </w:pPr>
      <w:r>
        <w:rPr>
          <w:u w:val="single"/>
        </w:rPr>
        <w:t>PHA Policy</w:t>
      </w:r>
    </w:p>
    <w:p w:rsidR="004E13A5" w:rsidRDefault="00681463">
      <w:pPr>
        <w:pStyle w:val="BodyText"/>
        <w:ind w:left="820"/>
        <w:jc w:val="both"/>
      </w:pPr>
      <w:r>
        <w:t>The PHA will accept written third-party documents provided by the family.</w:t>
      </w:r>
    </w:p>
    <w:p w:rsidR="004E13A5" w:rsidRDefault="00681463">
      <w:pPr>
        <w:pStyle w:val="BodyText"/>
        <w:ind w:left="820" w:right="882"/>
      </w:pPr>
      <w:r>
        <w:t>If family-provided documents are not available, the PHA will provide a third-party verification form directly to the care provider requesting the needed information.</w:t>
      </w:r>
    </w:p>
    <w:p w:rsidR="004E13A5" w:rsidRDefault="00681463">
      <w:pPr>
        <w:pStyle w:val="BodyText"/>
        <w:ind w:left="820"/>
        <w:jc w:val="both"/>
      </w:pPr>
      <w:r>
        <w:t>Expenses for attendant care will be verified through:</w:t>
      </w:r>
    </w:p>
    <w:p w:rsidR="004E13A5" w:rsidRDefault="00681463">
      <w:pPr>
        <w:pStyle w:val="BodyText"/>
        <w:ind w:left="1540"/>
      </w:pPr>
      <w:r>
        <w:t>Written third-party documents provided by the family, such as receipts or cancelled checks.</w:t>
      </w:r>
    </w:p>
    <w:p w:rsidR="004E13A5" w:rsidRDefault="00681463">
      <w:pPr>
        <w:pStyle w:val="BodyText"/>
        <w:spacing w:before="120"/>
        <w:ind w:left="1540" w:right="122"/>
      </w:pPr>
      <w:r>
        <w:t>Third-party verification form signed by the provider, if family-provided documents are not available.</w:t>
      </w:r>
    </w:p>
    <w:p w:rsidR="004E13A5" w:rsidRDefault="00681463">
      <w:pPr>
        <w:pStyle w:val="BodyText"/>
        <w:spacing w:before="120"/>
        <w:ind w:left="1540"/>
      </w:pPr>
      <w:r>
        <w:t>If third-party verification is not possible, written family certification as to costs anticipated to be incurred for the upcoming 12 months.</w:t>
      </w:r>
    </w:p>
    <w:p w:rsidR="004E13A5" w:rsidRDefault="00681463">
      <w:pPr>
        <w:pStyle w:val="Heading5"/>
        <w:spacing w:before="120"/>
      </w:pPr>
      <w:r>
        <w:t>Auxiliary Apparatus</w:t>
      </w:r>
    </w:p>
    <w:p w:rsidR="004E13A5" w:rsidRDefault="00681463">
      <w:pPr>
        <w:pStyle w:val="BodyText"/>
        <w:spacing w:before="120"/>
        <w:ind w:left="820"/>
        <w:jc w:val="both"/>
      </w:pPr>
      <w:r>
        <w:rPr>
          <w:u w:val="single"/>
        </w:rPr>
        <w:t>PHA Policy</w:t>
      </w:r>
    </w:p>
    <w:p w:rsidR="004E13A5" w:rsidRDefault="00681463">
      <w:pPr>
        <w:pStyle w:val="BodyText"/>
        <w:spacing w:before="120"/>
        <w:ind w:left="820"/>
        <w:jc w:val="both"/>
      </w:pPr>
      <w:r>
        <w:t>Expenses for auxiliary apparatus will be verified through:</w:t>
      </w:r>
    </w:p>
    <w:p w:rsidR="004E13A5" w:rsidRDefault="004E13A5">
      <w:pPr>
        <w:jc w:val="both"/>
        <w:sectPr w:rsidR="004E13A5">
          <w:pgSz w:w="12240" w:h="15840"/>
          <w:pgMar w:top="1000" w:right="1340" w:bottom="1240" w:left="1220" w:header="0" w:footer="998" w:gutter="0"/>
          <w:cols w:space="720"/>
        </w:sectPr>
      </w:pPr>
    </w:p>
    <w:p w:rsidR="004E13A5" w:rsidRDefault="00681463">
      <w:pPr>
        <w:pStyle w:val="BodyText"/>
        <w:spacing w:before="79"/>
        <w:ind w:left="1540" w:right="128"/>
      </w:pPr>
      <w:r>
        <w:lastRenderedPageBreak/>
        <w:t>Written third-party documents provided by the family, such as billing statements for purchase of auxiliary apparatus, or other evidence of monthly payments or total payments that will be due for the apparatus during the upcoming 12 months.</w:t>
      </w:r>
    </w:p>
    <w:p w:rsidR="004E13A5" w:rsidRDefault="00681463">
      <w:pPr>
        <w:pStyle w:val="BodyText"/>
        <w:spacing w:before="120"/>
        <w:ind w:left="1540" w:right="222"/>
      </w:pPr>
      <w:r>
        <w:t>Third-party verification form signed by the provider, if family-provided documents are not available.</w:t>
      </w:r>
    </w:p>
    <w:p w:rsidR="004E13A5" w:rsidRDefault="00681463">
      <w:pPr>
        <w:pStyle w:val="BodyText"/>
        <w:spacing w:before="120"/>
        <w:ind w:left="1540"/>
      </w:pPr>
      <w:r>
        <w:t>If third-party verification is not possible, written family certification of estimated apparatus costs for the upcoming 12 months.</w:t>
      </w:r>
    </w:p>
    <w:p w:rsidR="004E13A5" w:rsidRDefault="00681463">
      <w:pPr>
        <w:pStyle w:val="BodyText"/>
        <w:spacing w:before="120"/>
      </w:pPr>
      <w:r>
        <w:t>In addition, the PHA must verify that:</w:t>
      </w:r>
    </w:p>
    <w:p w:rsidR="004E13A5" w:rsidRDefault="00681463">
      <w:pPr>
        <w:pStyle w:val="BodyText"/>
        <w:tabs>
          <w:tab w:val="left" w:pos="460"/>
        </w:tabs>
        <w:ind w:left="460" w:right="158" w:hanging="360"/>
      </w:pPr>
      <w:r>
        <w:rPr>
          <w:rFonts w:ascii="Symbol" w:hAnsi="Symbol"/>
        </w:rPr>
        <w:t></w:t>
      </w:r>
      <w:r>
        <w:tab/>
        <w:t>The family member for whom the expense is incurred is a person with disabilities</w:t>
      </w:r>
      <w:r>
        <w:rPr>
          <w:spacing w:val="-15"/>
        </w:rPr>
        <w:t xml:space="preserve"> </w:t>
      </w:r>
      <w:r>
        <w:t>(as</w:t>
      </w:r>
      <w:r>
        <w:rPr>
          <w:spacing w:val="-1"/>
        </w:rPr>
        <w:t xml:space="preserve"> </w:t>
      </w:r>
      <w:r>
        <w:t>described</w:t>
      </w:r>
      <w:r>
        <w:rPr>
          <w:w w:val="99"/>
        </w:rPr>
        <w:t xml:space="preserve"> </w:t>
      </w:r>
      <w:r>
        <w:t>in 7-II.F</w:t>
      </w:r>
      <w:r>
        <w:rPr>
          <w:spacing w:val="-6"/>
        </w:rPr>
        <w:t xml:space="preserve"> </w:t>
      </w:r>
      <w:r>
        <w:t>above).</w:t>
      </w:r>
    </w:p>
    <w:p w:rsidR="004E13A5" w:rsidRDefault="00681463">
      <w:pPr>
        <w:pStyle w:val="BodyText"/>
        <w:tabs>
          <w:tab w:val="left" w:pos="460"/>
        </w:tabs>
      </w:pPr>
      <w:r>
        <w:rPr>
          <w:rFonts w:ascii="Symbol" w:hAnsi="Symbol"/>
        </w:rPr>
        <w:t></w:t>
      </w:r>
      <w:r>
        <w:tab/>
        <w:t>The expense permits a family member, or members, to work (as described in</w:t>
      </w:r>
      <w:r>
        <w:rPr>
          <w:spacing w:val="-14"/>
        </w:rPr>
        <w:t xml:space="preserve"> </w:t>
      </w:r>
      <w:r>
        <w:t>6-II.E.).</w:t>
      </w:r>
    </w:p>
    <w:p w:rsidR="004E13A5" w:rsidRDefault="00681463">
      <w:pPr>
        <w:pStyle w:val="BodyText"/>
        <w:tabs>
          <w:tab w:val="left" w:pos="460"/>
        </w:tabs>
      </w:pPr>
      <w:r>
        <w:rPr>
          <w:rFonts w:ascii="Symbol" w:hAnsi="Symbol"/>
        </w:rPr>
        <w:t></w:t>
      </w:r>
      <w:r>
        <w:tab/>
        <w:t>The expense is not reimbursed from another source (as described in</w:t>
      </w:r>
      <w:r>
        <w:rPr>
          <w:spacing w:val="-9"/>
        </w:rPr>
        <w:t xml:space="preserve"> </w:t>
      </w:r>
      <w:r>
        <w:t>6-II.E.).</w:t>
      </w:r>
    </w:p>
    <w:p w:rsidR="004E13A5" w:rsidRDefault="00681463">
      <w:pPr>
        <w:pStyle w:val="Heading4"/>
        <w:spacing w:before="118"/>
      </w:pPr>
      <w:r>
        <w:t>Family Member is a Person with Disabilities</w:t>
      </w:r>
    </w:p>
    <w:p w:rsidR="004E13A5" w:rsidRDefault="00681463">
      <w:pPr>
        <w:pStyle w:val="BodyText"/>
        <w:ind w:right="316"/>
      </w:pPr>
      <w:r>
        <w:t>To be eligible for the disability assistance expense deduction, the costs must be incurred for attendant care or auxiliary apparatus expense associated with a person with disabilities. The PHA will verify that the expense is incurred for a person with disabilities (See 7-II.F.).</w:t>
      </w:r>
    </w:p>
    <w:p w:rsidR="004E13A5" w:rsidRDefault="00681463">
      <w:pPr>
        <w:pStyle w:val="Heading4"/>
        <w:spacing w:before="119"/>
      </w:pPr>
      <w:r>
        <w:t>Family Member(s) Permitted to Work</w:t>
      </w:r>
    </w:p>
    <w:p w:rsidR="004E13A5" w:rsidRDefault="00681463">
      <w:pPr>
        <w:pStyle w:val="BodyText"/>
      </w:pPr>
      <w:r>
        <w:t>The PHA must verify that the expenses claimed actually enable a family member, or members, (including the person with disabilities) to work.</w:t>
      </w:r>
    </w:p>
    <w:p w:rsidR="004E13A5" w:rsidRDefault="00681463">
      <w:pPr>
        <w:pStyle w:val="BodyText"/>
        <w:ind w:left="820"/>
      </w:pPr>
      <w:r>
        <w:rPr>
          <w:u w:val="single"/>
        </w:rPr>
        <w:t>PHA Policy</w:t>
      </w:r>
    </w:p>
    <w:p w:rsidR="004E13A5" w:rsidRDefault="00681463">
      <w:pPr>
        <w:pStyle w:val="BodyText"/>
        <w:ind w:left="820" w:right="113"/>
      </w:pPr>
      <w:r>
        <w:t>The PHA will request third-party verification from a rehabilitation agency or knowledgeable medical professional indicating that the person with disabilities requires attendant care or an auxiliary apparatus to be employed, or that the attendant care or auxiliary apparatus enables another family member, or members, to work (See 6-II.E.). This documentation may be provided by the</w:t>
      </w:r>
      <w:r>
        <w:rPr>
          <w:spacing w:val="-11"/>
        </w:rPr>
        <w:t xml:space="preserve"> </w:t>
      </w:r>
      <w:r>
        <w:t>family.</w:t>
      </w:r>
    </w:p>
    <w:p w:rsidR="004E13A5" w:rsidRDefault="00681463">
      <w:pPr>
        <w:pStyle w:val="BodyText"/>
        <w:ind w:left="820" w:right="116"/>
      </w:pPr>
      <w:r>
        <w:t>If third-party verification has been attempted and is either unavailable or proves unsuccessful, the family must certify that the disability assistance expense frees a family member, or members (possibly including the family member receiving the assistance), to work.</w:t>
      </w:r>
    </w:p>
    <w:p w:rsidR="004E13A5" w:rsidRDefault="00681463">
      <w:pPr>
        <w:pStyle w:val="Heading4"/>
        <w:spacing w:before="119"/>
      </w:pPr>
      <w:r>
        <w:t>Unreimbursed Expenses</w:t>
      </w:r>
    </w:p>
    <w:p w:rsidR="004E13A5" w:rsidRDefault="00681463">
      <w:pPr>
        <w:pStyle w:val="BodyText"/>
        <w:ind w:right="395"/>
      </w:pPr>
      <w:r>
        <w:t>To be eligible for the disability expenses deduction, the costs must not be reimbursed by another source.</w:t>
      </w:r>
    </w:p>
    <w:p w:rsidR="004E13A5" w:rsidRDefault="00681463">
      <w:pPr>
        <w:pStyle w:val="BodyText"/>
        <w:spacing w:before="120"/>
        <w:ind w:left="820"/>
      </w:pPr>
      <w:r>
        <w:rPr>
          <w:u w:val="single"/>
        </w:rPr>
        <w:t>PHA Policy</w:t>
      </w:r>
    </w:p>
    <w:p w:rsidR="004E13A5" w:rsidRDefault="00681463">
      <w:pPr>
        <w:pStyle w:val="BodyText"/>
        <w:spacing w:before="120"/>
        <w:ind w:left="820"/>
      </w:pPr>
      <w:r>
        <w:t>The family will be required to certify that attendant care or auxiliary apparatus expenses are not paid by or reimbursed to the family from any source.</w:t>
      </w:r>
    </w:p>
    <w:p w:rsidR="004E13A5" w:rsidRDefault="004E13A5">
      <w:pPr>
        <w:pStyle w:val="BodyText"/>
        <w:spacing w:before="9"/>
        <w:ind w:left="0"/>
        <w:rPr>
          <w:sz w:val="20"/>
        </w:rPr>
      </w:pPr>
    </w:p>
    <w:p w:rsidR="004E13A5" w:rsidRDefault="00681463">
      <w:pPr>
        <w:pStyle w:val="Heading4"/>
        <w:spacing w:before="1"/>
        <w:jc w:val="both"/>
      </w:pPr>
      <w:r>
        <w:t>7-IV.D. CHILD CARE EXPENSES</w:t>
      </w:r>
    </w:p>
    <w:p w:rsidR="004E13A5" w:rsidRDefault="00681463">
      <w:pPr>
        <w:pStyle w:val="BodyText"/>
        <w:spacing w:before="120"/>
        <w:ind w:right="147"/>
        <w:jc w:val="both"/>
      </w:pPr>
      <w:r>
        <w:t>Policies related to child care expenses are found in Chapter 6 (6-II.F). The amount of the deduction will be verified following the standard verification procedures described in Part I of this chapter. In addition, the PHA must verify that:</w:t>
      </w:r>
    </w:p>
    <w:p w:rsidR="004E13A5" w:rsidRDefault="004E13A5">
      <w:pPr>
        <w:jc w:val="both"/>
        <w:sectPr w:rsidR="004E13A5">
          <w:pgSz w:w="12240" w:h="15840"/>
          <w:pgMar w:top="1000" w:right="1240" w:bottom="1240" w:left="1220" w:header="0" w:footer="998" w:gutter="0"/>
          <w:cols w:space="720"/>
        </w:sectPr>
      </w:pPr>
    </w:p>
    <w:p w:rsidR="004E13A5" w:rsidRDefault="00681463">
      <w:pPr>
        <w:pStyle w:val="BodyText"/>
        <w:tabs>
          <w:tab w:val="left" w:pos="460"/>
        </w:tabs>
        <w:spacing w:before="78"/>
      </w:pPr>
      <w:r>
        <w:rPr>
          <w:rFonts w:ascii="Symbol" w:hAnsi="Symbol"/>
        </w:rPr>
        <w:lastRenderedPageBreak/>
        <w:t></w:t>
      </w:r>
      <w:r>
        <w:tab/>
        <w:t>The child is eligible for care (12 or</w:t>
      </w:r>
      <w:r>
        <w:rPr>
          <w:spacing w:val="-11"/>
        </w:rPr>
        <w:t xml:space="preserve"> </w:t>
      </w:r>
      <w:r>
        <w:t>younger).</w:t>
      </w:r>
    </w:p>
    <w:p w:rsidR="004E13A5" w:rsidRDefault="00681463">
      <w:pPr>
        <w:pStyle w:val="BodyText"/>
        <w:tabs>
          <w:tab w:val="left" w:pos="460"/>
        </w:tabs>
        <w:spacing w:before="118"/>
      </w:pPr>
      <w:r>
        <w:rPr>
          <w:rFonts w:ascii="Symbol" w:hAnsi="Symbol"/>
        </w:rPr>
        <w:t></w:t>
      </w:r>
      <w:r>
        <w:tab/>
        <w:t>The costs claimed are not</w:t>
      </w:r>
      <w:r>
        <w:rPr>
          <w:spacing w:val="-8"/>
        </w:rPr>
        <w:t xml:space="preserve"> </w:t>
      </w:r>
      <w:r>
        <w:t>reimbursed.</w:t>
      </w:r>
    </w:p>
    <w:p w:rsidR="004E13A5" w:rsidRDefault="00681463">
      <w:pPr>
        <w:pStyle w:val="BodyText"/>
        <w:tabs>
          <w:tab w:val="left" w:pos="460"/>
        </w:tabs>
        <w:spacing w:before="118"/>
      </w:pPr>
      <w:r>
        <w:rPr>
          <w:rFonts w:ascii="Symbol" w:hAnsi="Symbol"/>
        </w:rPr>
        <w:t></w:t>
      </w:r>
      <w:r>
        <w:tab/>
        <w:t>The costs enable a family member to work, actively seek work, or further their</w:t>
      </w:r>
      <w:r>
        <w:rPr>
          <w:spacing w:val="-17"/>
        </w:rPr>
        <w:t xml:space="preserve"> </w:t>
      </w:r>
      <w:r>
        <w:t>education.</w:t>
      </w:r>
    </w:p>
    <w:p w:rsidR="004E13A5" w:rsidRDefault="00681463">
      <w:pPr>
        <w:pStyle w:val="BodyText"/>
        <w:tabs>
          <w:tab w:val="left" w:pos="460"/>
        </w:tabs>
        <w:spacing w:before="121"/>
      </w:pPr>
      <w:r>
        <w:rPr>
          <w:rFonts w:ascii="Symbol" w:hAnsi="Symbol"/>
        </w:rPr>
        <w:t></w:t>
      </w:r>
      <w:r>
        <w:tab/>
        <w:t>The costs are for an allowable type of child</w:t>
      </w:r>
      <w:r>
        <w:rPr>
          <w:spacing w:val="-11"/>
        </w:rPr>
        <w:t xml:space="preserve"> </w:t>
      </w:r>
      <w:r>
        <w:t>care.</w:t>
      </w:r>
    </w:p>
    <w:p w:rsidR="004E13A5" w:rsidRDefault="00681463">
      <w:pPr>
        <w:pStyle w:val="BodyText"/>
        <w:tabs>
          <w:tab w:val="left" w:pos="460"/>
        </w:tabs>
      </w:pPr>
      <w:r>
        <w:rPr>
          <w:rFonts w:ascii="Symbol" w:hAnsi="Symbol"/>
        </w:rPr>
        <w:t></w:t>
      </w:r>
      <w:r>
        <w:tab/>
        <w:t>The costs are</w:t>
      </w:r>
      <w:r>
        <w:rPr>
          <w:spacing w:val="-6"/>
        </w:rPr>
        <w:t xml:space="preserve"> </w:t>
      </w:r>
      <w:r>
        <w:t>reasonable.</w:t>
      </w:r>
    </w:p>
    <w:p w:rsidR="004E13A5" w:rsidRDefault="00681463">
      <w:pPr>
        <w:pStyle w:val="Heading4"/>
        <w:spacing w:before="119"/>
      </w:pPr>
      <w:r>
        <w:t>Eligible Child</w:t>
      </w:r>
    </w:p>
    <w:p w:rsidR="004E13A5" w:rsidRDefault="00681463">
      <w:pPr>
        <w:pStyle w:val="BodyText"/>
        <w:ind w:right="82"/>
      </w:pPr>
      <w:r>
        <w:t>To be eligible for the child care deduction, the costs must be incurred for the care of a child under the age of 13. The PHA will verify that the child being cared for (including foster children) is under the age of 13 (See 7-II.C.).</w:t>
      </w:r>
    </w:p>
    <w:p w:rsidR="004E13A5" w:rsidRDefault="00681463">
      <w:pPr>
        <w:pStyle w:val="Heading4"/>
        <w:spacing w:before="119"/>
      </w:pPr>
      <w:r>
        <w:t>Unreimbursed Expense</w:t>
      </w:r>
    </w:p>
    <w:p w:rsidR="004E13A5" w:rsidRDefault="00681463">
      <w:pPr>
        <w:pStyle w:val="BodyText"/>
        <w:spacing w:before="120"/>
      </w:pPr>
      <w:r>
        <w:t>To be eligible for the child care deduction, the costs must not be reimbursed by another source.</w:t>
      </w:r>
    </w:p>
    <w:p w:rsidR="004E13A5" w:rsidRDefault="00681463">
      <w:pPr>
        <w:pStyle w:val="BodyText"/>
        <w:ind w:left="820"/>
      </w:pPr>
      <w:r>
        <w:rPr>
          <w:u w:val="single"/>
        </w:rPr>
        <w:t>PHA Policy</w:t>
      </w:r>
    </w:p>
    <w:p w:rsidR="004E13A5" w:rsidRDefault="00681463">
      <w:pPr>
        <w:pStyle w:val="BodyText"/>
        <w:ind w:left="820" w:right="84"/>
      </w:pPr>
      <w:r>
        <w:t>The family (and the care provider) will be required to certify that the child care expenses are not paid or reimbursed to the family from any source.</w:t>
      </w:r>
    </w:p>
    <w:p w:rsidR="004E13A5" w:rsidRDefault="00681463">
      <w:pPr>
        <w:pStyle w:val="Heading4"/>
        <w:spacing w:before="119"/>
      </w:pPr>
      <w:r>
        <w:t>Pursuing an Eligible Activity</w:t>
      </w:r>
    </w:p>
    <w:p w:rsidR="004E13A5" w:rsidRDefault="00681463">
      <w:pPr>
        <w:pStyle w:val="BodyText"/>
      </w:pPr>
      <w:r>
        <w:t>The PHA must verify that the family member(s) that the family has identified as being enabled to seek work, pursue education, or be gainfully employed, are actually pursuing those activities.</w:t>
      </w:r>
    </w:p>
    <w:p w:rsidR="004E13A5" w:rsidRDefault="00681463">
      <w:pPr>
        <w:pStyle w:val="BodyText"/>
        <w:ind w:left="820"/>
      </w:pPr>
      <w:r>
        <w:rPr>
          <w:u w:val="single"/>
        </w:rPr>
        <w:t>PHA Policy</w:t>
      </w:r>
    </w:p>
    <w:p w:rsidR="004E13A5" w:rsidRDefault="00681463">
      <w:pPr>
        <w:spacing w:before="119"/>
        <w:ind w:left="820"/>
        <w:rPr>
          <w:i/>
          <w:sz w:val="24"/>
        </w:rPr>
      </w:pPr>
      <w:r>
        <w:rPr>
          <w:i/>
          <w:sz w:val="24"/>
        </w:rPr>
        <w:t>Information to be Gathered</w:t>
      </w:r>
    </w:p>
    <w:p w:rsidR="004E13A5" w:rsidRDefault="00681463">
      <w:pPr>
        <w:pStyle w:val="BodyText"/>
        <w:ind w:left="820" w:right="136"/>
      </w:pPr>
      <w:r>
        <w:t>The PHA will verify information about how the schedule for the claimed activity relates to the hours of care provided, the time required for transportation, the time required for study (for students), the relationship of the family member(s) to the child, and any special needs of the child that might help determine which family member is enabled to pursue an</w:t>
      </w:r>
      <w:r>
        <w:rPr>
          <w:spacing w:val="-13"/>
        </w:rPr>
        <w:t xml:space="preserve"> </w:t>
      </w:r>
      <w:r>
        <w:t>eligible activity.</w:t>
      </w:r>
    </w:p>
    <w:p w:rsidR="004E13A5" w:rsidRDefault="00681463">
      <w:pPr>
        <w:spacing w:before="119"/>
        <w:ind w:left="820"/>
        <w:rPr>
          <w:i/>
          <w:sz w:val="24"/>
        </w:rPr>
      </w:pPr>
      <w:r>
        <w:rPr>
          <w:i/>
          <w:sz w:val="24"/>
        </w:rPr>
        <w:t>Seeking Work</w:t>
      </w:r>
    </w:p>
    <w:p w:rsidR="004E13A5" w:rsidRDefault="00681463">
      <w:pPr>
        <w:pStyle w:val="BodyText"/>
        <w:ind w:left="820" w:right="101"/>
      </w:pPr>
      <w:r>
        <w:t>Whenever possible the PHA will use documentation from a state or local agency that monitors work-related requirements (e.g., welfare or unemployment). In such cases the PHA will request family-provided verification from the agency of the member’s job seeking efforts to date, and require the family to submit to the PHA any reports provided to the</w:t>
      </w:r>
      <w:r>
        <w:rPr>
          <w:spacing w:val="-13"/>
        </w:rPr>
        <w:t xml:space="preserve"> </w:t>
      </w:r>
      <w:r>
        <w:t>other agency.</w:t>
      </w:r>
    </w:p>
    <w:p w:rsidR="004E13A5" w:rsidRDefault="00681463">
      <w:pPr>
        <w:pStyle w:val="BodyText"/>
        <w:ind w:left="820" w:right="169"/>
        <w:jc w:val="both"/>
      </w:pPr>
      <w:r>
        <w:t>In the event third-party verification is not available, the PHA will provide the family with a form on which the family member must record job search efforts. The PHA will review this information at each subsequent reexamination for which this deduction is claimed.</w:t>
      </w:r>
    </w:p>
    <w:p w:rsidR="004E13A5" w:rsidRDefault="00681463">
      <w:pPr>
        <w:spacing w:before="119"/>
        <w:ind w:left="820"/>
        <w:rPr>
          <w:i/>
          <w:sz w:val="24"/>
        </w:rPr>
      </w:pPr>
      <w:r>
        <w:rPr>
          <w:i/>
          <w:sz w:val="24"/>
        </w:rPr>
        <w:t>Furthering Education</w:t>
      </w:r>
    </w:p>
    <w:p w:rsidR="004E13A5" w:rsidRDefault="00681463">
      <w:pPr>
        <w:pStyle w:val="BodyText"/>
        <w:ind w:left="820" w:right="146"/>
      </w:pPr>
      <w:r>
        <w:t>The PHA will request third-party documentation to verify that the person permitted to further their education by the child care is enrolled and provide information about the timing of classes for which the person is registered. The documentation may be provided by the</w:t>
      </w:r>
      <w:r>
        <w:rPr>
          <w:spacing w:val="-6"/>
        </w:rPr>
        <w:t xml:space="preserve"> </w:t>
      </w:r>
      <w:r>
        <w:t>family.</w:t>
      </w:r>
    </w:p>
    <w:p w:rsidR="004E13A5" w:rsidRDefault="004E13A5">
      <w:pPr>
        <w:sectPr w:rsidR="004E13A5">
          <w:pgSz w:w="12240" w:h="15840"/>
          <w:pgMar w:top="1000" w:right="1220" w:bottom="1240" w:left="1220" w:header="0" w:footer="998" w:gutter="0"/>
          <w:cols w:space="720"/>
        </w:sectPr>
      </w:pPr>
    </w:p>
    <w:p w:rsidR="004E13A5" w:rsidRDefault="00681463">
      <w:pPr>
        <w:spacing w:before="79"/>
        <w:ind w:left="940"/>
        <w:rPr>
          <w:i/>
          <w:sz w:val="24"/>
        </w:rPr>
      </w:pPr>
      <w:r>
        <w:rPr>
          <w:i/>
          <w:sz w:val="24"/>
        </w:rPr>
        <w:lastRenderedPageBreak/>
        <w:t>Gainful Employment</w:t>
      </w:r>
    </w:p>
    <w:p w:rsidR="004E13A5" w:rsidRDefault="00681463">
      <w:pPr>
        <w:pStyle w:val="BodyText"/>
        <w:spacing w:before="120"/>
        <w:ind w:left="940" w:right="329"/>
      </w:pPr>
      <w:r>
        <w:t>The PHA will seek third-party verification of the work schedule of the person who is permitted to work by the child care. In cases in which two or more family members could be permitted to work, the work schedules for all relevant family members may be verified. The documentation may be provided by the family.</w:t>
      </w:r>
    </w:p>
    <w:p w:rsidR="004E13A5" w:rsidRDefault="004E13A5">
      <w:pPr>
        <w:pStyle w:val="BodyText"/>
        <w:spacing w:before="0"/>
        <w:ind w:left="0"/>
        <w:rPr>
          <w:sz w:val="26"/>
        </w:rPr>
      </w:pPr>
    </w:p>
    <w:p w:rsidR="004E13A5" w:rsidRDefault="00681463">
      <w:pPr>
        <w:pStyle w:val="Heading4"/>
        <w:spacing w:before="216"/>
        <w:ind w:left="220"/>
      </w:pPr>
      <w:r>
        <w:t>Allowable Type of Child Care</w:t>
      </w:r>
    </w:p>
    <w:p w:rsidR="004E13A5" w:rsidRDefault="00681463">
      <w:pPr>
        <w:pStyle w:val="BodyText"/>
        <w:ind w:left="220" w:right="155"/>
      </w:pPr>
      <w:r>
        <w:t>The type of care to be provided is determined by the family, but must fall within certain guidelines, as discussed in Chapter 6.</w:t>
      </w:r>
    </w:p>
    <w:p w:rsidR="004E13A5" w:rsidRDefault="00681463">
      <w:pPr>
        <w:pStyle w:val="BodyText"/>
        <w:ind w:left="940"/>
      </w:pPr>
      <w:r>
        <w:rPr>
          <w:u w:val="single"/>
        </w:rPr>
        <w:t>PHA Policy</w:t>
      </w:r>
    </w:p>
    <w:p w:rsidR="004E13A5" w:rsidRDefault="00681463">
      <w:pPr>
        <w:pStyle w:val="BodyText"/>
        <w:ind w:left="940"/>
      </w:pPr>
      <w:r>
        <w:t>The PHA will verify that the type of child care selected by the family is allowable, as described in Chapter 6 (6-II.F).</w:t>
      </w:r>
    </w:p>
    <w:p w:rsidR="004E13A5" w:rsidRDefault="00681463">
      <w:pPr>
        <w:pStyle w:val="BodyText"/>
        <w:spacing w:before="120"/>
        <w:ind w:left="940"/>
      </w:pPr>
      <w:r>
        <w:t>The PHA will verify that the fees paid to the child care provider cover only child care costs (e.g., no housekeeping services or personal services) and are paid only for the care of an eligible child (e.g., prorate costs if some of the care is provided for ineligible family members).</w:t>
      </w:r>
    </w:p>
    <w:p w:rsidR="004E13A5" w:rsidRDefault="00681463">
      <w:pPr>
        <w:pStyle w:val="BodyText"/>
        <w:ind w:left="940" w:right="329"/>
      </w:pPr>
      <w:r>
        <w:t>The PHA will verify that the child care provider is not an assisted family member. Verification will be made through the head of household’s declaration of family members who are expected to reside in the unit.</w:t>
      </w:r>
    </w:p>
    <w:p w:rsidR="004E13A5" w:rsidRDefault="00681463">
      <w:pPr>
        <w:pStyle w:val="Heading4"/>
        <w:spacing w:before="119"/>
        <w:ind w:left="220"/>
      </w:pPr>
      <w:r>
        <w:t>Reasonableness of Expenses</w:t>
      </w:r>
    </w:p>
    <w:p w:rsidR="004E13A5" w:rsidRDefault="00681463">
      <w:pPr>
        <w:pStyle w:val="BodyText"/>
        <w:ind w:left="220"/>
      </w:pPr>
      <w:r>
        <w:t>Only reasonable child care costs can be deducted.</w:t>
      </w:r>
    </w:p>
    <w:p w:rsidR="004E13A5" w:rsidRDefault="00681463">
      <w:pPr>
        <w:pStyle w:val="BodyText"/>
        <w:ind w:left="940"/>
      </w:pPr>
      <w:r>
        <w:rPr>
          <w:u w:val="single"/>
        </w:rPr>
        <w:t>PHA Policy</w:t>
      </w:r>
    </w:p>
    <w:p w:rsidR="004E13A5" w:rsidRDefault="00681463">
      <w:pPr>
        <w:pStyle w:val="BodyText"/>
        <w:spacing w:before="120"/>
        <w:ind w:left="940" w:right="155"/>
      </w:pPr>
      <w:r>
        <w:t>The actual costs the family incurs will be compared with the PHA’s established standards of reasonableness for the type of care in the locality to ensure that the costs are reasonable.</w:t>
      </w:r>
    </w:p>
    <w:p w:rsidR="004E13A5" w:rsidRDefault="00681463">
      <w:pPr>
        <w:pStyle w:val="BodyText"/>
        <w:spacing w:before="120"/>
        <w:ind w:left="940" w:right="215"/>
      </w:pPr>
      <w:r>
        <w:t>If the family presents a justification for costs that exceed typical costs in the area, the PHA will request additional documentation, as required, to support a determination that the higher cost is appropriate.</w:t>
      </w:r>
    </w:p>
    <w:p w:rsidR="004E13A5" w:rsidRDefault="004E13A5">
      <w:pPr>
        <w:pStyle w:val="BodyText"/>
        <w:spacing w:before="0"/>
        <w:ind w:left="0"/>
        <w:rPr>
          <w:sz w:val="20"/>
        </w:rPr>
      </w:pPr>
    </w:p>
    <w:p w:rsidR="004E13A5" w:rsidRDefault="004E13A5">
      <w:pPr>
        <w:pStyle w:val="BodyText"/>
        <w:spacing w:before="10" w:after="1"/>
        <w:ind w:left="0"/>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gridCol w:w="166"/>
      </w:tblGrid>
      <w:tr w:rsidR="004E13A5">
        <w:trPr>
          <w:trHeight w:hRule="exact" w:val="607"/>
        </w:trPr>
        <w:tc>
          <w:tcPr>
            <w:tcW w:w="9744" w:type="dxa"/>
            <w:gridSpan w:val="2"/>
          </w:tcPr>
          <w:p w:rsidR="004E13A5" w:rsidRDefault="00681463">
            <w:pPr>
              <w:pStyle w:val="TableParagraph"/>
              <w:spacing w:before="18"/>
              <w:ind w:left="2311" w:right="1018" w:hanging="1143"/>
              <w:rPr>
                <w:b/>
                <w:sz w:val="24"/>
              </w:rPr>
            </w:pPr>
            <w:r>
              <w:rPr>
                <w:b/>
                <w:sz w:val="24"/>
              </w:rPr>
              <w:t>EXHIBIT 7-1: SUMMARY OF DOCUMENTATION REQUIREMENTS FOR NONCITIZENS [HCV GB, pp. 5-9 and 5-10]</w:t>
            </w:r>
          </w:p>
        </w:tc>
      </w:tr>
      <w:tr w:rsidR="004E13A5">
        <w:trPr>
          <w:trHeight w:hRule="exact" w:val="1529"/>
        </w:trPr>
        <w:tc>
          <w:tcPr>
            <w:tcW w:w="9578" w:type="dxa"/>
            <w:tcBorders>
              <w:top w:val="single" w:sz="8" w:space="0" w:color="000000"/>
            </w:tcBorders>
          </w:tcPr>
          <w:p w:rsidR="004E13A5" w:rsidRDefault="00681463">
            <w:pPr>
              <w:pStyle w:val="TableParagraph"/>
              <w:numPr>
                <w:ilvl w:val="0"/>
                <w:numId w:val="63"/>
              </w:numPr>
              <w:tabs>
                <w:tab w:val="left" w:pos="463"/>
                <w:tab w:val="left" w:pos="464"/>
              </w:tabs>
              <w:spacing w:before="118"/>
              <w:ind w:right="375"/>
              <w:rPr>
                <w:sz w:val="24"/>
              </w:rPr>
            </w:pPr>
            <w:r>
              <w:rPr>
                <w:b/>
                <w:sz w:val="24"/>
              </w:rPr>
              <w:t xml:space="preserve">All </w:t>
            </w:r>
            <w:r>
              <w:rPr>
                <w:sz w:val="24"/>
              </w:rPr>
              <w:t>noncitizens claiming eligible status must sign a declaration of eligible immigrant</w:t>
            </w:r>
            <w:r>
              <w:rPr>
                <w:spacing w:val="-19"/>
                <w:sz w:val="24"/>
              </w:rPr>
              <w:t xml:space="preserve"> </w:t>
            </w:r>
            <w:r>
              <w:rPr>
                <w:sz w:val="24"/>
              </w:rPr>
              <w:t>status on a form acceptable to the</w:t>
            </w:r>
            <w:r>
              <w:rPr>
                <w:spacing w:val="-5"/>
                <w:sz w:val="24"/>
              </w:rPr>
              <w:t xml:space="preserve"> </w:t>
            </w:r>
            <w:r>
              <w:rPr>
                <w:sz w:val="24"/>
              </w:rPr>
              <w:t>PHA.</w:t>
            </w:r>
          </w:p>
          <w:p w:rsidR="004E13A5" w:rsidRDefault="00681463">
            <w:pPr>
              <w:pStyle w:val="TableParagraph"/>
              <w:numPr>
                <w:ilvl w:val="0"/>
                <w:numId w:val="63"/>
              </w:numPr>
              <w:tabs>
                <w:tab w:val="left" w:pos="463"/>
                <w:tab w:val="left" w:pos="464"/>
              </w:tabs>
              <w:spacing w:before="119"/>
              <w:rPr>
                <w:sz w:val="24"/>
              </w:rPr>
            </w:pPr>
            <w:r>
              <w:rPr>
                <w:sz w:val="24"/>
              </w:rPr>
              <w:t>Except for persons 62 or older, all noncitizens must sign a verification consent</w:t>
            </w:r>
            <w:r>
              <w:rPr>
                <w:spacing w:val="-13"/>
                <w:sz w:val="24"/>
              </w:rPr>
              <w:t xml:space="preserve"> </w:t>
            </w:r>
            <w:r>
              <w:rPr>
                <w:sz w:val="24"/>
              </w:rPr>
              <w:t>form</w:t>
            </w:r>
          </w:p>
          <w:p w:rsidR="004E13A5" w:rsidRDefault="00681463">
            <w:pPr>
              <w:pStyle w:val="TableParagraph"/>
              <w:numPr>
                <w:ilvl w:val="0"/>
                <w:numId w:val="63"/>
              </w:numPr>
              <w:tabs>
                <w:tab w:val="left" w:pos="463"/>
                <w:tab w:val="left" w:pos="464"/>
              </w:tabs>
              <w:spacing w:before="118"/>
              <w:rPr>
                <w:sz w:val="24"/>
              </w:rPr>
            </w:pPr>
            <w:r>
              <w:rPr>
                <w:sz w:val="24"/>
              </w:rPr>
              <w:t>Additional documents are required based upon the person's</w:t>
            </w:r>
            <w:r>
              <w:rPr>
                <w:spacing w:val="-10"/>
                <w:sz w:val="24"/>
              </w:rPr>
              <w:t xml:space="preserve"> </w:t>
            </w:r>
            <w:r>
              <w:rPr>
                <w:sz w:val="24"/>
              </w:rPr>
              <w:t>status.</w:t>
            </w:r>
          </w:p>
        </w:tc>
        <w:tc>
          <w:tcPr>
            <w:tcW w:w="166" w:type="dxa"/>
            <w:vMerge w:val="restart"/>
            <w:tcBorders>
              <w:right w:val="nil"/>
            </w:tcBorders>
          </w:tcPr>
          <w:p w:rsidR="004E13A5" w:rsidRDefault="004E13A5"/>
        </w:tc>
      </w:tr>
      <w:tr w:rsidR="004E13A5">
        <w:trPr>
          <w:trHeight w:hRule="exact" w:val="1373"/>
        </w:trPr>
        <w:tc>
          <w:tcPr>
            <w:tcW w:w="9578" w:type="dxa"/>
          </w:tcPr>
          <w:p w:rsidR="004E13A5" w:rsidRDefault="00681463">
            <w:pPr>
              <w:pStyle w:val="TableParagraph"/>
              <w:spacing w:before="121"/>
              <w:rPr>
                <w:b/>
                <w:sz w:val="24"/>
              </w:rPr>
            </w:pPr>
            <w:r>
              <w:rPr>
                <w:b/>
                <w:sz w:val="24"/>
              </w:rPr>
              <w:t>Elderly Noncitizens</w:t>
            </w:r>
          </w:p>
          <w:p w:rsidR="004E13A5" w:rsidRDefault="00681463">
            <w:pPr>
              <w:pStyle w:val="TableParagraph"/>
              <w:numPr>
                <w:ilvl w:val="0"/>
                <w:numId w:val="62"/>
              </w:numPr>
              <w:tabs>
                <w:tab w:val="left" w:pos="464"/>
              </w:tabs>
              <w:spacing w:before="119"/>
              <w:ind w:right="335"/>
              <w:jc w:val="both"/>
              <w:rPr>
                <w:sz w:val="24"/>
              </w:rPr>
            </w:pPr>
            <w:r>
              <w:rPr>
                <w:sz w:val="24"/>
              </w:rPr>
              <w:t>A person 62 years of age or older who claims eligible immigration status also must provide proof of age such as birth certificate, passport, or documents showing receipt of SS old-age benefits.</w:t>
            </w:r>
          </w:p>
        </w:tc>
        <w:tc>
          <w:tcPr>
            <w:tcW w:w="166" w:type="dxa"/>
            <w:vMerge/>
            <w:tcBorders>
              <w:bottom w:val="nil"/>
              <w:right w:val="nil"/>
            </w:tcBorders>
          </w:tcPr>
          <w:p w:rsidR="004E13A5" w:rsidRDefault="004E13A5"/>
        </w:tc>
      </w:tr>
    </w:tbl>
    <w:p w:rsidR="004E13A5" w:rsidRDefault="004E13A5">
      <w:pPr>
        <w:sectPr w:rsidR="004E13A5">
          <w:pgSz w:w="12240" w:h="15840"/>
          <w:pgMar w:top="1000" w:right="1160" w:bottom="1240" w:left="1100" w:header="0" w:footer="998"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4E13A5">
        <w:trPr>
          <w:trHeight w:hRule="exact" w:val="1095"/>
        </w:trPr>
        <w:tc>
          <w:tcPr>
            <w:tcW w:w="9578" w:type="dxa"/>
            <w:gridSpan w:val="2"/>
          </w:tcPr>
          <w:p w:rsidR="004E13A5" w:rsidRDefault="00681463">
            <w:pPr>
              <w:pStyle w:val="TableParagraph"/>
              <w:spacing w:before="119"/>
              <w:rPr>
                <w:b/>
                <w:sz w:val="24"/>
              </w:rPr>
            </w:pPr>
            <w:r>
              <w:rPr>
                <w:b/>
                <w:sz w:val="24"/>
              </w:rPr>
              <w:lastRenderedPageBreak/>
              <w:t>All other Noncitizens</w:t>
            </w:r>
          </w:p>
          <w:p w:rsidR="004E13A5" w:rsidRDefault="00681463">
            <w:pPr>
              <w:pStyle w:val="TableParagraph"/>
              <w:numPr>
                <w:ilvl w:val="0"/>
                <w:numId w:val="61"/>
              </w:numPr>
              <w:tabs>
                <w:tab w:val="left" w:pos="463"/>
                <w:tab w:val="left" w:pos="464"/>
              </w:tabs>
              <w:spacing w:before="120"/>
              <w:ind w:right="449"/>
              <w:rPr>
                <w:sz w:val="24"/>
              </w:rPr>
            </w:pPr>
            <w:r>
              <w:rPr>
                <w:sz w:val="24"/>
              </w:rPr>
              <w:t>Noncitizens that claim eligible immigration status also must present the applicable</w:t>
            </w:r>
            <w:r>
              <w:rPr>
                <w:spacing w:val="-21"/>
                <w:sz w:val="24"/>
              </w:rPr>
              <w:t xml:space="preserve"> </w:t>
            </w:r>
            <w:r>
              <w:rPr>
                <w:sz w:val="24"/>
              </w:rPr>
              <w:t>USCIS document. Acceptable USCIS documents are listed</w:t>
            </w:r>
            <w:r>
              <w:rPr>
                <w:spacing w:val="-12"/>
                <w:sz w:val="24"/>
              </w:rPr>
              <w:t xml:space="preserve"> </w:t>
            </w:r>
            <w:r>
              <w:rPr>
                <w:sz w:val="24"/>
              </w:rPr>
              <w:t>below.</w:t>
            </w:r>
          </w:p>
        </w:tc>
      </w:tr>
      <w:tr w:rsidR="004E13A5">
        <w:trPr>
          <w:trHeight w:hRule="exact" w:val="4561"/>
        </w:trPr>
        <w:tc>
          <w:tcPr>
            <w:tcW w:w="4789" w:type="dxa"/>
          </w:tcPr>
          <w:p w:rsidR="004E13A5" w:rsidRDefault="00681463">
            <w:pPr>
              <w:pStyle w:val="TableParagraph"/>
              <w:numPr>
                <w:ilvl w:val="0"/>
                <w:numId w:val="60"/>
              </w:numPr>
              <w:tabs>
                <w:tab w:val="left" w:pos="463"/>
                <w:tab w:val="left" w:pos="464"/>
              </w:tabs>
              <w:spacing w:before="118"/>
              <w:ind w:right="598"/>
              <w:rPr>
                <w:sz w:val="24"/>
              </w:rPr>
            </w:pPr>
            <w:r>
              <w:rPr>
                <w:sz w:val="24"/>
              </w:rPr>
              <w:t>Form I-551 Alien Registration</w:t>
            </w:r>
            <w:r>
              <w:rPr>
                <w:spacing w:val="-9"/>
                <w:sz w:val="24"/>
              </w:rPr>
              <w:t xml:space="preserve"> </w:t>
            </w:r>
            <w:r>
              <w:rPr>
                <w:sz w:val="24"/>
              </w:rPr>
              <w:t>Receipt Card (for permanent resident</w:t>
            </w:r>
            <w:r>
              <w:rPr>
                <w:spacing w:val="-7"/>
                <w:sz w:val="24"/>
              </w:rPr>
              <w:t xml:space="preserve"> </w:t>
            </w:r>
            <w:r>
              <w:rPr>
                <w:sz w:val="24"/>
              </w:rPr>
              <w:t>aliens)</w:t>
            </w:r>
          </w:p>
          <w:p w:rsidR="004E13A5" w:rsidRDefault="00681463">
            <w:pPr>
              <w:pStyle w:val="TableParagraph"/>
              <w:numPr>
                <w:ilvl w:val="0"/>
                <w:numId w:val="60"/>
              </w:numPr>
              <w:tabs>
                <w:tab w:val="left" w:pos="463"/>
                <w:tab w:val="left" w:pos="464"/>
              </w:tabs>
              <w:spacing w:before="119"/>
              <w:ind w:right="790"/>
              <w:rPr>
                <w:sz w:val="24"/>
              </w:rPr>
            </w:pPr>
            <w:r>
              <w:rPr>
                <w:sz w:val="24"/>
              </w:rPr>
              <w:t>Form I-94 Arrival-Departure</w:t>
            </w:r>
            <w:r>
              <w:rPr>
                <w:spacing w:val="-10"/>
                <w:sz w:val="24"/>
              </w:rPr>
              <w:t xml:space="preserve"> </w:t>
            </w:r>
            <w:r>
              <w:rPr>
                <w:sz w:val="24"/>
              </w:rPr>
              <w:t>Record annotated with one of the</w:t>
            </w:r>
            <w:r>
              <w:rPr>
                <w:spacing w:val="-6"/>
                <w:sz w:val="24"/>
              </w:rPr>
              <w:t xml:space="preserve"> </w:t>
            </w:r>
            <w:r>
              <w:rPr>
                <w:sz w:val="24"/>
              </w:rPr>
              <w:t>following:</w:t>
            </w:r>
          </w:p>
          <w:p w:rsidR="004E13A5" w:rsidRDefault="00681463">
            <w:pPr>
              <w:pStyle w:val="TableParagraph"/>
              <w:numPr>
                <w:ilvl w:val="1"/>
                <w:numId w:val="60"/>
              </w:numPr>
              <w:tabs>
                <w:tab w:val="left" w:pos="1183"/>
                <w:tab w:val="left" w:pos="1184"/>
              </w:tabs>
              <w:spacing w:before="119"/>
              <w:ind w:right="148" w:hanging="360"/>
              <w:rPr>
                <w:sz w:val="24"/>
              </w:rPr>
            </w:pPr>
            <w:r>
              <w:rPr>
                <w:sz w:val="24"/>
              </w:rPr>
              <w:t>“Admitted as a Refugee Pursuant to Section</w:t>
            </w:r>
            <w:r>
              <w:rPr>
                <w:spacing w:val="-2"/>
                <w:sz w:val="24"/>
              </w:rPr>
              <w:t xml:space="preserve"> </w:t>
            </w:r>
            <w:r>
              <w:rPr>
                <w:sz w:val="24"/>
              </w:rPr>
              <w:t>207”</w:t>
            </w:r>
          </w:p>
          <w:p w:rsidR="004E13A5" w:rsidRDefault="00681463">
            <w:pPr>
              <w:pStyle w:val="TableParagraph"/>
              <w:numPr>
                <w:ilvl w:val="1"/>
                <w:numId w:val="60"/>
              </w:numPr>
              <w:tabs>
                <w:tab w:val="left" w:pos="1183"/>
                <w:tab w:val="left" w:pos="1184"/>
              </w:tabs>
              <w:spacing w:before="119"/>
              <w:ind w:left="1183"/>
              <w:rPr>
                <w:sz w:val="24"/>
              </w:rPr>
            </w:pPr>
            <w:r>
              <w:rPr>
                <w:sz w:val="24"/>
              </w:rPr>
              <w:t>“Section 208” or</w:t>
            </w:r>
            <w:r>
              <w:rPr>
                <w:spacing w:val="-6"/>
                <w:sz w:val="24"/>
              </w:rPr>
              <w:t xml:space="preserve"> </w:t>
            </w:r>
            <w:r>
              <w:rPr>
                <w:sz w:val="24"/>
              </w:rPr>
              <w:t>“Asylum”</w:t>
            </w:r>
          </w:p>
          <w:p w:rsidR="004E13A5" w:rsidRDefault="00681463">
            <w:pPr>
              <w:pStyle w:val="TableParagraph"/>
              <w:numPr>
                <w:ilvl w:val="1"/>
                <w:numId w:val="60"/>
              </w:numPr>
              <w:tabs>
                <w:tab w:val="left" w:pos="1183"/>
                <w:tab w:val="left" w:pos="1184"/>
              </w:tabs>
              <w:spacing w:before="119"/>
              <w:ind w:right="388" w:hanging="360"/>
              <w:rPr>
                <w:sz w:val="24"/>
              </w:rPr>
            </w:pPr>
            <w:r>
              <w:rPr>
                <w:sz w:val="24"/>
              </w:rPr>
              <w:t>“Section 243(h)” or “Deportation stayed by Attorney</w:t>
            </w:r>
            <w:r>
              <w:rPr>
                <w:spacing w:val="-7"/>
                <w:sz w:val="24"/>
              </w:rPr>
              <w:t xml:space="preserve"> </w:t>
            </w:r>
            <w:r>
              <w:rPr>
                <w:sz w:val="24"/>
              </w:rPr>
              <w:t>General”</w:t>
            </w:r>
          </w:p>
          <w:p w:rsidR="004E13A5" w:rsidRDefault="00681463">
            <w:pPr>
              <w:pStyle w:val="TableParagraph"/>
              <w:numPr>
                <w:ilvl w:val="1"/>
                <w:numId w:val="60"/>
              </w:numPr>
              <w:tabs>
                <w:tab w:val="left" w:pos="1183"/>
                <w:tab w:val="left" w:pos="1184"/>
              </w:tabs>
              <w:spacing w:before="119"/>
              <w:ind w:right="408" w:hanging="360"/>
              <w:rPr>
                <w:sz w:val="24"/>
              </w:rPr>
            </w:pPr>
            <w:r>
              <w:rPr>
                <w:sz w:val="24"/>
              </w:rPr>
              <w:t>“Paroled Pursuant to Section 221 (d)(5) of the</w:t>
            </w:r>
            <w:r>
              <w:rPr>
                <w:spacing w:val="-4"/>
                <w:sz w:val="24"/>
              </w:rPr>
              <w:t xml:space="preserve"> </w:t>
            </w:r>
            <w:r>
              <w:rPr>
                <w:sz w:val="24"/>
              </w:rPr>
              <w:t>USCIS”</w:t>
            </w:r>
          </w:p>
        </w:tc>
        <w:tc>
          <w:tcPr>
            <w:tcW w:w="4789" w:type="dxa"/>
          </w:tcPr>
          <w:p w:rsidR="004E13A5" w:rsidRDefault="00681463">
            <w:pPr>
              <w:pStyle w:val="TableParagraph"/>
              <w:numPr>
                <w:ilvl w:val="0"/>
                <w:numId w:val="59"/>
              </w:numPr>
              <w:tabs>
                <w:tab w:val="left" w:pos="463"/>
                <w:tab w:val="left" w:pos="464"/>
              </w:tabs>
              <w:spacing w:before="118"/>
              <w:ind w:right="304"/>
              <w:rPr>
                <w:sz w:val="24"/>
              </w:rPr>
            </w:pPr>
            <w:r>
              <w:rPr>
                <w:sz w:val="24"/>
              </w:rPr>
              <w:t>Form I-94 Arrival-Departure Record</w:t>
            </w:r>
            <w:r>
              <w:rPr>
                <w:spacing w:val="-12"/>
                <w:sz w:val="24"/>
              </w:rPr>
              <w:t xml:space="preserve"> </w:t>
            </w:r>
            <w:r>
              <w:rPr>
                <w:sz w:val="24"/>
              </w:rPr>
              <w:t>with no annotation accompanied</w:t>
            </w:r>
            <w:r>
              <w:rPr>
                <w:spacing w:val="-7"/>
                <w:sz w:val="24"/>
              </w:rPr>
              <w:t xml:space="preserve"> </w:t>
            </w:r>
            <w:r>
              <w:rPr>
                <w:sz w:val="24"/>
              </w:rPr>
              <w:t>by:</w:t>
            </w:r>
          </w:p>
          <w:p w:rsidR="004E13A5" w:rsidRDefault="00681463">
            <w:pPr>
              <w:pStyle w:val="TableParagraph"/>
              <w:numPr>
                <w:ilvl w:val="1"/>
                <w:numId w:val="59"/>
              </w:numPr>
              <w:tabs>
                <w:tab w:val="left" w:pos="1183"/>
                <w:tab w:val="left" w:pos="1184"/>
              </w:tabs>
              <w:spacing w:before="119"/>
              <w:ind w:right="207" w:hanging="360"/>
              <w:rPr>
                <w:sz w:val="24"/>
              </w:rPr>
            </w:pPr>
            <w:r>
              <w:rPr>
                <w:sz w:val="24"/>
              </w:rPr>
              <w:t>A final court decision granting asylum (but only if no appeal is</w:t>
            </w:r>
            <w:r>
              <w:rPr>
                <w:spacing w:val="-9"/>
                <w:sz w:val="24"/>
              </w:rPr>
              <w:t xml:space="preserve"> </w:t>
            </w:r>
            <w:r>
              <w:rPr>
                <w:sz w:val="24"/>
              </w:rPr>
              <w:t>taken);</w:t>
            </w:r>
          </w:p>
          <w:p w:rsidR="004E13A5" w:rsidRDefault="00681463">
            <w:pPr>
              <w:pStyle w:val="TableParagraph"/>
              <w:numPr>
                <w:ilvl w:val="1"/>
                <w:numId w:val="59"/>
              </w:numPr>
              <w:tabs>
                <w:tab w:val="left" w:pos="1183"/>
                <w:tab w:val="left" w:pos="1184"/>
              </w:tabs>
              <w:spacing w:before="119"/>
              <w:ind w:right="150" w:hanging="360"/>
              <w:rPr>
                <w:sz w:val="24"/>
              </w:rPr>
            </w:pPr>
            <w:r>
              <w:rPr>
                <w:sz w:val="24"/>
              </w:rPr>
              <w:t>A letter from a USCIS asylum officer granting asylum (if application is filed on or after 10/1/90) or from a USCIS district director granting</w:t>
            </w:r>
            <w:r>
              <w:rPr>
                <w:spacing w:val="-14"/>
                <w:sz w:val="24"/>
              </w:rPr>
              <w:t xml:space="preserve"> </w:t>
            </w:r>
            <w:r>
              <w:rPr>
                <w:sz w:val="24"/>
              </w:rPr>
              <w:t>asylum (application filed before</w:t>
            </w:r>
            <w:r>
              <w:rPr>
                <w:spacing w:val="-5"/>
                <w:sz w:val="24"/>
              </w:rPr>
              <w:t xml:space="preserve"> </w:t>
            </w:r>
            <w:r>
              <w:rPr>
                <w:sz w:val="24"/>
              </w:rPr>
              <w:t>10/1/90);</w:t>
            </w:r>
          </w:p>
          <w:p w:rsidR="004E13A5" w:rsidRDefault="00681463">
            <w:pPr>
              <w:pStyle w:val="TableParagraph"/>
              <w:numPr>
                <w:ilvl w:val="1"/>
                <w:numId w:val="59"/>
              </w:numPr>
              <w:tabs>
                <w:tab w:val="left" w:pos="1183"/>
                <w:tab w:val="left" w:pos="1184"/>
              </w:tabs>
              <w:spacing w:before="119"/>
              <w:ind w:right="1071" w:hanging="360"/>
              <w:rPr>
                <w:sz w:val="24"/>
              </w:rPr>
            </w:pPr>
            <w:r>
              <w:rPr>
                <w:sz w:val="24"/>
              </w:rPr>
              <w:t>A court decision granting withholding of deportation;</w:t>
            </w:r>
            <w:r>
              <w:rPr>
                <w:spacing w:val="-4"/>
                <w:sz w:val="24"/>
              </w:rPr>
              <w:t xml:space="preserve"> </w:t>
            </w:r>
            <w:r>
              <w:rPr>
                <w:sz w:val="24"/>
              </w:rPr>
              <w:t>or</w:t>
            </w:r>
          </w:p>
          <w:p w:rsidR="004E13A5" w:rsidRDefault="00681463">
            <w:pPr>
              <w:pStyle w:val="TableParagraph"/>
              <w:numPr>
                <w:ilvl w:val="1"/>
                <w:numId w:val="59"/>
              </w:numPr>
              <w:tabs>
                <w:tab w:val="left" w:pos="1183"/>
                <w:tab w:val="left" w:pos="1184"/>
              </w:tabs>
              <w:spacing w:before="119"/>
              <w:ind w:right="253" w:hanging="360"/>
              <w:rPr>
                <w:sz w:val="24"/>
              </w:rPr>
            </w:pPr>
            <w:r>
              <w:rPr>
                <w:sz w:val="24"/>
              </w:rPr>
              <w:t>A letter from an asylum officer granting withholding or deportation</w:t>
            </w:r>
            <w:r>
              <w:rPr>
                <w:spacing w:val="-8"/>
                <w:sz w:val="24"/>
              </w:rPr>
              <w:t xml:space="preserve"> </w:t>
            </w:r>
            <w:r>
              <w:rPr>
                <w:sz w:val="24"/>
              </w:rPr>
              <w:t>(if application filed on or after</w:t>
            </w:r>
            <w:r>
              <w:rPr>
                <w:spacing w:val="-6"/>
                <w:sz w:val="24"/>
              </w:rPr>
              <w:t xml:space="preserve"> </w:t>
            </w:r>
            <w:r>
              <w:rPr>
                <w:sz w:val="24"/>
              </w:rPr>
              <w:t>10/1/90).</w:t>
            </w:r>
          </w:p>
        </w:tc>
      </w:tr>
      <w:tr w:rsidR="004E13A5">
        <w:trPr>
          <w:trHeight w:hRule="exact" w:val="958"/>
        </w:trPr>
        <w:tc>
          <w:tcPr>
            <w:tcW w:w="4789" w:type="dxa"/>
          </w:tcPr>
          <w:p w:rsidR="004E13A5" w:rsidRDefault="00681463">
            <w:pPr>
              <w:pStyle w:val="TableParagraph"/>
              <w:numPr>
                <w:ilvl w:val="0"/>
                <w:numId w:val="58"/>
              </w:numPr>
              <w:tabs>
                <w:tab w:val="left" w:pos="463"/>
                <w:tab w:val="left" w:pos="464"/>
              </w:tabs>
              <w:spacing w:before="118"/>
              <w:ind w:right="172"/>
              <w:rPr>
                <w:sz w:val="24"/>
              </w:rPr>
            </w:pPr>
            <w:r>
              <w:rPr>
                <w:sz w:val="24"/>
              </w:rPr>
              <w:t>Form I-688 Temporary Resident Card annotated “Section 245A” or Section</w:t>
            </w:r>
            <w:r>
              <w:rPr>
                <w:spacing w:val="-8"/>
                <w:sz w:val="24"/>
              </w:rPr>
              <w:t xml:space="preserve"> </w:t>
            </w:r>
            <w:r>
              <w:rPr>
                <w:sz w:val="24"/>
              </w:rPr>
              <w:t>210”.</w:t>
            </w:r>
          </w:p>
        </w:tc>
        <w:tc>
          <w:tcPr>
            <w:tcW w:w="4789" w:type="dxa"/>
          </w:tcPr>
          <w:p w:rsidR="004E13A5" w:rsidRDefault="00681463">
            <w:pPr>
              <w:pStyle w:val="TableParagraph"/>
              <w:spacing w:before="119"/>
              <w:ind w:right="193"/>
              <w:jc w:val="both"/>
              <w:rPr>
                <w:sz w:val="24"/>
              </w:rPr>
            </w:pPr>
            <w:r>
              <w:rPr>
                <w:sz w:val="24"/>
              </w:rPr>
              <w:t>Form I-688B Employment Authorization Card annotated “Provision of Law 274a. 12(11)” or “Provision of Law 274a.12”.</w:t>
            </w:r>
          </w:p>
        </w:tc>
      </w:tr>
      <w:tr w:rsidR="004E13A5">
        <w:trPr>
          <w:trHeight w:hRule="exact" w:val="1942"/>
        </w:trPr>
        <w:tc>
          <w:tcPr>
            <w:tcW w:w="9578" w:type="dxa"/>
            <w:gridSpan w:val="2"/>
          </w:tcPr>
          <w:p w:rsidR="004E13A5" w:rsidRDefault="00681463">
            <w:pPr>
              <w:pStyle w:val="TableParagraph"/>
              <w:numPr>
                <w:ilvl w:val="0"/>
                <w:numId w:val="57"/>
              </w:numPr>
              <w:tabs>
                <w:tab w:val="left" w:pos="463"/>
                <w:tab w:val="left" w:pos="464"/>
              </w:tabs>
              <w:spacing w:before="121"/>
              <w:ind w:right="162"/>
              <w:rPr>
                <w:sz w:val="24"/>
              </w:rPr>
            </w:pPr>
            <w:r>
              <w:rPr>
                <w:sz w:val="24"/>
              </w:rPr>
              <w:t>A receipt issued by the USCIS indicating that an application for issuance of a replacement document in one of the above listed categories has been made and the applicant’s</w:t>
            </w:r>
            <w:r>
              <w:rPr>
                <w:spacing w:val="-14"/>
                <w:sz w:val="24"/>
              </w:rPr>
              <w:t xml:space="preserve"> </w:t>
            </w:r>
            <w:r>
              <w:rPr>
                <w:sz w:val="24"/>
              </w:rPr>
              <w:t>entitlement to the document has been verified;</w:t>
            </w:r>
            <w:r>
              <w:rPr>
                <w:spacing w:val="-6"/>
                <w:sz w:val="24"/>
              </w:rPr>
              <w:t xml:space="preserve"> </w:t>
            </w:r>
            <w:r>
              <w:rPr>
                <w:sz w:val="24"/>
              </w:rPr>
              <w:t>or</w:t>
            </w:r>
          </w:p>
          <w:p w:rsidR="004E13A5" w:rsidRDefault="00681463">
            <w:pPr>
              <w:pStyle w:val="TableParagraph"/>
              <w:numPr>
                <w:ilvl w:val="0"/>
                <w:numId w:val="57"/>
              </w:numPr>
              <w:tabs>
                <w:tab w:val="left" w:pos="463"/>
                <w:tab w:val="left" w:pos="464"/>
              </w:tabs>
              <w:spacing w:before="119"/>
              <w:ind w:right="511"/>
              <w:rPr>
                <w:i/>
                <w:sz w:val="24"/>
              </w:rPr>
            </w:pPr>
            <w:r>
              <w:rPr>
                <w:sz w:val="24"/>
              </w:rPr>
              <w:t xml:space="preserve">Other acceptable evidence. If other documents are determined by the USCIS to constitute acceptable evidence of eligible immigration status, they will be announced by notice published in the </w:t>
            </w:r>
            <w:r>
              <w:rPr>
                <w:i/>
                <w:sz w:val="24"/>
              </w:rPr>
              <w:t>Federal</w:t>
            </w:r>
            <w:r>
              <w:rPr>
                <w:i/>
                <w:spacing w:val="-7"/>
                <w:sz w:val="24"/>
              </w:rPr>
              <w:t xml:space="preserve"> </w:t>
            </w:r>
            <w:r>
              <w:rPr>
                <w:i/>
                <w:sz w:val="24"/>
              </w:rPr>
              <w:t>Register</w:t>
            </w:r>
          </w:p>
        </w:tc>
      </w:tr>
    </w:tbl>
    <w:p w:rsidR="004E13A5" w:rsidRDefault="004E13A5">
      <w:pPr>
        <w:rPr>
          <w:sz w:val="24"/>
        </w:rPr>
        <w:sectPr w:rsidR="004E13A5">
          <w:pgSz w:w="12240" w:h="15840"/>
          <w:pgMar w:top="1080" w:right="1340" w:bottom="1180" w:left="1100" w:header="0" w:footer="998" w:gutter="0"/>
          <w:cols w:space="720"/>
        </w:sectPr>
      </w:pPr>
    </w:p>
    <w:p w:rsidR="004E13A5" w:rsidRDefault="00681463">
      <w:pPr>
        <w:pStyle w:val="Heading4"/>
        <w:spacing w:before="79"/>
        <w:ind w:left="1164" w:right="1108"/>
        <w:jc w:val="center"/>
      </w:pPr>
      <w:r>
        <w:lastRenderedPageBreak/>
        <w:t>Chapter 8</w:t>
      </w:r>
    </w:p>
    <w:p w:rsidR="004E13A5" w:rsidRDefault="004E13A5">
      <w:pPr>
        <w:pStyle w:val="BodyText"/>
        <w:spacing w:before="10"/>
        <w:ind w:left="0"/>
        <w:rPr>
          <w:b/>
          <w:sz w:val="20"/>
        </w:rPr>
      </w:pPr>
    </w:p>
    <w:p w:rsidR="004E13A5" w:rsidRDefault="00681463">
      <w:pPr>
        <w:ind w:left="1168" w:right="1108"/>
        <w:jc w:val="center"/>
        <w:rPr>
          <w:b/>
          <w:sz w:val="24"/>
        </w:rPr>
      </w:pPr>
      <w:r>
        <w:rPr>
          <w:b/>
          <w:sz w:val="24"/>
        </w:rPr>
        <w:t>HOUSING QUALITY STANDARDS AND RENT REASONABLENESS DETERMINATIONS</w:t>
      </w:r>
    </w:p>
    <w:p w:rsidR="004E13A5" w:rsidRDefault="00681463">
      <w:pPr>
        <w:pStyle w:val="BodyText"/>
        <w:spacing w:before="0"/>
        <w:ind w:left="1168" w:right="1108"/>
        <w:jc w:val="center"/>
      </w:pPr>
      <w:r>
        <w:t>[24 CFR 982 Subpart I and 24 CFR 982.507]</w:t>
      </w:r>
    </w:p>
    <w:p w:rsidR="004E13A5" w:rsidRDefault="004E13A5">
      <w:pPr>
        <w:pStyle w:val="BodyText"/>
        <w:spacing w:before="1"/>
        <w:ind w:left="0"/>
        <w:rPr>
          <w:sz w:val="13"/>
        </w:rPr>
      </w:pPr>
    </w:p>
    <w:p w:rsidR="004E13A5" w:rsidRDefault="00681463">
      <w:pPr>
        <w:pStyle w:val="Heading4"/>
        <w:spacing w:before="90"/>
      </w:pPr>
      <w:r>
        <w:t>INTRODUCTION</w:t>
      </w:r>
    </w:p>
    <w:p w:rsidR="004E13A5" w:rsidRDefault="00681463">
      <w:pPr>
        <w:pStyle w:val="BodyText"/>
        <w:spacing w:before="120"/>
        <w:ind w:right="286"/>
      </w:pPr>
      <w:r>
        <w:t>HUD requires that all units occupied by families receiving Housing Choice Voucher (HCV) assistance meet HUD's Housing Quality Standards (</w:t>
      </w:r>
      <w:r w:rsidR="002C4221">
        <w:t>NSPIRE</w:t>
      </w:r>
      <w:r>
        <w:t>) and permits the PHA to establish additional requirements. The use of the term "</w:t>
      </w:r>
      <w:r w:rsidR="002C4221">
        <w:t>NSPIRE</w:t>
      </w:r>
      <w:r>
        <w:t>" in this plan refers to the combination of both HUD and PHA-established requirements.</w:t>
      </w:r>
    </w:p>
    <w:p w:rsidR="004E13A5" w:rsidRDefault="00681463">
      <w:pPr>
        <w:pStyle w:val="BodyText"/>
        <w:spacing w:before="120"/>
        <w:ind w:right="375"/>
      </w:pPr>
      <w:r>
        <w:t xml:space="preserve">All units must pass an </w:t>
      </w:r>
      <w:r w:rsidR="002C4221">
        <w:t>NSPIRE</w:t>
      </w:r>
      <w:r>
        <w:t xml:space="preserve"> inspection prior to the approval of a lease and at least once every 24 months during the term of the contract, and at other times as needed, to determine that the unit meets </w:t>
      </w:r>
      <w:r w:rsidR="002C4221">
        <w:t>NSPIRE</w:t>
      </w:r>
      <w:r>
        <w:t>.</w:t>
      </w:r>
    </w:p>
    <w:p w:rsidR="004E13A5" w:rsidRDefault="00681463">
      <w:pPr>
        <w:pStyle w:val="BodyText"/>
        <w:spacing w:before="120"/>
      </w:pPr>
      <w:r>
        <w:t>HUD also requires PHAs to determine that rents for units under the program are reasonable when compared to comparable unassisted units in the market area.</w:t>
      </w:r>
    </w:p>
    <w:p w:rsidR="004E13A5" w:rsidRDefault="00681463">
      <w:pPr>
        <w:pStyle w:val="BodyText"/>
        <w:spacing w:before="120"/>
      </w:pPr>
      <w:r>
        <w:t>This chapter explains HUD and PHA requirements related to housing quality and rent reasonableness as follows:</w:t>
      </w:r>
    </w:p>
    <w:p w:rsidR="004E13A5" w:rsidRDefault="00681463">
      <w:pPr>
        <w:pStyle w:val="BodyText"/>
        <w:spacing w:before="120"/>
        <w:ind w:left="820" w:right="366"/>
      </w:pPr>
      <w:r>
        <w:rPr>
          <w:u w:val="single"/>
        </w:rPr>
        <w:t>Part I. Physical Standards</w:t>
      </w:r>
      <w:r>
        <w:t>. This part discusses the physical standards required of units occupied by HCV-assisted families and identifies decisions about the acceptability of the unit that may be made by the family based upon the family's preference. It also identifies life-threatening conditions that must be addressed on an expedited basis.</w:t>
      </w:r>
    </w:p>
    <w:p w:rsidR="004E13A5" w:rsidRDefault="00681463">
      <w:pPr>
        <w:pStyle w:val="BodyText"/>
        <w:spacing w:before="120"/>
        <w:ind w:left="820" w:right="368"/>
      </w:pPr>
      <w:r>
        <w:rPr>
          <w:u w:val="single"/>
        </w:rPr>
        <w:t>Part II. The Inspection Process</w:t>
      </w:r>
      <w:r>
        <w:t xml:space="preserve">. This part describes the types of inspections the PHA will make and the steps that will be taken when units do not meet </w:t>
      </w:r>
      <w:r w:rsidR="002C4221">
        <w:t>NSPIRE</w:t>
      </w:r>
      <w:r>
        <w:t>.</w:t>
      </w:r>
    </w:p>
    <w:p w:rsidR="004E13A5" w:rsidRDefault="00681463">
      <w:pPr>
        <w:pStyle w:val="BodyText"/>
        <w:spacing w:before="120"/>
        <w:ind w:left="820" w:right="101"/>
      </w:pPr>
      <w:r>
        <w:rPr>
          <w:u w:val="single"/>
        </w:rPr>
        <w:t>Part III. Rent Reasonableness Determinations</w:t>
      </w:r>
      <w:r>
        <w:t>. This part discusses the policies the PHA will use to make rent reasonableness determinations.</w:t>
      </w:r>
    </w:p>
    <w:p w:rsidR="004E13A5" w:rsidRDefault="00681463">
      <w:pPr>
        <w:pStyle w:val="BodyText"/>
        <w:ind w:right="435"/>
      </w:pPr>
      <w:r>
        <w:t xml:space="preserve">Special </w:t>
      </w:r>
      <w:r w:rsidR="002C4221">
        <w:t>NSPIRE</w:t>
      </w:r>
      <w:r>
        <w:t xml:space="preserve"> requirements for homeownership, manufactured homes, and other special housing types are discussed in Chapter 15 to the extent that they apply in this jurisdiction.</w:t>
      </w:r>
    </w:p>
    <w:p w:rsidR="0023253F" w:rsidRDefault="00681463" w:rsidP="00BF2931">
      <w:pPr>
        <w:pStyle w:val="Heading4"/>
        <w:spacing w:before="5" w:line="510" w:lineRule="atLeast"/>
        <w:ind w:right="2983"/>
      </w:pPr>
      <w:r>
        <w:t xml:space="preserve">PART I: </w:t>
      </w:r>
      <w:r w:rsidR="0023253F">
        <w:rPr>
          <w:b w:val="0"/>
        </w:rPr>
        <w:t>NSPIRE</w:t>
      </w:r>
      <w:r w:rsidR="0023253F" w:rsidRPr="003F3448">
        <w:rPr>
          <w:b w:val="0"/>
        </w:rPr>
        <w:t xml:space="preserve"> STANDARDS</w:t>
      </w:r>
      <w:r w:rsidR="0023253F" w:rsidDel="0023253F">
        <w:t xml:space="preserve"> </w:t>
      </w:r>
    </w:p>
    <w:p w:rsidR="0023253F" w:rsidRPr="003F3448" w:rsidRDefault="0023253F" w:rsidP="0023253F">
      <w:pPr>
        <w:spacing w:before="240"/>
      </w:pPr>
      <w:r>
        <w:rPr>
          <w:b/>
        </w:rPr>
        <w:t xml:space="preserve">8-I.A. INSPECTABLE AREAS </w:t>
      </w:r>
      <w:r>
        <w:rPr>
          <w:b/>
          <w:bCs/>
        </w:rPr>
        <w:t>[24 CFR 5.703(a)(1) and 24 CFR 5.705(a)(2)]</w:t>
      </w:r>
    </w:p>
    <w:p w:rsidR="004E13A5" w:rsidRDefault="00681463">
      <w:pPr>
        <w:spacing w:before="119"/>
        <w:ind w:left="100"/>
        <w:rPr>
          <w:b/>
          <w:sz w:val="24"/>
        </w:rPr>
      </w:pPr>
      <w:r>
        <w:rPr>
          <w:b/>
          <w:sz w:val="24"/>
        </w:rPr>
        <w:t>HUD Performance and Acceptability Standards</w:t>
      </w:r>
    </w:p>
    <w:p w:rsidR="004E13A5" w:rsidRDefault="00681463">
      <w:pPr>
        <w:pStyle w:val="BodyText"/>
      </w:pPr>
      <w:r>
        <w:t>HUD's performance and acceptability standards for HCV-assisted housing are provided in 24 CFR</w:t>
      </w:r>
    </w:p>
    <w:p w:rsidR="004E13A5" w:rsidRDefault="00681463">
      <w:pPr>
        <w:pStyle w:val="BodyText"/>
        <w:spacing w:before="0"/>
      </w:pPr>
      <w:r>
        <w:t>982.401. These standards cover the following areas:</w:t>
      </w:r>
    </w:p>
    <w:p w:rsidR="004E13A5" w:rsidRDefault="00681463">
      <w:pPr>
        <w:pStyle w:val="BodyText"/>
        <w:tabs>
          <w:tab w:val="left" w:pos="460"/>
        </w:tabs>
        <w:spacing w:before="121"/>
      </w:pPr>
      <w:r>
        <w:rPr>
          <w:rFonts w:ascii="Symbol" w:hAnsi="Symbol"/>
          <w:sz w:val="20"/>
        </w:rPr>
        <w:t></w:t>
      </w:r>
      <w:r>
        <w:rPr>
          <w:sz w:val="20"/>
        </w:rPr>
        <w:tab/>
      </w:r>
      <w:r>
        <w:t>Sanitary</w:t>
      </w:r>
      <w:r>
        <w:rPr>
          <w:spacing w:val="-8"/>
        </w:rPr>
        <w:t xml:space="preserve"> </w:t>
      </w:r>
      <w:r>
        <w:t>facilities</w:t>
      </w:r>
    </w:p>
    <w:p w:rsidR="004E13A5" w:rsidRDefault="00681463">
      <w:pPr>
        <w:pStyle w:val="BodyText"/>
        <w:tabs>
          <w:tab w:val="left" w:pos="460"/>
        </w:tabs>
        <w:spacing w:before="120"/>
      </w:pPr>
      <w:r>
        <w:rPr>
          <w:rFonts w:ascii="Symbol" w:hAnsi="Symbol"/>
          <w:sz w:val="20"/>
        </w:rPr>
        <w:t></w:t>
      </w:r>
      <w:r>
        <w:rPr>
          <w:sz w:val="20"/>
        </w:rPr>
        <w:tab/>
      </w:r>
      <w:r>
        <w:t>Food preparation and refuse</w:t>
      </w:r>
      <w:r>
        <w:rPr>
          <w:spacing w:val="-8"/>
        </w:rPr>
        <w:t xml:space="preserve"> </w:t>
      </w:r>
      <w:r>
        <w:t>disposal</w:t>
      </w:r>
    </w:p>
    <w:p w:rsidR="004E13A5" w:rsidRDefault="00681463">
      <w:pPr>
        <w:pStyle w:val="BodyText"/>
        <w:tabs>
          <w:tab w:val="left" w:pos="460"/>
        </w:tabs>
        <w:spacing w:before="120"/>
      </w:pPr>
      <w:r>
        <w:rPr>
          <w:rFonts w:ascii="Symbol" w:hAnsi="Symbol"/>
          <w:sz w:val="20"/>
        </w:rPr>
        <w:t></w:t>
      </w:r>
      <w:r>
        <w:rPr>
          <w:sz w:val="20"/>
        </w:rPr>
        <w:tab/>
      </w:r>
      <w:r>
        <w:t>Space and</w:t>
      </w:r>
      <w:r>
        <w:rPr>
          <w:spacing w:val="-3"/>
        </w:rPr>
        <w:t xml:space="preserve"> </w:t>
      </w:r>
      <w:r>
        <w:t>Security</w:t>
      </w:r>
    </w:p>
    <w:p w:rsidR="004E13A5" w:rsidRDefault="00681463">
      <w:pPr>
        <w:pStyle w:val="BodyText"/>
        <w:tabs>
          <w:tab w:val="left" w:pos="460"/>
        </w:tabs>
        <w:spacing w:before="120"/>
      </w:pPr>
      <w:r>
        <w:rPr>
          <w:rFonts w:ascii="Symbol" w:hAnsi="Symbol"/>
          <w:sz w:val="20"/>
        </w:rPr>
        <w:t></w:t>
      </w:r>
      <w:r>
        <w:rPr>
          <w:sz w:val="20"/>
        </w:rPr>
        <w:tab/>
      </w:r>
      <w:r>
        <w:t>Thermal</w:t>
      </w:r>
      <w:r>
        <w:rPr>
          <w:spacing w:val="-6"/>
        </w:rPr>
        <w:t xml:space="preserve"> </w:t>
      </w:r>
      <w:r>
        <w:t>Environment</w:t>
      </w:r>
    </w:p>
    <w:p w:rsidR="004E13A5" w:rsidRDefault="00681463">
      <w:pPr>
        <w:pStyle w:val="BodyText"/>
        <w:tabs>
          <w:tab w:val="left" w:pos="460"/>
        </w:tabs>
        <w:spacing w:before="120"/>
      </w:pPr>
      <w:r>
        <w:rPr>
          <w:rFonts w:ascii="Symbol" w:hAnsi="Symbol"/>
          <w:sz w:val="20"/>
        </w:rPr>
        <w:t></w:t>
      </w:r>
      <w:r>
        <w:rPr>
          <w:sz w:val="20"/>
        </w:rPr>
        <w:tab/>
      </w:r>
      <w:r>
        <w:t>Illumination and</w:t>
      </w:r>
      <w:r>
        <w:rPr>
          <w:spacing w:val="-4"/>
        </w:rPr>
        <w:t xml:space="preserve"> </w:t>
      </w:r>
      <w:r>
        <w:t>electricity</w:t>
      </w:r>
    </w:p>
    <w:p w:rsidR="004E13A5" w:rsidRDefault="00681463">
      <w:pPr>
        <w:pStyle w:val="BodyText"/>
        <w:tabs>
          <w:tab w:val="left" w:pos="460"/>
        </w:tabs>
        <w:spacing w:before="120"/>
      </w:pPr>
      <w:r>
        <w:rPr>
          <w:rFonts w:ascii="Symbol" w:hAnsi="Symbol"/>
          <w:sz w:val="20"/>
        </w:rPr>
        <w:t></w:t>
      </w:r>
      <w:r>
        <w:rPr>
          <w:sz w:val="20"/>
        </w:rPr>
        <w:tab/>
      </w:r>
      <w:r>
        <w:t>Structure and</w:t>
      </w:r>
      <w:r>
        <w:rPr>
          <w:spacing w:val="-7"/>
        </w:rPr>
        <w:t xml:space="preserve"> </w:t>
      </w:r>
      <w:r>
        <w:t>materials</w:t>
      </w:r>
    </w:p>
    <w:p w:rsidR="004E13A5" w:rsidRDefault="004E13A5">
      <w:pPr>
        <w:sectPr w:rsidR="004E13A5">
          <w:pgSz w:w="12240" w:h="15840"/>
          <w:pgMar w:top="1120" w:right="1280" w:bottom="1180" w:left="1220" w:header="0" w:footer="998" w:gutter="0"/>
          <w:cols w:space="720"/>
        </w:sectPr>
      </w:pPr>
    </w:p>
    <w:p w:rsidR="004E13A5" w:rsidRDefault="00681463">
      <w:pPr>
        <w:pStyle w:val="BodyText"/>
        <w:tabs>
          <w:tab w:val="left" w:pos="460"/>
        </w:tabs>
        <w:spacing w:before="79"/>
      </w:pPr>
      <w:r>
        <w:rPr>
          <w:rFonts w:ascii="Symbol" w:hAnsi="Symbol"/>
          <w:sz w:val="20"/>
        </w:rPr>
        <w:lastRenderedPageBreak/>
        <w:t></w:t>
      </w:r>
      <w:r>
        <w:rPr>
          <w:sz w:val="20"/>
        </w:rPr>
        <w:tab/>
      </w:r>
      <w:r>
        <w:t>Interior Air</w:t>
      </w:r>
      <w:r>
        <w:rPr>
          <w:spacing w:val="-4"/>
        </w:rPr>
        <w:t xml:space="preserve"> </w:t>
      </w:r>
      <w:r>
        <w:t>Quality</w:t>
      </w:r>
    </w:p>
    <w:p w:rsidR="004E13A5" w:rsidRDefault="00681463">
      <w:pPr>
        <w:pStyle w:val="BodyText"/>
        <w:tabs>
          <w:tab w:val="left" w:pos="460"/>
        </w:tabs>
        <w:spacing w:before="120"/>
      </w:pPr>
      <w:r>
        <w:rPr>
          <w:rFonts w:ascii="Symbol" w:hAnsi="Symbol"/>
          <w:sz w:val="20"/>
        </w:rPr>
        <w:t></w:t>
      </w:r>
      <w:r>
        <w:rPr>
          <w:sz w:val="20"/>
        </w:rPr>
        <w:tab/>
      </w:r>
      <w:r>
        <w:t>Water</w:t>
      </w:r>
      <w:r>
        <w:rPr>
          <w:spacing w:val="-1"/>
        </w:rPr>
        <w:t xml:space="preserve"> </w:t>
      </w:r>
      <w:r>
        <w:t>Supply</w:t>
      </w:r>
    </w:p>
    <w:p w:rsidR="004E13A5" w:rsidRDefault="00681463">
      <w:pPr>
        <w:pStyle w:val="BodyText"/>
        <w:tabs>
          <w:tab w:val="left" w:pos="460"/>
        </w:tabs>
      </w:pPr>
      <w:r>
        <w:rPr>
          <w:rFonts w:ascii="Symbol" w:hAnsi="Symbol"/>
          <w:sz w:val="20"/>
        </w:rPr>
        <w:t></w:t>
      </w:r>
      <w:r>
        <w:rPr>
          <w:sz w:val="20"/>
        </w:rPr>
        <w:tab/>
      </w:r>
      <w:r>
        <w:t>Lead-based</w:t>
      </w:r>
      <w:r>
        <w:rPr>
          <w:spacing w:val="-5"/>
        </w:rPr>
        <w:t xml:space="preserve"> </w:t>
      </w:r>
      <w:r>
        <w:t>paint</w:t>
      </w:r>
    </w:p>
    <w:p w:rsidR="004E13A5" w:rsidRDefault="00681463">
      <w:pPr>
        <w:tabs>
          <w:tab w:val="left" w:pos="460"/>
        </w:tabs>
        <w:spacing w:before="119"/>
        <w:ind w:left="100"/>
        <w:rPr>
          <w:sz w:val="24"/>
        </w:rPr>
      </w:pPr>
      <w:r>
        <w:rPr>
          <w:rFonts w:ascii="Symbol" w:hAnsi="Symbol"/>
          <w:sz w:val="20"/>
        </w:rPr>
        <w:t></w:t>
      </w:r>
      <w:r>
        <w:rPr>
          <w:sz w:val="20"/>
        </w:rPr>
        <w:tab/>
      </w:r>
      <w:r>
        <w:rPr>
          <w:sz w:val="24"/>
        </w:rPr>
        <w:t>Access</w:t>
      </w:r>
    </w:p>
    <w:p w:rsidR="004E13A5" w:rsidRDefault="00681463">
      <w:pPr>
        <w:pStyle w:val="BodyText"/>
        <w:tabs>
          <w:tab w:val="left" w:pos="460"/>
        </w:tabs>
      </w:pPr>
      <w:r>
        <w:rPr>
          <w:rFonts w:ascii="Symbol" w:hAnsi="Symbol"/>
          <w:sz w:val="20"/>
        </w:rPr>
        <w:t></w:t>
      </w:r>
      <w:r>
        <w:rPr>
          <w:sz w:val="20"/>
        </w:rPr>
        <w:tab/>
      </w:r>
      <w:r>
        <w:t>Site and</w:t>
      </w:r>
      <w:r>
        <w:rPr>
          <w:spacing w:val="-6"/>
        </w:rPr>
        <w:t xml:space="preserve"> </w:t>
      </w:r>
      <w:r>
        <w:t>neighborhood</w:t>
      </w:r>
    </w:p>
    <w:p w:rsidR="004E13A5" w:rsidRDefault="00681463">
      <w:pPr>
        <w:pStyle w:val="BodyText"/>
        <w:tabs>
          <w:tab w:val="left" w:pos="460"/>
        </w:tabs>
      </w:pPr>
      <w:r>
        <w:rPr>
          <w:rFonts w:ascii="Symbol" w:hAnsi="Symbol"/>
          <w:sz w:val="20"/>
        </w:rPr>
        <w:t></w:t>
      </w:r>
      <w:r>
        <w:rPr>
          <w:sz w:val="20"/>
        </w:rPr>
        <w:tab/>
      </w:r>
      <w:r>
        <w:t>Sanitary</w:t>
      </w:r>
      <w:r>
        <w:rPr>
          <w:spacing w:val="-5"/>
        </w:rPr>
        <w:t xml:space="preserve"> </w:t>
      </w:r>
      <w:r>
        <w:t>condition</w:t>
      </w:r>
    </w:p>
    <w:p w:rsidR="004E13A5" w:rsidRDefault="00681463">
      <w:pPr>
        <w:pStyle w:val="BodyText"/>
        <w:tabs>
          <w:tab w:val="left" w:pos="460"/>
        </w:tabs>
      </w:pPr>
      <w:r>
        <w:rPr>
          <w:rFonts w:ascii="Symbol" w:hAnsi="Symbol"/>
          <w:sz w:val="20"/>
        </w:rPr>
        <w:t></w:t>
      </w:r>
      <w:r>
        <w:rPr>
          <w:sz w:val="20"/>
        </w:rPr>
        <w:tab/>
      </w:r>
      <w:r>
        <w:t>Smoke</w:t>
      </w:r>
      <w:r>
        <w:rPr>
          <w:spacing w:val="-6"/>
        </w:rPr>
        <w:t xml:space="preserve"> </w:t>
      </w:r>
      <w:r>
        <w:t>Detectors</w:t>
      </w:r>
    </w:p>
    <w:p w:rsidR="004E13A5" w:rsidRDefault="00681463">
      <w:pPr>
        <w:pStyle w:val="BodyText"/>
        <w:ind w:right="249"/>
      </w:pPr>
      <w:r>
        <w:t>A summary of HUD performance criteria is provided in Exhibit 8-1. Additional guidance on these requirements is found in the following HUD resources:</w:t>
      </w:r>
    </w:p>
    <w:p w:rsidR="004E13A5" w:rsidRDefault="00681463">
      <w:pPr>
        <w:pStyle w:val="BodyText"/>
        <w:tabs>
          <w:tab w:val="left" w:pos="460"/>
        </w:tabs>
      </w:pPr>
      <w:r>
        <w:rPr>
          <w:rFonts w:ascii="Symbol" w:hAnsi="Symbol"/>
          <w:sz w:val="20"/>
        </w:rPr>
        <w:t></w:t>
      </w:r>
      <w:r>
        <w:rPr>
          <w:sz w:val="20"/>
        </w:rPr>
        <w:tab/>
      </w:r>
      <w:r>
        <w:t>Housing Choice Voucher Guidebook, Chapter</w:t>
      </w:r>
      <w:r>
        <w:rPr>
          <w:spacing w:val="-7"/>
        </w:rPr>
        <w:t xml:space="preserve"> </w:t>
      </w:r>
      <w:r>
        <w:t>10.</w:t>
      </w:r>
    </w:p>
    <w:p w:rsidR="004E13A5" w:rsidRDefault="00681463">
      <w:pPr>
        <w:pStyle w:val="BodyText"/>
        <w:tabs>
          <w:tab w:val="left" w:pos="460"/>
        </w:tabs>
        <w:spacing w:before="120"/>
      </w:pPr>
      <w:r>
        <w:rPr>
          <w:rFonts w:ascii="Symbol" w:hAnsi="Symbol"/>
          <w:sz w:val="20"/>
        </w:rPr>
        <w:t></w:t>
      </w:r>
      <w:r>
        <w:rPr>
          <w:sz w:val="20"/>
        </w:rPr>
        <w:tab/>
      </w:r>
      <w:r>
        <w:t>HUD Housing Inspection Manual for Section 8</w:t>
      </w:r>
      <w:r>
        <w:rPr>
          <w:spacing w:val="-9"/>
        </w:rPr>
        <w:t xml:space="preserve"> </w:t>
      </w:r>
      <w:r>
        <w:t>Housing</w:t>
      </w:r>
    </w:p>
    <w:p w:rsidR="004E13A5" w:rsidRDefault="00681463">
      <w:pPr>
        <w:pStyle w:val="BodyText"/>
        <w:tabs>
          <w:tab w:val="left" w:pos="460"/>
        </w:tabs>
        <w:spacing w:before="120"/>
        <w:ind w:left="460" w:right="153" w:hanging="360"/>
      </w:pPr>
      <w:r>
        <w:rPr>
          <w:rFonts w:ascii="Symbol" w:hAnsi="Symbol"/>
          <w:sz w:val="20"/>
        </w:rPr>
        <w:t></w:t>
      </w:r>
      <w:r>
        <w:rPr>
          <w:sz w:val="20"/>
        </w:rPr>
        <w:tab/>
      </w:r>
      <w:r>
        <w:t>HUD Inspection Form, form HUD-52580 (3/01) and Inspection Checklist,</w:t>
      </w:r>
      <w:r>
        <w:rPr>
          <w:spacing w:val="-12"/>
        </w:rPr>
        <w:t xml:space="preserve"> </w:t>
      </w:r>
      <w:r>
        <w:t>form</w:t>
      </w:r>
      <w:r>
        <w:rPr>
          <w:spacing w:val="-2"/>
        </w:rPr>
        <w:t xml:space="preserve"> </w:t>
      </w:r>
      <w:r>
        <w:t>HUD-52580-A</w:t>
      </w:r>
      <w:r>
        <w:rPr>
          <w:w w:val="99"/>
        </w:rPr>
        <w:t xml:space="preserve"> </w:t>
      </w:r>
      <w:r>
        <w:t>(9/00)</w:t>
      </w:r>
    </w:p>
    <w:p w:rsidR="004E13A5" w:rsidRDefault="00681463">
      <w:pPr>
        <w:pStyle w:val="BodyText"/>
        <w:tabs>
          <w:tab w:val="left" w:pos="460"/>
        </w:tabs>
        <w:spacing w:before="120"/>
        <w:ind w:left="460" w:right="262" w:hanging="360"/>
      </w:pPr>
      <w:r>
        <w:rPr>
          <w:rFonts w:ascii="Symbol" w:hAnsi="Symbol"/>
          <w:sz w:val="20"/>
        </w:rPr>
        <w:t></w:t>
      </w:r>
      <w:r>
        <w:rPr>
          <w:sz w:val="20"/>
        </w:rPr>
        <w:tab/>
      </w:r>
      <w:r>
        <w:t>HUD Notice 2003-31, Accessibility Notice: Section 504 of the Rehabilitation Act of</w:t>
      </w:r>
      <w:r>
        <w:rPr>
          <w:spacing w:val="-14"/>
        </w:rPr>
        <w:t xml:space="preserve"> </w:t>
      </w:r>
      <w:r>
        <w:t>1973;</w:t>
      </w:r>
      <w:r>
        <w:rPr>
          <w:spacing w:val="-1"/>
        </w:rPr>
        <w:t xml:space="preserve"> </w:t>
      </w:r>
      <w:r>
        <w:t>the Americans with Disabilities Act of 1990; the Architectural Barriers Act of 1968 and the Fair Housing Act of</w:t>
      </w:r>
      <w:r>
        <w:rPr>
          <w:spacing w:val="-4"/>
        </w:rPr>
        <w:t xml:space="preserve"> </w:t>
      </w:r>
      <w:r>
        <w:t>1988.</w:t>
      </w:r>
    </w:p>
    <w:p w:rsidR="004E13A5" w:rsidRDefault="00681463">
      <w:pPr>
        <w:pStyle w:val="Heading4"/>
        <w:spacing w:before="120"/>
      </w:pPr>
      <w:r>
        <w:t>Tenant Preference Items</w:t>
      </w:r>
    </w:p>
    <w:p w:rsidR="004E13A5" w:rsidRDefault="00681463">
      <w:pPr>
        <w:pStyle w:val="BodyText"/>
        <w:spacing w:before="120"/>
        <w:ind w:right="100"/>
      </w:pPr>
      <w:r>
        <w:t xml:space="preserve">HUD requires the PHA to enforce minimum </w:t>
      </w:r>
      <w:r w:rsidR="002C4221">
        <w:t>NSPIRE</w:t>
      </w:r>
      <w:r>
        <w:t xml:space="preserve"> but also recognizes that certain judgments about the acceptability of the unit are left to the family. For example, the PHA must ensure that the unit contains the required sanitary facilities, but the family decides whether the cosmetic appearance of the facilities is acceptable. Exhibit 8-2 summarizes those items that are considered tenant preferences.</w:t>
      </w:r>
    </w:p>
    <w:p w:rsidR="004E13A5" w:rsidRDefault="00681463">
      <w:pPr>
        <w:pStyle w:val="Heading4"/>
        <w:spacing w:before="120"/>
      </w:pPr>
      <w:r>
        <w:t>Modifications to Provide Accessibility</w:t>
      </w:r>
    </w:p>
    <w:p w:rsidR="004E13A5" w:rsidRDefault="00681463">
      <w:pPr>
        <w:pStyle w:val="BodyText"/>
        <w:spacing w:before="120"/>
        <w:ind w:right="215"/>
      </w:pPr>
      <w:r>
        <w:t>Under the Fair Housing Act of 1988 an owner must not refuse the request of a family that contains a person with a disability to make necessary and reasonable modifications to the unit. Such modifications are at the family's expense. The owner may require restoration of the unit to its original condition if the modification would interfere with the owner or next occupant's full enjoyment of the premises. The owner may not increase a customarily required security deposit.</w:t>
      </w:r>
    </w:p>
    <w:p w:rsidR="004E13A5" w:rsidRDefault="00681463">
      <w:pPr>
        <w:pStyle w:val="BodyText"/>
        <w:spacing w:before="0"/>
      </w:pPr>
      <w:r>
        <w:t>However, the landlord may negotiate a restoration agreement that requires the family to restore the unit and, if necessary to ensure the likelihood of restoration, may require the tenant to pay a reasonable amount into an interest bearing escrow account over a reasonable period of time. The interest in any such account accrues to the benefit of the tenant. The owner may also require reasonable assurances that the quality of the work will be acceptable and that any required building permits will be obtained. [24 CFR 100.203; Notice 2003-31].</w:t>
      </w:r>
    </w:p>
    <w:p w:rsidR="004E13A5" w:rsidRDefault="00681463">
      <w:pPr>
        <w:pStyle w:val="BodyText"/>
        <w:spacing w:before="120"/>
        <w:ind w:right="95"/>
      </w:pPr>
      <w:r>
        <w:t xml:space="preserve">Modifications to units to provide access for a person with a disability must meet all applicable </w:t>
      </w:r>
      <w:r w:rsidR="002C4221">
        <w:t>NSPIRE</w:t>
      </w:r>
      <w:r>
        <w:t xml:space="preserve"> requirements and conform to the design, construction, or alteration of facilities contained in the UFAS and the ADA Accessibility Guidelines (ADAAG) [28 CFR 35.151(c) and Notice 2003-31] See Chapter 2 of this plan for additional information on reasonable accommodations for persons with disabilities.</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403"/>
      </w:pPr>
      <w:r>
        <w:t>Any owner that intends to negotiate a restoration agreement or require an escrow account must submit the agreement(s) to the PHA for review.</w:t>
      </w:r>
    </w:p>
    <w:p w:rsidR="004E13A5" w:rsidRDefault="004E13A5">
      <w:pPr>
        <w:pStyle w:val="BodyText"/>
        <w:spacing w:before="9"/>
        <w:ind w:left="0"/>
        <w:rPr>
          <w:sz w:val="20"/>
        </w:rPr>
      </w:pPr>
    </w:p>
    <w:p w:rsidR="007A723C" w:rsidRDefault="007A723C" w:rsidP="007A723C">
      <w:pPr>
        <w:suppressAutoHyphens/>
        <w:spacing w:before="240"/>
        <w:rPr>
          <w:b/>
          <w:bCs/>
          <w:color w:val="000000"/>
          <w:szCs w:val="20"/>
        </w:rPr>
      </w:pPr>
      <w:r w:rsidRPr="00F26650">
        <w:rPr>
          <w:b/>
          <w:bCs/>
          <w:color w:val="000000"/>
          <w:szCs w:val="20"/>
        </w:rPr>
        <w:t xml:space="preserve">8-I.B. </w:t>
      </w:r>
      <w:bookmarkStart w:id="53" w:name="_Hlk156923522"/>
      <w:r w:rsidRPr="00F26650">
        <w:rPr>
          <w:b/>
          <w:bCs/>
          <w:color w:val="000000"/>
          <w:szCs w:val="20"/>
        </w:rPr>
        <w:t xml:space="preserve">AFFIRMATIVE HABITABILITY REQUIREMENTS </w:t>
      </w:r>
      <w:bookmarkEnd w:id="53"/>
      <w:r w:rsidRPr="00F26650">
        <w:rPr>
          <w:b/>
          <w:bCs/>
          <w:color w:val="000000"/>
          <w:szCs w:val="20"/>
        </w:rPr>
        <w:t>[24 CFR 5.703(b), (c), and</w:t>
      </w:r>
      <w:r>
        <w:rPr>
          <w:b/>
          <w:bCs/>
          <w:color w:val="000000"/>
          <w:szCs w:val="20"/>
        </w:rPr>
        <w:t> </w:t>
      </w:r>
      <w:r w:rsidRPr="00F26650">
        <w:rPr>
          <w:b/>
          <w:bCs/>
          <w:color w:val="000000"/>
          <w:szCs w:val="20"/>
        </w:rPr>
        <w:t>(d)]</w:t>
      </w:r>
    </w:p>
    <w:p w:rsidR="004E13A5" w:rsidRDefault="00681463">
      <w:pPr>
        <w:pStyle w:val="BodyText"/>
        <w:ind w:right="275"/>
      </w:pPr>
      <w:r>
        <w:t xml:space="preserve">The PHA may impose variations to the </w:t>
      </w:r>
      <w:r w:rsidR="002C4221">
        <w:t>NSPIRE</w:t>
      </w:r>
      <w:r>
        <w:t xml:space="preserve"> as long as the additional criteria are not likely to adversely affect the health or safety of participant families or severely restrict housing choices for families. HUD approval is required for variations to the </w:t>
      </w:r>
      <w:r w:rsidR="002C4221">
        <w:t>NSPIRE</w:t>
      </w:r>
      <w:r>
        <w:t>. HUD approval is not required if the variations are clarifications of HUD's acceptability criteria or performance standards [24 CFR 982.401(a)(4)].</w:t>
      </w:r>
    </w:p>
    <w:p w:rsidR="004E13A5" w:rsidRDefault="00681463">
      <w:pPr>
        <w:pStyle w:val="Heading4"/>
        <w:spacing w:before="119"/>
      </w:pPr>
      <w:r>
        <w:t>Thermal Environment [HCV GB p.10-7]</w:t>
      </w:r>
    </w:p>
    <w:p w:rsidR="004E13A5" w:rsidRDefault="00681463">
      <w:pPr>
        <w:pStyle w:val="BodyText"/>
        <w:ind w:right="442"/>
      </w:pPr>
      <w:r>
        <w:t>The PHA must define a “healthy living environment” for the local climate. This may be done by establishing a temperature that the heating system must be capable of maintaining, that is appropriate for the local climate.</w:t>
      </w:r>
    </w:p>
    <w:p w:rsidR="004E13A5" w:rsidRDefault="00681463">
      <w:pPr>
        <w:pStyle w:val="BodyText"/>
        <w:ind w:left="820"/>
      </w:pPr>
      <w:r>
        <w:rPr>
          <w:u w:val="single"/>
        </w:rPr>
        <w:t>PHA Policy</w:t>
      </w:r>
    </w:p>
    <w:p w:rsidR="004E13A5" w:rsidRDefault="00681463">
      <w:pPr>
        <w:pStyle w:val="BodyText"/>
        <w:ind w:left="820"/>
      </w:pPr>
      <w:r>
        <w:t>The heating system must be capable of maintaining an interior temperature of 65 degrees Fahrenheit between October 1 and May 1.</w:t>
      </w:r>
    </w:p>
    <w:p w:rsidR="004E13A5" w:rsidRDefault="00681463">
      <w:pPr>
        <w:pStyle w:val="Heading4"/>
        <w:spacing w:before="119"/>
      </w:pPr>
      <w:r>
        <w:t>Clarifications of HUD Requirements</w:t>
      </w:r>
    </w:p>
    <w:p w:rsidR="004E13A5" w:rsidRDefault="00681463">
      <w:pPr>
        <w:pStyle w:val="BodyText"/>
        <w:ind w:left="820"/>
      </w:pPr>
      <w:r>
        <w:rPr>
          <w:u w:val="single"/>
        </w:rPr>
        <w:t>PHA Policy</w:t>
      </w:r>
    </w:p>
    <w:p w:rsidR="004E13A5" w:rsidRDefault="00681463">
      <w:pPr>
        <w:pStyle w:val="BodyText"/>
        <w:ind w:left="820" w:right="815"/>
      </w:pPr>
      <w:r>
        <w:t>As permitted by HUD, the PHA has adopted the following specific requirements that elaborate on HUD standards.</w:t>
      </w:r>
    </w:p>
    <w:p w:rsidR="004E13A5" w:rsidRDefault="00681463">
      <w:pPr>
        <w:pStyle w:val="Heading5"/>
        <w:ind w:left="1540"/>
      </w:pPr>
      <w:r>
        <w:t>Walls</w:t>
      </w:r>
    </w:p>
    <w:p w:rsidR="004E13A5" w:rsidRDefault="00681463">
      <w:pPr>
        <w:pStyle w:val="BodyText"/>
        <w:spacing w:before="120"/>
        <w:ind w:left="1540" w:right="1042"/>
      </w:pPr>
      <w:r>
        <w:t>In areas where plaster or drywall is sagging, severely cracked, or otherwise damaged, it must be repaired or replaced.</w:t>
      </w:r>
    </w:p>
    <w:p w:rsidR="004E13A5" w:rsidRDefault="00681463">
      <w:pPr>
        <w:pStyle w:val="Heading5"/>
        <w:spacing w:before="120"/>
        <w:ind w:left="1540"/>
      </w:pPr>
      <w:r>
        <w:t>Windows</w:t>
      </w:r>
    </w:p>
    <w:p w:rsidR="004E13A5" w:rsidRDefault="00681463">
      <w:pPr>
        <w:pStyle w:val="BodyText"/>
        <w:spacing w:before="120"/>
        <w:ind w:left="1540" w:right="101"/>
      </w:pPr>
      <w:r>
        <w:t>Window sashes must be in good condition, solid and intact, and properly fitted to the window frame. Damaged or deteriorated sashes must be replaced.</w:t>
      </w:r>
    </w:p>
    <w:p w:rsidR="004E13A5" w:rsidRDefault="00681463">
      <w:pPr>
        <w:pStyle w:val="BodyText"/>
        <w:spacing w:before="120" w:line="343" w:lineRule="auto"/>
        <w:ind w:left="1540" w:right="575"/>
        <w:rPr>
          <w:b/>
          <w:i/>
        </w:rPr>
      </w:pPr>
      <w:r>
        <w:t xml:space="preserve">Windows must be weather-stripped as needed to ensure a weather-tight seal. Window screens must be in good condition (applies only if screens are present). </w:t>
      </w:r>
      <w:r>
        <w:rPr>
          <w:b/>
          <w:i/>
        </w:rPr>
        <w:t>Doors</w:t>
      </w:r>
    </w:p>
    <w:p w:rsidR="004E13A5" w:rsidRDefault="00681463">
      <w:pPr>
        <w:pStyle w:val="BodyText"/>
        <w:spacing w:before="6"/>
        <w:ind w:left="1540" w:right="555"/>
      </w:pPr>
      <w:r>
        <w:t>All exterior doors must be weather-tight to avoid any air or water infiltration, be lockable, have no holes, have all trim intact, and have a threshold.</w:t>
      </w:r>
    </w:p>
    <w:p w:rsidR="004E13A5" w:rsidRDefault="00681463">
      <w:pPr>
        <w:pStyle w:val="BodyText"/>
        <w:spacing w:before="120"/>
        <w:ind w:left="1540" w:right="288"/>
      </w:pPr>
      <w:r>
        <w:t>All interior doors must have no holes, have all trim intact, and be openable without the use of a key.</w:t>
      </w:r>
    </w:p>
    <w:p w:rsidR="004E13A5" w:rsidRDefault="00681463">
      <w:pPr>
        <w:pStyle w:val="Heading5"/>
        <w:ind w:left="1540"/>
      </w:pPr>
      <w:r>
        <w:t>Floors</w:t>
      </w:r>
    </w:p>
    <w:p w:rsidR="004E13A5" w:rsidRDefault="00681463">
      <w:pPr>
        <w:pStyle w:val="BodyText"/>
        <w:ind w:left="1540" w:right="182"/>
      </w:pPr>
      <w:r>
        <w:t>All wood floors must be sanded to a smooth surface and sealed. Any loose or warped boards must be secured and made level. If they cannot be leveled, they must be replaced.</w:t>
      </w:r>
    </w:p>
    <w:p w:rsidR="004E13A5" w:rsidRDefault="004E13A5">
      <w:pPr>
        <w:sectPr w:rsidR="004E13A5">
          <w:pgSz w:w="12240" w:h="15840"/>
          <w:pgMar w:top="1000" w:right="1200" w:bottom="1240" w:left="1220" w:header="0" w:footer="998" w:gutter="0"/>
          <w:cols w:space="720"/>
        </w:sectPr>
      </w:pPr>
    </w:p>
    <w:p w:rsidR="004E13A5" w:rsidRDefault="00681463">
      <w:pPr>
        <w:pStyle w:val="BodyText"/>
        <w:spacing w:before="79"/>
        <w:ind w:left="1540" w:right="921"/>
      </w:pPr>
      <w:r>
        <w:lastRenderedPageBreak/>
        <w:t>All floors must be in a finished state. Raw wood or unsealed concrete is not permitted.</w:t>
      </w:r>
    </w:p>
    <w:p w:rsidR="004E13A5" w:rsidRDefault="00681463">
      <w:pPr>
        <w:pStyle w:val="BodyText"/>
        <w:spacing w:before="120"/>
        <w:ind w:left="1540" w:right="92"/>
      </w:pPr>
      <w:r>
        <w:t>All floors should have some type of base shoe, trim, or sealing for a "finished look." Vinyl base shoe is permitted.</w:t>
      </w:r>
    </w:p>
    <w:p w:rsidR="004E13A5" w:rsidRDefault="00681463">
      <w:pPr>
        <w:pStyle w:val="Heading5"/>
        <w:ind w:left="1540"/>
      </w:pPr>
      <w:r>
        <w:t>Sinks</w:t>
      </w:r>
    </w:p>
    <w:p w:rsidR="004E13A5" w:rsidRDefault="00681463">
      <w:pPr>
        <w:pStyle w:val="BodyText"/>
        <w:ind w:left="1540" w:right="286"/>
      </w:pPr>
      <w:r>
        <w:t>All sinks and commode water lines must have shut off valves, unless faucets are wall mounted.</w:t>
      </w:r>
    </w:p>
    <w:p w:rsidR="004E13A5" w:rsidRDefault="00681463">
      <w:pPr>
        <w:pStyle w:val="BodyText"/>
        <w:ind w:left="1540"/>
      </w:pPr>
      <w:r>
        <w:t>All sinks must have functioning stoppers.</w:t>
      </w:r>
    </w:p>
    <w:p w:rsidR="004E13A5" w:rsidRDefault="00681463">
      <w:pPr>
        <w:pStyle w:val="Heading5"/>
        <w:ind w:left="1540"/>
      </w:pPr>
      <w:r>
        <w:t>Toilets</w:t>
      </w:r>
    </w:p>
    <w:p w:rsidR="004E13A5" w:rsidRDefault="00681463">
      <w:pPr>
        <w:pStyle w:val="BodyText"/>
        <w:ind w:left="1540" w:right="455"/>
      </w:pPr>
      <w:r>
        <w:t>All worn or cracked toilet seats and tank lids must be replaced and toilet tank lid must fit properly.</w:t>
      </w:r>
    </w:p>
    <w:p w:rsidR="004E13A5" w:rsidRDefault="00681463">
      <w:pPr>
        <w:pStyle w:val="Heading5"/>
        <w:spacing w:before="120"/>
        <w:ind w:left="1540"/>
      </w:pPr>
      <w:r>
        <w:t>Security</w:t>
      </w:r>
    </w:p>
    <w:p w:rsidR="004E13A5" w:rsidRDefault="00681463">
      <w:pPr>
        <w:pStyle w:val="BodyText"/>
        <w:spacing w:before="120"/>
        <w:ind w:left="1540" w:right="136"/>
      </w:pPr>
      <w:r>
        <w:t>If window security bars or security screens are present on emergency exit windows, they must be equipped with a quick release system. The owner is responsible for ensuring that the family is instructed on the use of the quick release system.</w:t>
      </w:r>
    </w:p>
    <w:p w:rsidR="004E13A5" w:rsidRDefault="004E13A5">
      <w:pPr>
        <w:pStyle w:val="BodyText"/>
        <w:spacing w:before="9"/>
        <w:ind w:left="0"/>
        <w:rPr>
          <w:sz w:val="20"/>
        </w:rPr>
      </w:pPr>
    </w:p>
    <w:p w:rsidR="004E13A5" w:rsidRDefault="00681463">
      <w:pPr>
        <w:pStyle w:val="Heading4"/>
        <w:spacing w:before="1"/>
      </w:pPr>
      <w:r>
        <w:t xml:space="preserve">8-I.C. </w:t>
      </w:r>
      <w:r w:rsidR="007A723C" w:rsidRPr="003F3448">
        <w:rPr>
          <w:b w:val="0"/>
        </w:rPr>
        <w:t>LIFE</w:t>
      </w:r>
      <w:r w:rsidR="007A723C">
        <w:rPr>
          <w:b w:val="0"/>
        </w:rPr>
        <w:t>-</w:t>
      </w:r>
      <w:r w:rsidR="007A723C" w:rsidRPr="003F3448">
        <w:rPr>
          <w:b w:val="0"/>
        </w:rPr>
        <w:t xml:space="preserve">THREATENING </w:t>
      </w:r>
      <w:r w:rsidR="007A723C">
        <w:rPr>
          <w:b w:val="0"/>
        </w:rPr>
        <w:t>DEFICIENCIES [Notice PIH 2023-28]</w:t>
      </w:r>
    </w:p>
    <w:p w:rsidR="004E13A5" w:rsidRDefault="00681463">
      <w:pPr>
        <w:pStyle w:val="BodyText"/>
        <w:spacing w:before="120"/>
        <w:ind w:right="269"/>
      </w:pPr>
      <w:r>
        <w:t>HUD requires the PHA to define life-threatening conditions and to notify the owner or the family (whichever is responsible) of the corrections required. The responsible party must correct life- threatening conditions within 24 hours of PHA notification.</w:t>
      </w:r>
    </w:p>
    <w:p w:rsidR="004E13A5" w:rsidRDefault="00681463">
      <w:pPr>
        <w:pStyle w:val="BodyText"/>
        <w:spacing w:before="120"/>
        <w:ind w:left="820"/>
      </w:pPr>
      <w:r>
        <w:rPr>
          <w:u w:val="single"/>
        </w:rPr>
        <w:t>PHA Policy</w:t>
      </w:r>
    </w:p>
    <w:p w:rsidR="004E13A5" w:rsidRDefault="00681463">
      <w:pPr>
        <w:pStyle w:val="BodyText"/>
        <w:spacing w:before="120" w:line="345" w:lineRule="auto"/>
        <w:ind w:left="1540" w:right="3021" w:hanging="720"/>
      </w:pPr>
      <w:r>
        <w:t>The following are considered life-threatening conditions: Any condition that jeopardizes the security of the unit</w:t>
      </w:r>
    </w:p>
    <w:p w:rsidR="004E13A5" w:rsidRDefault="00681463">
      <w:pPr>
        <w:pStyle w:val="BodyText"/>
        <w:spacing w:before="3"/>
        <w:ind w:left="1540" w:right="181"/>
      </w:pPr>
      <w:r>
        <w:t>Major plumbing leaks or flooding, waterlogged ceiling or floor in imminent danger of falling</w:t>
      </w:r>
    </w:p>
    <w:p w:rsidR="004E13A5" w:rsidRDefault="00681463">
      <w:pPr>
        <w:pStyle w:val="BodyText"/>
        <w:spacing w:before="120"/>
        <w:ind w:left="1540"/>
      </w:pPr>
      <w:r>
        <w:t>Natural or LP gas or fuel oil leaks</w:t>
      </w:r>
    </w:p>
    <w:p w:rsidR="004E13A5" w:rsidRDefault="00681463">
      <w:pPr>
        <w:pStyle w:val="BodyText"/>
        <w:spacing w:before="120"/>
        <w:ind w:left="2260" w:right="275"/>
      </w:pPr>
      <w:r>
        <w:t>A fuel storage vessel, fluid line, valve, or connection that supplies fuel to a HVAC unit is leaking or a strong odor is detected with potential for explosion or fire or that results in a health risk if inhaled.</w:t>
      </w:r>
    </w:p>
    <w:p w:rsidR="004E13A5" w:rsidRDefault="00681463">
      <w:pPr>
        <w:pStyle w:val="BodyText"/>
        <w:spacing w:before="120"/>
        <w:ind w:left="1540"/>
      </w:pPr>
      <w:r>
        <w:t>Any electrical problem or condition that could result in shock or fire</w:t>
      </w:r>
    </w:p>
    <w:p w:rsidR="004E13A5" w:rsidRDefault="00681463">
      <w:pPr>
        <w:pStyle w:val="BodyText"/>
        <w:spacing w:before="120"/>
        <w:ind w:left="2260" w:right="101"/>
      </w:pPr>
      <w:r>
        <w:t>A lighter fixture is readily accessible, is not securely mounted to the ceiling or wall, and electrical connections or wires are exposed</w:t>
      </w:r>
    </w:p>
    <w:p w:rsidR="004E13A5" w:rsidRDefault="00681463">
      <w:pPr>
        <w:pStyle w:val="BodyText"/>
        <w:spacing w:before="120"/>
        <w:ind w:left="2260"/>
      </w:pPr>
      <w:r>
        <w:t>A light fixture is hanging by its wires</w:t>
      </w:r>
    </w:p>
    <w:p w:rsidR="004E13A5" w:rsidRDefault="00681463">
      <w:pPr>
        <w:pStyle w:val="BodyText"/>
        <w:ind w:left="2260" w:right="294"/>
      </w:pPr>
      <w:r>
        <w:t>A light fixture has a missing or broken bulb, and the open socket is readily accessible to the tenant during day-to-day use of the unit</w:t>
      </w:r>
    </w:p>
    <w:p w:rsidR="004E13A5" w:rsidRDefault="00681463">
      <w:pPr>
        <w:pStyle w:val="BodyText"/>
        <w:ind w:left="2260" w:right="286"/>
      </w:pPr>
      <w:r>
        <w:t>A receptacle (outlet) or switch is missing or broken and electrical connections or wires are exposed</w:t>
      </w:r>
    </w:p>
    <w:p w:rsidR="004E13A5" w:rsidRDefault="004E13A5">
      <w:pPr>
        <w:sectPr w:rsidR="004E13A5">
          <w:pgSz w:w="12240" w:h="15840"/>
          <w:pgMar w:top="1000" w:right="1280" w:bottom="1240" w:left="1220" w:header="0" w:footer="998" w:gutter="0"/>
          <w:cols w:space="720"/>
        </w:sectPr>
      </w:pPr>
    </w:p>
    <w:p w:rsidR="004E13A5" w:rsidRDefault="00681463">
      <w:pPr>
        <w:pStyle w:val="BodyText"/>
        <w:spacing w:before="79"/>
        <w:ind w:left="1760" w:right="89"/>
      </w:pPr>
      <w:r>
        <w:lastRenderedPageBreak/>
        <w:t>An open circuit breaker position is not appropriately blanked off in a panel board, main panel board, or other electrical box that contains circuit breakers or fuses</w:t>
      </w:r>
    </w:p>
    <w:p w:rsidR="004E13A5" w:rsidRDefault="00681463">
      <w:pPr>
        <w:pStyle w:val="BodyText"/>
        <w:spacing w:before="120"/>
        <w:ind w:left="1760" w:right="428"/>
      </w:pPr>
      <w:r>
        <w:t>A cover is missing from any electrical device box, panel box, switch gear box, control panel, etc., and there are exposed electrical connections</w:t>
      </w:r>
    </w:p>
    <w:p w:rsidR="004E13A5" w:rsidRDefault="00681463">
      <w:pPr>
        <w:pStyle w:val="BodyText"/>
        <w:spacing w:before="120"/>
        <w:ind w:left="1760" w:right="414"/>
      </w:pPr>
      <w:r>
        <w:t>Any nicks, abrasions, or fraying of the insulation that exposes conducting wire</w:t>
      </w:r>
    </w:p>
    <w:p w:rsidR="004E13A5" w:rsidRDefault="00681463">
      <w:pPr>
        <w:pStyle w:val="BodyText"/>
        <w:spacing w:before="120"/>
        <w:ind w:left="1760"/>
      </w:pPr>
      <w:r>
        <w:t>Exposed bare wires or electrical connections</w:t>
      </w:r>
    </w:p>
    <w:p w:rsidR="004E13A5" w:rsidRDefault="00681463">
      <w:pPr>
        <w:pStyle w:val="BodyText"/>
        <w:spacing w:before="120"/>
        <w:ind w:left="1760" w:right="428"/>
      </w:pPr>
      <w:r>
        <w:t>Any condition that results in openings in electrical panels or electrical control device enclosures</w:t>
      </w:r>
    </w:p>
    <w:p w:rsidR="004E13A5" w:rsidRDefault="00681463">
      <w:pPr>
        <w:pStyle w:val="BodyText"/>
        <w:spacing w:before="120"/>
        <w:ind w:left="1760"/>
      </w:pPr>
      <w:r>
        <w:t>Water leaking or ponding near any electrical device</w:t>
      </w:r>
    </w:p>
    <w:p w:rsidR="004E13A5" w:rsidRDefault="00681463">
      <w:pPr>
        <w:pStyle w:val="BodyText"/>
        <w:spacing w:before="120"/>
        <w:ind w:left="1760" w:right="89"/>
      </w:pPr>
      <w:r>
        <w:t>Any condition that poses a serious risk of electrocution or fire and poses an immediate life-threatening condition</w:t>
      </w:r>
    </w:p>
    <w:p w:rsidR="004E13A5" w:rsidRDefault="00681463">
      <w:pPr>
        <w:pStyle w:val="BodyText"/>
        <w:spacing w:before="120"/>
        <w:ind w:left="1040" w:right="95"/>
      </w:pPr>
      <w:r>
        <w:t>Absence of a working heating system when outside temperature is below 60 degrees Fahrenheit.</w:t>
      </w:r>
    </w:p>
    <w:p w:rsidR="004E13A5" w:rsidRDefault="00681463">
      <w:pPr>
        <w:pStyle w:val="BodyText"/>
        <w:spacing w:before="120" w:line="343" w:lineRule="auto"/>
        <w:ind w:left="1040" w:right="2687"/>
      </w:pPr>
      <w:r>
        <w:t>Utilities not in service, including no running hot water Conditions that present the imminent possibility of injury Obstacles that prevent safe entrance or exit from the unit</w:t>
      </w:r>
    </w:p>
    <w:p w:rsidR="004E13A5" w:rsidRDefault="00681463">
      <w:pPr>
        <w:pStyle w:val="BodyText"/>
        <w:spacing w:before="5"/>
        <w:ind w:left="1760" w:right="89"/>
      </w:pPr>
      <w:r>
        <w:t>Any components that affect the function of the fire escape are missing or damaged</w:t>
      </w:r>
    </w:p>
    <w:p w:rsidR="004E13A5" w:rsidRDefault="00681463">
      <w:pPr>
        <w:pStyle w:val="BodyText"/>
        <w:ind w:left="1760" w:right="89"/>
      </w:pPr>
      <w:r>
        <w:t>Stored items or other barriers restrict or prevent the use of the fire escape in the event of an emergency</w:t>
      </w:r>
    </w:p>
    <w:p w:rsidR="004E13A5" w:rsidRDefault="00681463">
      <w:pPr>
        <w:pStyle w:val="BodyText"/>
        <w:spacing w:before="120"/>
        <w:ind w:left="1760" w:right="661"/>
      </w:pPr>
      <w:r>
        <w:t>The building’s emergency exit is blocked or impeded, thus limiting the ability of occupants to exit in a fire or other emergency</w:t>
      </w:r>
    </w:p>
    <w:p w:rsidR="004E13A5" w:rsidRDefault="00681463">
      <w:pPr>
        <w:pStyle w:val="BodyText"/>
        <w:spacing w:before="120" w:line="343" w:lineRule="auto"/>
        <w:ind w:left="1040" w:right="4194"/>
      </w:pPr>
      <w:r>
        <w:t>Absence of a functioning toilet in the unit Inoperable or missing smoke detectors</w:t>
      </w:r>
    </w:p>
    <w:p w:rsidR="004E13A5" w:rsidRDefault="00681463">
      <w:pPr>
        <w:pStyle w:val="BodyText"/>
        <w:spacing w:before="5"/>
        <w:ind w:left="1040"/>
      </w:pPr>
      <w:r>
        <w:t>Missing or inoperable carbon monoxide detector</w:t>
      </w:r>
    </w:p>
    <w:p w:rsidR="004E13A5" w:rsidRDefault="00681463">
      <w:pPr>
        <w:pStyle w:val="BodyText"/>
        <w:ind w:left="1040" w:right="89"/>
      </w:pPr>
      <w:r>
        <w:t>Missing, damaged, discharged, overcharged, or expired fire extinguisher (where required)</w:t>
      </w:r>
    </w:p>
    <w:p w:rsidR="004E13A5" w:rsidRDefault="00681463">
      <w:pPr>
        <w:pStyle w:val="BodyText"/>
        <w:ind w:left="1040" w:right="381"/>
      </w:pPr>
      <w:r>
        <w:t>Gas/oil-fired water heater or heating, ventilation, or cooling system with missing, damaged, improper, or misaligned chimney venting</w:t>
      </w:r>
    </w:p>
    <w:p w:rsidR="004E13A5" w:rsidRDefault="00681463">
      <w:pPr>
        <w:pStyle w:val="BodyText"/>
        <w:spacing w:before="120"/>
        <w:ind w:left="1760" w:right="408"/>
        <w:jc w:val="both"/>
      </w:pPr>
      <w:r>
        <w:t>The chimney or venting system on a fuel-fired water heater is misaligned, negatively pitched, or damaged, which may cause improper or dangerous venting or gases</w:t>
      </w:r>
    </w:p>
    <w:p w:rsidR="004E13A5" w:rsidRDefault="00681463">
      <w:pPr>
        <w:pStyle w:val="BodyText"/>
        <w:spacing w:before="120"/>
        <w:ind w:left="1760" w:right="841"/>
      </w:pPr>
      <w:r>
        <w:t>A gas dryer vent is missing, damaged, or is visually determined to be inoperable, or the dryer exhaust is not vented to the outside</w:t>
      </w:r>
    </w:p>
    <w:p w:rsidR="004E13A5" w:rsidRDefault="00681463">
      <w:pPr>
        <w:pStyle w:val="BodyText"/>
        <w:spacing w:before="120"/>
        <w:ind w:left="1760"/>
      </w:pPr>
      <w:r>
        <w:t>A non-vented space heater is present</w:t>
      </w:r>
    </w:p>
    <w:p w:rsidR="004E13A5" w:rsidRDefault="00681463">
      <w:pPr>
        <w:pStyle w:val="BodyText"/>
        <w:spacing w:before="120"/>
        <w:ind w:left="1760"/>
      </w:pPr>
      <w:r>
        <w:t>Safety devices on a fuel-fired space heater are missing or damaged</w:t>
      </w:r>
    </w:p>
    <w:p w:rsidR="004E13A5" w:rsidRDefault="004E13A5">
      <w:pPr>
        <w:sectPr w:rsidR="004E13A5">
          <w:pgSz w:w="12240" w:h="15840"/>
          <w:pgMar w:top="1000" w:right="1260" w:bottom="1240" w:left="1720" w:header="0" w:footer="998" w:gutter="0"/>
          <w:cols w:space="720"/>
        </w:sectPr>
      </w:pPr>
    </w:p>
    <w:p w:rsidR="004E13A5" w:rsidRDefault="00681463">
      <w:pPr>
        <w:pStyle w:val="BodyText"/>
        <w:spacing w:before="79"/>
        <w:ind w:left="2260" w:right="408"/>
      </w:pPr>
      <w:r>
        <w:lastRenderedPageBreak/>
        <w:t>The chimney or venting system on a fuel-fired heating, ventilation, or cooling system is misaligned, negatively pitched, or damaged, which may cause improper or dangerous venting of gas</w:t>
      </w:r>
    </w:p>
    <w:p w:rsidR="004E13A5" w:rsidRDefault="00681463">
      <w:pPr>
        <w:pStyle w:val="BodyText"/>
        <w:spacing w:before="120"/>
        <w:ind w:left="1540" w:right="148"/>
      </w:pPr>
      <w:r>
        <w:t>Deteriorating paint as defined at 24 CFR 35.110 in a unit built before 1978 that is to be occupied by a family with a child under six years of age if it would prevent the family from moving into the unit.</w:t>
      </w:r>
    </w:p>
    <w:p w:rsidR="004E13A5" w:rsidRDefault="00681463">
      <w:pPr>
        <w:pStyle w:val="BodyText"/>
        <w:spacing w:before="120"/>
        <w:ind w:left="820"/>
      </w:pPr>
      <w:r>
        <w:t xml:space="preserve">If an owner fails to correct life-threatening conditions as required by the PHA, the PHA will enforce the </w:t>
      </w:r>
      <w:r w:rsidR="002C4221">
        <w:t>NSPIRE</w:t>
      </w:r>
      <w:r>
        <w:t xml:space="preserve"> in accordance with HUD requirements. See 8-II-G.</w:t>
      </w:r>
    </w:p>
    <w:p w:rsidR="004E13A5" w:rsidRDefault="00681463">
      <w:pPr>
        <w:pStyle w:val="BodyText"/>
        <w:spacing w:before="120"/>
        <w:ind w:left="820" w:right="616"/>
      </w:pPr>
      <w:r>
        <w:t>If a family fails to correct a family-caused life-threatening condition as required by the PHA, the PHA will enforce the family obligations. See 8-II.H.</w:t>
      </w:r>
    </w:p>
    <w:p w:rsidR="004E13A5" w:rsidRDefault="00681463">
      <w:pPr>
        <w:pStyle w:val="BodyText"/>
        <w:spacing w:before="120"/>
        <w:ind w:left="820" w:right="116"/>
      </w:pPr>
      <w:r>
        <w:t>The owner will be required to repair an inoperable smoke detector unless the PHA determines that the family has intentionally disconnected it (by removing batteries or other means). In this case, the family will be required to repair the smoke detector within 24 hours.</w:t>
      </w:r>
    </w:p>
    <w:p w:rsidR="007A723C" w:rsidRPr="004B5A4E" w:rsidRDefault="007A723C" w:rsidP="007A723C">
      <w:pPr>
        <w:spacing w:before="120"/>
        <w:ind w:left="1800"/>
      </w:pPr>
      <w:r w:rsidRPr="00F916FE">
        <w:t>In addition to those listed under the NSPIRE standards, t</w:t>
      </w:r>
      <w:r w:rsidRPr="004B5A4E">
        <w:t>he following are considered life</w:t>
      </w:r>
      <w:r>
        <w:t>-</w:t>
      </w:r>
      <w:r w:rsidRPr="004B5A4E">
        <w:t>threatening conditions:</w:t>
      </w:r>
    </w:p>
    <w:p w:rsidR="007A723C" w:rsidRPr="004B5A4E" w:rsidRDefault="007A723C" w:rsidP="007A723C">
      <w:pPr>
        <w:spacing w:before="120"/>
        <w:ind w:left="2520"/>
      </w:pPr>
      <w:r w:rsidRPr="004B5A4E">
        <w:t>Utilities not in service, including no running hot water</w:t>
      </w:r>
    </w:p>
    <w:p w:rsidR="007A723C" w:rsidRDefault="007A723C">
      <w:pPr>
        <w:pStyle w:val="BodyText"/>
        <w:spacing w:before="120"/>
        <w:ind w:left="820" w:right="116"/>
      </w:pPr>
    </w:p>
    <w:p w:rsidR="007A723C" w:rsidRPr="003F3448" w:rsidRDefault="007A723C" w:rsidP="007A723C">
      <w:pPr>
        <w:spacing w:before="240"/>
      </w:pPr>
      <w:r>
        <w:rPr>
          <w:b/>
        </w:rPr>
        <w:t xml:space="preserve">8-I.D. </w:t>
      </w:r>
      <w:r w:rsidRPr="0007567F">
        <w:rPr>
          <w:b/>
          <w:caps/>
        </w:rPr>
        <w:t>Modifications to Provide Accessibility</w:t>
      </w:r>
      <w:r w:rsidRPr="003F3448">
        <w:rPr>
          <w:b/>
        </w:rPr>
        <w:t xml:space="preserve"> </w:t>
      </w:r>
      <w:bookmarkStart w:id="54" w:name="_Hlk155685643"/>
      <w:r w:rsidRPr="00045075">
        <w:rPr>
          <w:b/>
        </w:rPr>
        <w:t>[24 CFR 100.203; Notice</w:t>
      </w:r>
      <w:r>
        <w:rPr>
          <w:b/>
        </w:rPr>
        <w:t> PIH </w:t>
      </w:r>
      <w:r w:rsidRPr="00045075">
        <w:rPr>
          <w:b/>
        </w:rPr>
        <w:t>200</w:t>
      </w:r>
      <w:r>
        <w:rPr>
          <w:b/>
        </w:rPr>
        <w:t>3-31; and Notice PIH 2014-02</w:t>
      </w:r>
      <w:r w:rsidRPr="00045075">
        <w:rPr>
          <w:b/>
        </w:rPr>
        <w:t>]</w:t>
      </w:r>
      <w:bookmarkEnd w:id="54"/>
    </w:p>
    <w:p w:rsidR="007A723C" w:rsidRPr="003F3448" w:rsidRDefault="007A723C" w:rsidP="007A723C">
      <w:pPr>
        <w:pStyle w:val="HTMLPreformatted"/>
        <w:spacing w:before="120"/>
        <w:rPr>
          <w:rFonts w:ascii="Times New Roman" w:hAnsi="Times New Roman"/>
          <w:sz w:val="24"/>
          <w:szCs w:val="24"/>
        </w:rPr>
      </w:pPr>
      <w:r w:rsidRPr="003F3448">
        <w:rPr>
          <w:rFonts w:ascii="Times New Roman" w:hAnsi="Times New Roman"/>
          <w:sz w:val="24"/>
          <w:szCs w:val="24"/>
        </w:rPr>
        <w:t>This paragraph of the plan highlights requirements of the Fair Housing Act of 1988. It explains that the owner must permit a family that contains a person with a disability to make reasonable modifications to the unit at the family</w:t>
      </w:r>
      <w:r>
        <w:rPr>
          <w:rFonts w:ascii="Times New Roman" w:hAnsi="Times New Roman"/>
          <w:sz w:val="24"/>
          <w:szCs w:val="24"/>
        </w:rPr>
        <w:t>’</w:t>
      </w:r>
      <w:r w:rsidRPr="003F3448">
        <w:rPr>
          <w:rFonts w:ascii="Times New Roman" w:hAnsi="Times New Roman"/>
          <w:sz w:val="24"/>
          <w:szCs w:val="24"/>
        </w:rPr>
        <w:t>s expense</w:t>
      </w:r>
      <w:r>
        <w:rPr>
          <w:rFonts w:ascii="Times New Roman" w:hAnsi="Times New Roman"/>
          <w:sz w:val="24"/>
          <w:szCs w:val="24"/>
        </w:rPr>
        <w:t xml:space="preserve">. </w:t>
      </w:r>
      <w:r w:rsidRPr="003F3448">
        <w:rPr>
          <w:rFonts w:ascii="Times New Roman" w:hAnsi="Times New Roman"/>
          <w:sz w:val="24"/>
          <w:szCs w:val="24"/>
        </w:rPr>
        <w:t>If the owner is going to require an escrow account or otherwise require the family to restore the unit when the family moves out, HUD requires the owner and family to have a restoration agreement that is separate from the security deposit.</w:t>
      </w:r>
    </w:p>
    <w:p w:rsidR="007A723C" w:rsidRDefault="007A723C" w:rsidP="007A723C">
      <w:pPr>
        <w:pStyle w:val="BodyText"/>
        <w:spacing w:before="120"/>
        <w:ind w:left="820"/>
      </w:pPr>
      <w:r>
        <w:rPr>
          <w:u w:val="single"/>
        </w:rPr>
        <w:t>PHA Policy</w:t>
      </w:r>
    </w:p>
    <w:p w:rsidR="007A723C" w:rsidRPr="003F3448" w:rsidRDefault="007A723C" w:rsidP="007A723C">
      <w:pPr>
        <w:spacing w:before="120"/>
        <w:ind w:left="1800"/>
      </w:pPr>
      <w:r w:rsidRPr="003F3448">
        <w:t>Any owner that intends to negotiate a restoration agreement or require an escrow account must submit the agreement(s) to the PHA for review</w:t>
      </w:r>
      <w:r>
        <w:t xml:space="preserve">. </w:t>
      </w:r>
    </w:p>
    <w:p w:rsidR="007A723C" w:rsidRDefault="007A723C">
      <w:pPr>
        <w:pStyle w:val="BodyText"/>
        <w:spacing w:before="120"/>
        <w:ind w:left="820" w:right="116"/>
      </w:pPr>
    </w:p>
    <w:p w:rsidR="007A723C" w:rsidRPr="003F3448" w:rsidRDefault="007A723C" w:rsidP="007A723C">
      <w:pPr>
        <w:spacing w:before="240"/>
        <w:rPr>
          <w:b/>
        </w:rPr>
      </w:pPr>
      <w:r w:rsidRPr="003F3448">
        <w:rPr>
          <w:b/>
        </w:rPr>
        <w:t>8</w:t>
      </w:r>
      <w:r>
        <w:rPr>
          <w:b/>
        </w:rPr>
        <w:t>-</w:t>
      </w:r>
      <w:r w:rsidRPr="003F3448">
        <w:rPr>
          <w:b/>
        </w:rPr>
        <w:t>I.</w:t>
      </w:r>
      <w:r>
        <w:rPr>
          <w:b/>
        </w:rPr>
        <w:t>E</w:t>
      </w:r>
      <w:r w:rsidRPr="003F3448">
        <w:rPr>
          <w:b/>
        </w:rPr>
        <w:t>.</w:t>
      </w:r>
      <w:r>
        <w:rPr>
          <w:b/>
        </w:rPr>
        <w:t xml:space="preserve"> </w:t>
      </w:r>
      <w:r w:rsidRPr="003F3448">
        <w:rPr>
          <w:b/>
        </w:rPr>
        <w:t>ADDITIONAL LOCAL REQUIREMENTS</w:t>
      </w:r>
      <w:r>
        <w:rPr>
          <w:b/>
        </w:rPr>
        <w:t xml:space="preserve"> [24 CFR 5.705(a)(3) and Notice PIH 2023-28]</w:t>
      </w:r>
    </w:p>
    <w:p w:rsidR="007A723C" w:rsidRPr="003F3448" w:rsidRDefault="007A723C" w:rsidP="007A723C">
      <w:pPr>
        <w:adjustRightInd w:val="0"/>
        <w:spacing w:before="120"/>
        <w:rPr>
          <w:b/>
        </w:rPr>
      </w:pPr>
      <w:r w:rsidRPr="00CA70CC">
        <w:t xml:space="preserve">The PHA may impose variations to the </w:t>
      </w:r>
      <w:r>
        <w:t>NSPIRE standards</w:t>
      </w:r>
      <w:r w:rsidRPr="00CA70CC">
        <w:t xml:space="preserve"> as long as the additional criteria are not likely to adversely affect the health or safety of participant families or severely restrict housing choices for families.</w:t>
      </w:r>
    </w:p>
    <w:p w:rsidR="007A723C" w:rsidRDefault="007A723C" w:rsidP="007A723C">
      <w:pPr>
        <w:pStyle w:val="BodyText"/>
        <w:spacing w:before="120"/>
        <w:ind w:left="820"/>
      </w:pPr>
      <w:r>
        <w:rPr>
          <w:u w:val="single"/>
        </w:rPr>
        <w:t>PHA Policy</w:t>
      </w:r>
    </w:p>
    <w:p w:rsidR="007A723C" w:rsidRDefault="007A723C" w:rsidP="007A723C">
      <w:pPr>
        <w:spacing w:before="120"/>
        <w:ind w:left="1800"/>
      </w:pPr>
      <w:r>
        <w:t>The PHA has not requested any HUD-approved variations to NSPIRE standards.</w:t>
      </w:r>
    </w:p>
    <w:p w:rsidR="007A723C" w:rsidRDefault="007A723C">
      <w:pPr>
        <w:pStyle w:val="BodyText"/>
        <w:spacing w:before="120"/>
        <w:ind w:left="820" w:right="116"/>
      </w:pPr>
    </w:p>
    <w:p w:rsidR="004E13A5" w:rsidRDefault="004E13A5">
      <w:pPr>
        <w:pStyle w:val="BodyText"/>
        <w:spacing w:before="9"/>
        <w:ind w:left="0"/>
        <w:rPr>
          <w:sz w:val="20"/>
        </w:rPr>
      </w:pPr>
    </w:p>
    <w:p w:rsidR="004E13A5" w:rsidRDefault="00681463">
      <w:pPr>
        <w:pStyle w:val="Heading4"/>
        <w:spacing w:before="1"/>
      </w:pPr>
      <w:r>
        <w:t>8-I.</w:t>
      </w:r>
      <w:r w:rsidR="007A723C">
        <w:t>F</w:t>
      </w:r>
      <w:r>
        <w:t>. OWNER AND FAMILY RESPONSIBILITIES [24 CFR 982.404]</w:t>
      </w:r>
    </w:p>
    <w:p w:rsidR="004E13A5" w:rsidRDefault="00681463">
      <w:pPr>
        <w:spacing w:before="120"/>
        <w:ind w:left="100"/>
        <w:rPr>
          <w:b/>
          <w:sz w:val="24"/>
        </w:rPr>
      </w:pPr>
      <w:r>
        <w:rPr>
          <w:b/>
          <w:sz w:val="24"/>
        </w:rPr>
        <w:t>Family Responsibilities</w:t>
      </w:r>
    </w:p>
    <w:p w:rsidR="004E13A5" w:rsidRDefault="00681463">
      <w:pPr>
        <w:pStyle w:val="BodyText"/>
        <w:spacing w:before="120"/>
      </w:pPr>
      <w:r>
        <w:t xml:space="preserve">The family is responsible for correcting the following </w:t>
      </w:r>
      <w:r w:rsidR="002C4221">
        <w:t>NSPIRE</w:t>
      </w:r>
      <w:r>
        <w:t xml:space="preserve"> deficiencies:</w:t>
      </w:r>
    </w:p>
    <w:p w:rsidR="004E13A5" w:rsidRDefault="00681463">
      <w:pPr>
        <w:pStyle w:val="BodyText"/>
        <w:tabs>
          <w:tab w:val="left" w:pos="460"/>
        </w:tabs>
        <w:spacing w:before="120"/>
      </w:pPr>
      <w:r>
        <w:rPr>
          <w:rFonts w:ascii="Symbol" w:hAnsi="Symbol"/>
          <w:sz w:val="20"/>
        </w:rPr>
        <w:t></w:t>
      </w:r>
      <w:r>
        <w:rPr>
          <w:sz w:val="20"/>
        </w:rPr>
        <w:tab/>
      </w:r>
      <w:r>
        <w:t>Tenant-paid utilities not in</w:t>
      </w:r>
      <w:r>
        <w:rPr>
          <w:spacing w:val="-9"/>
        </w:rPr>
        <w:t xml:space="preserve"> </w:t>
      </w:r>
      <w:r>
        <w:t>service</w:t>
      </w:r>
    </w:p>
    <w:p w:rsidR="004E13A5" w:rsidRDefault="00681463">
      <w:pPr>
        <w:pStyle w:val="BodyText"/>
        <w:tabs>
          <w:tab w:val="left" w:pos="460"/>
        </w:tabs>
        <w:spacing w:before="120"/>
      </w:pPr>
      <w:r>
        <w:rPr>
          <w:rFonts w:ascii="Symbol" w:hAnsi="Symbol"/>
          <w:sz w:val="20"/>
        </w:rPr>
        <w:lastRenderedPageBreak/>
        <w:t></w:t>
      </w:r>
      <w:r>
        <w:rPr>
          <w:sz w:val="20"/>
        </w:rPr>
        <w:tab/>
      </w:r>
      <w:r>
        <w:t>Failure to provide or maintain appliances owned by the</w:t>
      </w:r>
      <w:r>
        <w:rPr>
          <w:spacing w:val="-9"/>
        </w:rPr>
        <w:t xml:space="preserve"> </w:t>
      </w:r>
      <w:r>
        <w:t>family</w:t>
      </w:r>
    </w:p>
    <w:p w:rsidR="004E13A5" w:rsidRDefault="00681463">
      <w:pPr>
        <w:pStyle w:val="BodyText"/>
        <w:tabs>
          <w:tab w:val="left" w:pos="460"/>
        </w:tabs>
        <w:spacing w:before="120"/>
        <w:ind w:left="460" w:right="292" w:hanging="360"/>
      </w:pPr>
      <w:r>
        <w:rPr>
          <w:rFonts w:ascii="Symbol" w:hAnsi="Symbol"/>
          <w:sz w:val="20"/>
        </w:rPr>
        <w:t></w:t>
      </w:r>
      <w:r>
        <w:rPr>
          <w:sz w:val="20"/>
        </w:rPr>
        <w:tab/>
      </w:r>
      <w:r>
        <w:t>Damage to the unit or premises caused by a household member or guest beyond</w:t>
      </w:r>
      <w:r>
        <w:rPr>
          <w:spacing w:val="-14"/>
        </w:rPr>
        <w:t xml:space="preserve"> </w:t>
      </w:r>
      <w:r>
        <w:t>normal</w:t>
      </w:r>
      <w:r>
        <w:rPr>
          <w:spacing w:val="-1"/>
        </w:rPr>
        <w:t xml:space="preserve"> </w:t>
      </w:r>
      <w:r>
        <w:t xml:space="preserve">wear and tear that results in a breach of the </w:t>
      </w:r>
      <w:r w:rsidR="002C4221">
        <w:t>NSPIRE</w:t>
      </w:r>
      <w:r>
        <w:t>. "Normal wear and tear" is defined as items</w:t>
      </w:r>
      <w:r>
        <w:rPr>
          <w:spacing w:val="-15"/>
        </w:rPr>
        <w:t xml:space="preserve"> </w:t>
      </w:r>
      <w:r>
        <w:t>which could not be charged against the tenant's security deposit under state law or court</w:t>
      </w:r>
      <w:r>
        <w:rPr>
          <w:spacing w:val="-13"/>
        </w:rPr>
        <w:t xml:space="preserve"> </w:t>
      </w:r>
      <w:r>
        <w:t>practice.</w:t>
      </w:r>
    </w:p>
    <w:p w:rsidR="004E13A5" w:rsidRDefault="00681463">
      <w:pPr>
        <w:pStyle w:val="Heading4"/>
        <w:spacing w:before="120"/>
      </w:pPr>
      <w:r>
        <w:t>Owner Responsibilities</w:t>
      </w:r>
    </w:p>
    <w:p w:rsidR="004E13A5" w:rsidRDefault="00681463">
      <w:pPr>
        <w:pStyle w:val="BodyText"/>
        <w:ind w:right="228"/>
      </w:pPr>
      <w:r>
        <w:t xml:space="preserve">The owner is responsible for all </w:t>
      </w:r>
      <w:r w:rsidR="002C4221">
        <w:t>NSPIRE</w:t>
      </w:r>
      <w:r>
        <w:t xml:space="preserve"> violations not listed as a family responsibility above, even if the violation is caused by the family's living habits (e.g., vermin infestation). However, if the family's actions constitute a serious or repeated lease violation the owner may take legal action to evict the family.</w:t>
      </w:r>
    </w:p>
    <w:p w:rsidR="00750AA3" w:rsidRPr="001918C1" w:rsidRDefault="00750AA3" w:rsidP="00750AA3">
      <w:pPr>
        <w:suppressAutoHyphens/>
        <w:spacing w:before="120"/>
        <w:ind w:left="1800"/>
        <w:rPr>
          <w:color w:val="000000"/>
          <w:szCs w:val="20"/>
        </w:rPr>
      </w:pPr>
      <w:r w:rsidRPr="001918C1">
        <w:rPr>
          <w:color w:val="000000"/>
          <w:szCs w:val="20"/>
        </w:rPr>
        <w:t>The owner will be required to repair an inoperable smoke detector unless the PHA determines that the family has intentionally disconnected it (by removing batteries or other means). In this case, the family will be required to repair the smoke detector within 24 hours.</w:t>
      </w:r>
    </w:p>
    <w:p w:rsidR="00750AA3" w:rsidRDefault="00750AA3">
      <w:pPr>
        <w:pStyle w:val="BodyText"/>
        <w:ind w:right="228"/>
      </w:pPr>
      <w:r w:rsidRPr="003F3448">
        <w:rPr>
          <w:b/>
        </w:rPr>
        <w:t>8-I.</w:t>
      </w:r>
      <w:r>
        <w:rPr>
          <w:b/>
        </w:rPr>
        <w:t>G. LEAD-BASED PAINT</w:t>
      </w:r>
    </w:p>
    <w:p w:rsidR="004E13A5" w:rsidRDefault="00681463">
      <w:pPr>
        <w:pStyle w:val="Heading4"/>
        <w:spacing w:before="119"/>
        <w:ind w:right="258"/>
      </w:pPr>
      <w:r>
        <w:t>SPECIAL REQUIREMENTS FOR CHILDREN WITH ELEVATED BLOOD LEAD LEVEL [24 CFR 35.1225; FR Notice 1/13/17; Notice PIH 2017-13]</w:t>
      </w:r>
    </w:p>
    <w:p w:rsidR="004E13A5" w:rsidRDefault="00681463">
      <w:pPr>
        <w:pStyle w:val="BodyText"/>
        <w:ind w:right="116"/>
      </w:pPr>
      <w:r>
        <w:t>If a PHA is notified by a public health department or other medical health care provider, or verifies information from a source other than a public health department or medical health care provider, that a child of less than six years of age, living in an HCV-assisted unit has been identified as having an elevated blood lead level, the PHA must complete an environmental investigation of the dwelling unit within 15 calendar days after being notified by a public health department or other medical health care provider. The environmental investigation must be completed in accordance with program requirements, and the result of the risk assessment must be immediately provided to the owner of the dwelling unit. In cases where the public health department has already completed an evaluation of the unit, this information must be provided to the owner.</w:t>
      </w:r>
    </w:p>
    <w:p w:rsidR="004E13A5" w:rsidRDefault="00681463">
      <w:pPr>
        <w:pStyle w:val="BodyText"/>
        <w:ind w:right="416"/>
      </w:pPr>
      <w:r>
        <w:t>Within 30 days after receiving the environmental investigation report from the PHA, or the evaluation from the public health department, the owner is required to complete the reduction of identified lead-based paint hazards in accordance with the lead-based paint regulations [24 CFR</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right="284"/>
        <w:jc w:val="both"/>
      </w:pPr>
      <w:r>
        <w:lastRenderedPageBreak/>
        <w:t xml:space="preserve">35.1325 and 35.1330; 40 CFR 745.227]. </w:t>
      </w:r>
      <w:r>
        <w:rPr>
          <w:spacing w:val="-3"/>
        </w:rPr>
        <w:t xml:space="preserve">If </w:t>
      </w:r>
      <w:r>
        <w:t xml:space="preserve">the owner does not complete the “hazard reduction” as required, the dwelling unit is in violation of </w:t>
      </w:r>
      <w:r w:rsidR="002C4221">
        <w:t>NSPIRE</w:t>
      </w:r>
      <w:r>
        <w:t xml:space="preserve"> and the PHA will take action in accordance</w:t>
      </w:r>
      <w:r>
        <w:rPr>
          <w:spacing w:val="-17"/>
        </w:rPr>
        <w:t xml:space="preserve"> </w:t>
      </w:r>
      <w:r>
        <w:t>with Section</w:t>
      </w:r>
      <w:r>
        <w:rPr>
          <w:spacing w:val="-6"/>
        </w:rPr>
        <w:t xml:space="preserve"> </w:t>
      </w:r>
      <w:r>
        <w:t>8-II.G.</w:t>
      </w:r>
    </w:p>
    <w:p w:rsidR="004E13A5" w:rsidRDefault="00681463">
      <w:pPr>
        <w:pStyle w:val="BodyText"/>
        <w:spacing w:before="120"/>
        <w:ind w:right="662"/>
      </w:pPr>
      <w:r>
        <w:t>PHA reporting requirements, and data collection and record keeping responsibilities related to children with an elevated blood lead level are discussed in Chapter 16.</w:t>
      </w:r>
    </w:p>
    <w:p w:rsidR="004E13A5" w:rsidRDefault="004E13A5">
      <w:pPr>
        <w:pStyle w:val="BodyText"/>
        <w:spacing w:before="10"/>
        <w:ind w:left="0"/>
        <w:rPr>
          <w:sz w:val="20"/>
        </w:rPr>
      </w:pPr>
    </w:p>
    <w:p w:rsidR="004E13A5" w:rsidRDefault="00681463">
      <w:pPr>
        <w:pStyle w:val="Heading4"/>
      </w:pPr>
      <w:r>
        <w:t>8-I.</w:t>
      </w:r>
      <w:r w:rsidR="00750AA3">
        <w:t>H</w:t>
      </w:r>
      <w:r>
        <w:t xml:space="preserve">. </w:t>
      </w:r>
      <w:r w:rsidR="00750AA3" w:rsidRPr="003F3448">
        <w:rPr>
          <w:b w:val="0"/>
        </w:rPr>
        <w:t xml:space="preserve">VIOLATION OF SPACE STANDARDS [24 CFR </w:t>
      </w:r>
      <w:r w:rsidR="00750AA3">
        <w:rPr>
          <w:b w:val="0"/>
        </w:rPr>
        <w:t>5.703(d)(5)</w:t>
      </w:r>
      <w:r w:rsidR="00750AA3" w:rsidRPr="003F3448">
        <w:rPr>
          <w:b w:val="0"/>
        </w:rPr>
        <w:t>]</w:t>
      </w:r>
    </w:p>
    <w:p w:rsidR="004E13A5" w:rsidRDefault="00681463">
      <w:pPr>
        <w:pStyle w:val="BodyText"/>
        <w:spacing w:before="120"/>
      </w:pPr>
      <w:r>
        <w:t>A dwelling unit must:</w:t>
      </w:r>
    </w:p>
    <w:p w:rsidR="004E13A5" w:rsidRDefault="00681463">
      <w:pPr>
        <w:pStyle w:val="BodyText"/>
        <w:tabs>
          <w:tab w:val="left" w:pos="460"/>
        </w:tabs>
        <w:spacing w:before="120"/>
      </w:pPr>
      <w:r>
        <w:rPr>
          <w:rFonts w:ascii="Symbol" w:hAnsi="Symbol"/>
          <w:sz w:val="20"/>
        </w:rPr>
        <w:t></w:t>
      </w:r>
      <w:r>
        <w:rPr>
          <w:sz w:val="20"/>
        </w:rPr>
        <w:tab/>
      </w:r>
      <w:r>
        <w:t>Provide adequate space and security for the</w:t>
      </w:r>
      <w:r>
        <w:rPr>
          <w:spacing w:val="-8"/>
        </w:rPr>
        <w:t xml:space="preserve"> </w:t>
      </w:r>
      <w:r>
        <w:t>family</w:t>
      </w:r>
    </w:p>
    <w:p w:rsidR="004E13A5" w:rsidRDefault="00681463">
      <w:pPr>
        <w:pStyle w:val="BodyText"/>
        <w:tabs>
          <w:tab w:val="left" w:pos="460"/>
        </w:tabs>
        <w:spacing w:before="120"/>
      </w:pPr>
      <w:r>
        <w:rPr>
          <w:rFonts w:ascii="Symbol" w:hAnsi="Symbol"/>
          <w:sz w:val="20"/>
        </w:rPr>
        <w:t></w:t>
      </w:r>
      <w:r>
        <w:rPr>
          <w:sz w:val="20"/>
        </w:rPr>
        <w:tab/>
      </w:r>
      <w:r>
        <w:t>Have at least one bedroom or living/sleeping room for each two</w:t>
      </w:r>
      <w:r>
        <w:rPr>
          <w:spacing w:val="-11"/>
        </w:rPr>
        <w:t xml:space="preserve"> </w:t>
      </w:r>
      <w:r>
        <w:t>persons</w:t>
      </w:r>
    </w:p>
    <w:p w:rsidR="004E13A5" w:rsidRDefault="00681463">
      <w:pPr>
        <w:pStyle w:val="BodyText"/>
        <w:spacing w:before="120"/>
      </w:pPr>
      <w:r>
        <w:t xml:space="preserve">A unit that does not meet these </w:t>
      </w:r>
      <w:r w:rsidR="002C4221">
        <w:t>NSPIRE</w:t>
      </w:r>
      <w:r>
        <w:t xml:space="preserve"> space standards is defined as </w:t>
      </w:r>
      <w:r>
        <w:rPr>
          <w:i/>
        </w:rPr>
        <w:t>overcrowded</w:t>
      </w:r>
      <w:r>
        <w:t>.</w:t>
      </w:r>
    </w:p>
    <w:p w:rsidR="004E13A5" w:rsidRDefault="00681463">
      <w:pPr>
        <w:pStyle w:val="BodyText"/>
        <w:spacing w:before="120"/>
        <w:ind w:right="102"/>
      </w:pPr>
      <w:r>
        <w:t>A living room may be used as sleeping (bedroom) space, but no more than two persons may occupy the space [HCV GB p. 10-6]. A bedroom or living/sleeping room must have at least:</w:t>
      </w:r>
    </w:p>
    <w:p w:rsidR="004E13A5" w:rsidRDefault="00681463">
      <w:pPr>
        <w:pStyle w:val="BodyText"/>
        <w:tabs>
          <w:tab w:val="left" w:pos="460"/>
        </w:tabs>
        <w:spacing w:before="120"/>
      </w:pPr>
      <w:r>
        <w:rPr>
          <w:rFonts w:ascii="Symbol" w:hAnsi="Symbol"/>
          <w:sz w:val="20"/>
        </w:rPr>
        <w:t></w:t>
      </w:r>
      <w:r>
        <w:rPr>
          <w:sz w:val="20"/>
        </w:rPr>
        <w:tab/>
      </w:r>
      <w:r>
        <w:t>One</w:t>
      </w:r>
      <w:r>
        <w:rPr>
          <w:spacing w:val="-3"/>
        </w:rPr>
        <w:t xml:space="preserve"> </w:t>
      </w:r>
      <w:r>
        <w:t>window</w:t>
      </w:r>
    </w:p>
    <w:p w:rsidR="004E13A5" w:rsidRDefault="00681463">
      <w:pPr>
        <w:pStyle w:val="BodyText"/>
        <w:tabs>
          <w:tab w:val="left" w:pos="460"/>
        </w:tabs>
        <w:spacing w:before="120"/>
        <w:ind w:left="460" w:right="169" w:hanging="360"/>
      </w:pPr>
      <w:r>
        <w:rPr>
          <w:rFonts w:ascii="Symbol" w:hAnsi="Symbol"/>
          <w:sz w:val="20"/>
        </w:rPr>
        <w:t></w:t>
      </w:r>
      <w:r>
        <w:rPr>
          <w:sz w:val="20"/>
        </w:rPr>
        <w:tab/>
      </w:r>
      <w:r>
        <w:t>Two electrical outlets in proper operating condition (permanent overhead or</w:t>
      </w:r>
      <w:r>
        <w:rPr>
          <w:spacing w:val="-17"/>
        </w:rPr>
        <w:t xml:space="preserve"> </w:t>
      </w:r>
      <w:r>
        <w:t>wall-mounted</w:t>
      </w:r>
      <w:r>
        <w:rPr>
          <w:spacing w:val="-2"/>
        </w:rPr>
        <w:t xml:space="preserve"> </w:t>
      </w:r>
      <w:r>
        <w:t>light fixtures may count as one of the required electrical</w:t>
      </w:r>
      <w:r>
        <w:rPr>
          <w:spacing w:val="-8"/>
        </w:rPr>
        <w:t xml:space="preserve"> </w:t>
      </w:r>
      <w:r>
        <w:t>outlets)</w:t>
      </w:r>
    </w:p>
    <w:p w:rsidR="004E13A5" w:rsidRDefault="00681463">
      <w:pPr>
        <w:pStyle w:val="BodyText"/>
        <w:spacing w:before="120"/>
        <w:ind w:right="182"/>
      </w:pPr>
      <w:r>
        <w:t>If the PHA determines that a unit is overcrowded because of an increase in family size or a change in family composition, the PHA must issue the family a new voucher, and the family and PHA must try to find an acceptable unit as soon as possible. If an acceptable unit is available for rental by the family, the PHA must terminate the HAP contract in accordance with its terms.</w:t>
      </w:r>
    </w:p>
    <w:p w:rsidR="004E13A5" w:rsidRDefault="00681463">
      <w:pPr>
        <w:pStyle w:val="Heading4"/>
        <w:spacing w:before="51" w:line="516" w:lineRule="exact"/>
        <w:ind w:right="2785" w:firstLine="2666"/>
      </w:pPr>
      <w:r>
        <w:t>PART II: THE INSPECTION PROCESS 8-II.A. OVERVIEW [24 CFR 982.405]</w:t>
      </w:r>
    </w:p>
    <w:p w:rsidR="004E13A5" w:rsidRDefault="00681463">
      <w:pPr>
        <w:spacing w:before="68"/>
        <w:ind w:left="100"/>
        <w:rPr>
          <w:b/>
          <w:sz w:val="24"/>
        </w:rPr>
      </w:pPr>
      <w:r>
        <w:rPr>
          <w:b/>
          <w:sz w:val="24"/>
        </w:rPr>
        <w:t>Types of Inspections</w:t>
      </w:r>
    </w:p>
    <w:p w:rsidR="004E13A5" w:rsidRDefault="00681463">
      <w:pPr>
        <w:pStyle w:val="BodyText"/>
        <w:ind w:right="961"/>
      </w:pPr>
      <w:r>
        <w:t>The PHA conducts the following types of inspections as needed. Each type of inspection is discussed in the paragraphs that follow.</w:t>
      </w:r>
    </w:p>
    <w:p w:rsidR="004E13A5" w:rsidRDefault="00681463">
      <w:pPr>
        <w:pStyle w:val="BodyText"/>
        <w:tabs>
          <w:tab w:val="left" w:pos="460"/>
        </w:tabs>
        <w:ind w:left="460" w:right="723" w:hanging="360"/>
      </w:pPr>
      <w:r>
        <w:rPr>
          <w:rFonts w:ascii="Symbol" w:hAnsi="Symbol"/>
          <w:sz w:val="20"/>
        </w:rPr>
        <w:t></w:t>
      </w:r>
      <w:r>
        <w:rPr>
          <w:sz w:val="20"/>
        </w:rPr>
        <w:tab/>
      </w:r>
      <w:r>
        <w:rPr>
          <w:i/>
        </w:rPr>
        <w:t>Initial Inspections</w:t>
      </w:r>
      <w:r>
        <w:t>. The PHA conducts initial inspections in response to a request</w:t>
      </w:r>
      <w:r>
        <w:rPr>
          <w:spacing w:val="-13"/>
        </w:rPr>
        <w:t xml:space="preserve"> </w:t>
      </w:r>
      <w:r>
        <w:t>from</w:t>
      </w:r>
      <w:r>
        <w:rPr>
          <w:spacing w:val="-1"/>
        </w:rPr>
        <w:t xml:space="preserve"> </w:t>
      </w:r>
      <w:r>
        <w:t>the family to approve a unit for participation in the HCV</w:t>
      </w:r>
      <w:r>
        <w:rPr>
          <w:spacing w:val="-14"/>
        </w:rPr>
        <w:t xml:space="preserve"> </w:t>
      </w:r>
      <w:r>
        <w:t>program.</w:t>
      </w:r>
    </w:p>
    <w:p w:rsidR="004E13A5" w:rsidRDefault="00681463">
      <w:pPr>
        <w:pStyle w:val="BodyText"/>
        <w:tabs>
          <w:tab w:val="left" w:pos="460"/>
        </w:tabs>
        <w:ind w:left="460" w:right="228" w:hanging="360"/>
      </w:pPr>
      <w:r>
        <w:rPr>
          <w:rFonts w:ascii="Symbol" w:hAnsi="Symbol"/>
          <w:sz w:val="20"/>
        </w:rPr>
        <w:t></w:t>
      </w:r>
      <w:r>
        <w:rPr>
          <w:sz w:val="20"/>
        </w:rPr>
        <w:tab/>
      </w:r>
      <w:r>
        <w:rPr>
          <w:i/>
        </w:rPr>
        <w:t>Annual/Biennial Inspections</w:t>
      </w:r>
      <w:r>
        <w:t>. HUD requires the PHA to inspect each unit under lease</w:t>
      </w:r>
      <w:r>
        <w:rPr>
          <w:spacing w:val="-13"/>
        </w:rPr>
        <w:t xml:space="preserve"> </w:t>
      </w:r>
      <w:r>
        <w:t>at</w:t>
      </w:r>
      <w:r>
        <w:rPr>
          <w:spacing w:val="-2"/>
        </w:rPr>
        <w:t xml:space="preserve"> </w:t>
      </w:r>
      <w:r>
        <w:t>least</w:t>
      </w:r>
      <w:r>
        <w:rPr>
          <w:w w:val="99"/>
        </w:rPr>
        <w:t xml:space="preserve"> </w:t>
      </w:r>
      <w:r>
        <w:t xml:space="preserve">annually or biennially, depending on PHA policy, to confirm that the unit still meets </w:t>
      </w:r>
      <w:r w:rsidR="002C4221">
        <w:t>NSPIRE</w:t>
      </w:r>
      <w:r>
        <w:t>.</w:t>
      </w:r>
      <w:r>
        <w:rPr>
          <w:spacing w:val="-13"/>
        </w:rPr>
        <w:t xml:space="preserve"> </w:t>
      </w:r>
      <w:r>
        <w:t>The inspection may be conducted in conjunction with the family's annual reexamination but also may be conducted</w:t>
      </w:r>
      <w:r>
        <w:rPr>
          <w:spacing w:val="-8"/>
        </w:rPr>
        <w:t xml:space="preserve"> </w:t>
      </w:r>
      <w:r>
        <w:t>separately.</w:t>
      </w:r>
    </w:p>
    <w:p w:rsidR="004E13A5" w:rsidRDefault="00681463">
      <w:pPr>
        <w:pStyle w:val="BodyText"/>
        <w:tabs>
          <w:tab w:val="left" w:pos="460"/>
        </w:tabs>
        <w:ind w:left="460" w:right="283" w:hanging="360"/>
      </w:pPr>
      <w:r>
        <w:rPr>
          <w:rFonts w:ascii="Symbol" w:hAnsi="Symbol"/>
          <w:sz w:val="20"/>
        </w:rPr>
        <w:t></w:t>
      </w:r>
      <w:r>
        <w:rPr>
          <w:sz w:val="20"/>
        </w:rPr>
        <w:tab/>
      </w:r>
      <w:r>
        <w:rPr>
          <w:i/>
        </w:rPr>
        <w:t xml:space="preserve">Special Inspections. </w:t>
      </w:r>
      <w:r>
        <w:t>A special inspection may be requested by the owner, the family, or</w:t>
      </w:r>
      <w:r>
        <w:rPr>
          <w:spacing w:val="-13"/>
        </w:rPr>
        <w:t xml:space="preserve"> </w:t>
      </w:r>
      <w:r>
        <w:t>a</w:t>
      </w:r>
      <w:r>
        <w:rPr>
          <w:spacing w:val="-3"/>
        </w:rPr>
        <w:t xml:space="preserve"> </w:t>
      </w:r>
      <w:r>
        <w:t>third party as a result of problems identified with a unit between annual</w:t>
      </w:r>
      <w:r>
        <w:rPr>
          <w:spacing w:val="-11"/>
        </w:rPr>
        <w:t xml:space="preserve"> </w:t>
      </w:r>
      <w:r>
        <w:t>inspections.</w:t>
      </w:r>
    </w:p>
    <w:p w:rsidR="004E13A5" w:rsidRDefault="00681463">
      <w:pPr>
        <w:pStyle w:val="BodyText"/>
        <w:tabs>
          <w:tab w:val="left" w:pos="460"/>
        </w:tabs>
        <w:ind w:left="460" w:right="314" w:hanging="360"/>
      </w:pPr>
      <w:r>
        <w:rPr>
          <w:rFonts w:ascii="Symbol" w:hAnsi="Symbol"/>
          <w:sz w:val="20"/>
        </w:rPr>
        <w:t></w:t>
      </w:r>
      <w:r>
        <w:rPr>
          <w:sz w:val="20"/>
        </w:rPr>
        <w:tab/>
      </w:r>
      <w:r>
        <w:rPr>
          <w:i/>
        </w:rPr>
        <w:t xml:space="preserve">Quality Control Inspections. </w:t>
      </w:r>
      <w:r>
        <w:t>HUD requires that a sample of units be inspected by</w:t>
      </w:r>
      <w:r>
        <w:rPr>
          <w:spacing w:val="-12"/>
        </w:rPr>
        <w:t xml:space="preserve"> </w:t>
      </w:r>
      <w:r>
        <w:t>a</w:t>
      </w:r>
      <w:r>
        <w:rPr>
          <w:spacing w:val="-2"/>
        </w:rPr>
        <w:t xml:space="preserve"> </w:t>
      </w:r>
      <w:r>
        <w:t>supervisor or other qualified individual to evaluate the work of the inspector(s) and to ensure that inspections are performed in compliance with the</w:t>
      </w:r>
      <w:r>
        <w:rPr>
          <w:spacing w:val="-8"/>
        </w:rPr>
        <w:t xml:space="preserve"> </w:t>
      </w:r>
      <w:r w:rsidR="002C4221">
        <w:t>NSPIRE</w:t>
      </w:r>
      <w:r>
        <w:t>.</w:t>
      </w:r>
    </w:p>
    <w:p w:rsidR="004E13A5" w:rsidRDefault="00681463">
      <w:pPr>
        <w:pStyle w:val="Heading4"/>
        <w:spacing w:before="119"/>
      </w:pPr>
      <w:r>
        <w:t>Inspection of PHA-Owned Units [24 CFR 982.352(b)]</w:t>
      </w:r>
    </w:p>
    <w:p w:rsidR="004E13A5" w:rsidRDefault="00681463">
      <w:pPr>
        <w:pStyle w:val="BodyText"/>
        <w:ind w:right="155"/>
      </w:pPr>
      <w:r>
        <w:t xml:space="preserve">The PHA must obtain the services of an independent entity to perform all </w:t>
      </w:r>
      <w:r w:rsidR="002C4221">
        <w:t>NSPIRE</w:t>
      </w:r>
      <w:r>
        <w:t xml:space="preserve"> inspections in cases where an HCV family is receiving assistance in a PHA-owned unit. A PHA-owned unit is defined</w:t>
      </w:r>
    </w:p>
    <w:p w:rsidR="004E13A5" w:rsidRDefault="004E13A5">
      <w:pPr>
        <w:sectPr w:rsidR="004E13A5">
          <w:pgSz w:w="12240" w:h="15840"/>
          <w:pgMar w:top="1000" w:right="1200" w:bottom="1240" w:left="1220" w:header="0" w:footer="998" w:gutter="0"/>
          <w:cols w:space="720"/>
        </w:sectPr>
      </w:pPr>
    </w:p>
    <w:p w:rsidR="004E13A5" w:rsidRDefault="00681463">
      <w:pPr>
        <w:pStyle w:val="BodyText"/>
        <w:spacing w:before="79"/>
        <w:ind w:right="135"/>
      </w:pPr>
      <w:r>
        <w:lastRenderedPageBreak/>
        <w:t>as a unit that is owned by the PHA that administers the assistance under the consolidated ACC (including a unit owned by an entity substantially controlled by the PHA). The independent agency must communicate the results of each inspection to the family and the PHA. The independent agency must be approved by HUD, and may be the unit of general local government for the PHA jurisdiction (unless the PHA is itself the unit of general local government or an agency of such government).</w:t>
      </w:r>
    </w:p>
    <w:p w:rsidR="004E13A5" w:rsidRDefault="00681463">
      <w:pPr>
        <w:pStyle w:val="Heading4"/>
        <w:spacing w:before="120"/>
      </w:pPr>
      <w:r>
        <w:t>Inspection Costs [Notice PIH 2016-05]</w:t>
      </w:r>
    </w:p>
    <w:p w:rsidR="004E13A5" w:rsidRDefault="00681463">
      <w:pPr>
        <w:pStyle w:val="BodyText"/>
        <w:spacing w:before="120"/>
        <w:ind w:right="256"/>
      </w:pPr>
      <w:r>
        <w:t>The PHA may not charge the family for unit inspections or reinspections [24 CFR 982.405(e)]. In the case of inspections of PHA-owned units, the PHA may compensate the independent agency from ongoing administrative fee for inspections performed. The PHA and the independent agency may not charge the family any fee or charge for the inspection [24 CFR.982.352(b)].</w:t>
      </w:r>
    </w:p>
    <w:p w:rsidR="004E13A5" w:rsidRDefault="004E13A5">
      <w:pPr>
        <w:pStyle w:val="BodyText"/>
        <w:spacing w:before="11"/>
        <w:ind w:left="0"/>
        <w:rPr>
          <w:sz w:val="23"/>
        </w:rPr>
      </w:pPr>
    </w:p>
    <w:p w:rsidR="004E13A5" w:rsidRDefault="00681463">
      <w:pPr>
        <w:pStyle w:val="BodyText"/>
        <w:spacing w:before="0"/>
        <w:ind w:right="116"/>
      </w:pPr>
      <w:r>
        <w:t>The PHA may not charge the owner for the inspection of the unit prior to the initial term of the lease or for a first inspection during assisted occupancy of the unit. However, the PHA may charge a reasonable fee to owners for reinspections in two situations: when the owner notifies the</w:t>
      </w:r>
    </w:p>
    <w:p w:rsidR="004E13A5" w:rsidRDefault="00681463">
      <w:pPr>
        <w:pStyle w:val="BodyText"/>
        <w:spacing w:before="0"/>
        <w:ind w:right="190"/>
      </w:pPr>
      <w:r>
        <w:t>PHA that a repair has been made but the deficiency has not been corrected, and when the time for repairs has elapsed and the deficiency has not been corrected. Fees may not be imposed for tenant- caused damages, for cases in which the inspector could not gain access to the unit, or for new deficiencies discovered during a reinspection.</w:t>
      </w:r>
    </w:p>
    <w:p w:rsidR="004E13A5" w:rsidRDefault="004E13A5">
      <w:pPr>
        <w:pStyle w:val="BodyText"/>
        <w:spacing w:before="0"/>
        <w:ind w:left="0"/>
      </w:pPr>
    </w:p>
    <w:p w:rsidR="004E13A5" w:rsidRDefault="00681463">
      <w:pPr>
        <w:pStyle w:val="BodyText"/>
        <w:spacing w:before="0"/>
        <w:ind w:right="116"/>
      </w:pPr>
      <w:r>
        <w:t>The owner may not pass the cost of a reinspection fee to the family. Reinspection fees must be added to the PHA’s administrative fee reserves and may only be used for activities related to the provision of tenant-based assistance.</w:t>
      </w:r>
    </w:p>
    <w:p w:rsidR="004E13A5" w:rsidRDefault="00681463">
      <w:pPr>
        <w:pStyle w:val="BodyText"/>
        <w:spacing w:before="0"/>
        <w:ind w:left="820"/>
      </w:pPr>
      <w:r>
        <w:rPr>
          <w:u w:val="single"/>
        </w:rPr>
        <w:t>PHA Policy</w:t>
      </w:r>
    </w:p>
    <w:p w:rsidR="004E13A5" w:rsidRDefault="00681463">
      <w:pPr>
        <w:pStyle w:val="BodyText"/>
        <w:spacing w:before="120"/>
        <w:ind w:left="820"/>
      </w:pPr>
      <w:r>
        <w:t>The PHA will not charge a fee for failed reinspections.</w:t>
      </w:r>
    </w:p>
    <w:p w:rsidR="004E13A5" w:rsidRDefault="00681463">
      <w:pPr>
        <w:pStyle w:val="Heading4"/>
        <w:spacing w:before="120"/>
      </w:pPr>
      <w:r>
        <w:t>Remote Video Inspections (RVIs) [Notice PIH 2020-31]</w:t>
      </w:r>
    </w:p>
    <w:p w:rsidR="004E13A5" w:rsidRDefault="00681463">
      <w:pPr>
        <w:pStyle w:val="BodyText"/>
        <w:spacing w:before="120"/>
        <w:ind w:right="88"/>
      </w:pPr>
      <w:r>
        <w:t xml:space="preserve">As an alternative to some or all on-site inspections, the PHA may, but is not required to, perform </w:t>
      </w:r>
      <w:r w:rsidR="002C4221">
        <w:t>NSPIRE</w:t>
      </w:r>
      <w:r>
        <w:t xml:space="preserve"> inspections from a remote location using video streaming technology and a proxy at the inspection site. Since there may be some circumstances in which the application of technology provides insufficient information or evidence to allow the PHA to make appropriate determinations about whether a condition violates </w:t>
      </w:r>
      <w:r w:rsidR="002C4221">
        <w:t>NSPIRE</w:t>
      </w:r>
      <w:r>
        <w:t>, Notice PIH 2020-31 requires that if a PHA chooses to implement RVIs, the PHA should have policies and procedures in place to address such limitations.</w:t>
      </w:r>
    </w:p>
    <w:p w:rsidR="004E13A5" w:rsidRDefault="00681463">
      <w:pPr>
        <w:pStyle w:val="BodyText"/>
        <w:spacing w:before="120"/>
        <w:ind w:left="820"/>
      </w:pPr>
      <w:r>
        <w:rPr>
          <w:u w:val="single"/>
        </w:rPr>
        <w:t>PHA Policy</w:t>
      </w:r>
    </w:p>
    <w:p w:rsidR="004E13A5" w:rsidRDefault="00681463">
      <w:pPr>
        <w:pStyle w:val="BodyText"/>
        <w:spacing w:before="120"/>
        <w:ind w:left="820"/>
      </w:pPr>
      <w:r>
        <w:t xml:space="preserve">The PHA will not conduct any </w:t>
      </w:r>
      <w:r w:rsidR="002C4221">
        <w:t>NSPIRE</w:t>
      </w:r>
      <w:r>
        <w:t xml:space="preserve"> inspection using RVI.</w:t>
      </w:r>
    </w:p>
    <w:p w:rsidR="004E13A5" w:rsidRDefault="00681463">
      <w:pPr>
        <w:pStyle w:val="Heading4"/>
        <w:spacing w:before="120"/>
      </w:pPr>
      <w:r>
        <w:t>Notice and Scheduling</w:t>
      </w:r>
    </w:p>
    <w:p w:rsidR="004E13A5" w:rsidRDefault="00681463">
      <w:pPr>
        <w:pStyle w:val="BodyText"/>
        <w:spacing w:before="120"/>
        <w:ind w:right="469"/>
      </w:pPr>
      <w:r>
        <w:t>The family must allow the PHA to inspect the unit at reasonable times with reasonable notice [24 CFR 982.551(d)].</w:t>
      </w:r>
    </w:p>
    <w:p w:rsidR="004E13A5" w:rsidRDefault="00681463">
      <w:pPr>
        <w:pStyle w:val="BodyText"/>
        <w:ind w:left="820"/>
      </w:pPr>
      <w:r>
        <w:rPr>
          <w:u w:val="single"/>
        </w:rPr>
        <w:t>PHA Policy</w:t>
      </w:r>
    </w:p>
    <w:p w:rsidR="004E13A5" w:rsidRDefault="00681463">
      <w:pPr>
        <w:pStyle w:val="BodyText"/>
        <w:ind w:left="820" w:right="190"/>
      </w:pPr>
      <w:r>
        <w:t>Both the family and the owner will be given reasonable notice of all inspections. Except in the case of a life-threatening emergency, reasonable notice is considered to be not less than 48 hours. Inspections may be scheduled between 8:00 a.m. and 7:00 p.m. Generally, inspections will be conducted on business days only. In the case of a life-threatening emergency, the PHA will give as much notice as possible, given the nature of the emergency.</w:t>
      </w:r>
    </w:p>
    <w:p w:rsidR="004E13A5" w:rsidRDefault="004E13A5">
      <w:pPr>
        <w:sectPr w:rsidR="004E13A5">
          <w:pgSz w:w="12240" w:h="15840"/>
          <w:pgMar w:top="1000" w:right="1240" w:bottom="1220" w:left="1220" w:header="0" w:footer="998" w:gutter="0"/>
          <w:cols w:space="720"/>
        </w:sectPr>
      </w:pPr>
    </w:p>
    <w:p w:rsidR="004E13A5" w:rsidRDefault="00681463">
      <w:pPr>
        <w:pStyle w:val="Heading4"/>
        <w:spacing w:before="79"/>
      </w:pPr>
      <w:r>
        <w:lastRenderedPageBreak/>
        <w:t>Owner and Family Inspection Attendance</w:t>
      </w:r>
    </w:p>
    <w:p w:rsidR="004E13A5" w:rsidRDefault="00681463">
      <w:pPr>
        <w:pStyle w:val="BodyText"/>
        <w:spacing w:before="120"/>
        <w:ind w:right="242"/>
      </w:pPr>
      <w:r>
        <w:t>HUD permits the PHA to set policy regarding family and owner presence at the time of inspection [HCV GB p. 10-27].</w:t>
      </w:r>
    </w:p>
    <w:p w:rsidR="004E13A5" w:rsidRDefault="00681463">
      <w:pPr>
        <w:pStyle w:val="BodyText"/>
        <w:ind w:left="820"/>
      </w:pPr>
      <w:r>
        <w:rPr>
          <w:u w:val="single"/>
        </w:rPr>
        <w:t>PHA Policy</w:t>
      </w:r>
    </w:p>
    <w:p w:rsidR="004E13A5" w:rsidRDefault="00681463">
      <w:pPr>
        <w:pStyle w:val="BodyText"/>
        <w:ind w:left="820" w:right="755"/>
      </w:pPr>
      <w:r>
        <w:t>When a family occupies the unit at the time of inspection an authorized adult must be present for the inspection. The presence of the owner or the owner's representative is encouraged but is not required.</w:t>
      </w:r>
    </w:p>
    <w:p w:rsidR="004E13A5" w:rsidRDefault="00681463">
      <w:pPr>
        <w:pStyle w:val="BodyText"/>
        <w:ind w:left="820" w:right="140"/>
      </w:pPr>
      <w:r>
        <w:t>At initial inspection of a vacant unit, the PHA will inspect the unit in the presence of the owner or owner's representative. The presence of a family representative is permitted, but is not required.</w:t>
      </w:r>
    </w:p>
    <w:p w:rsidR="004E13A5" w:rsidRDefault="004E13A5">
      <w:pPr>
        <w:pStyle w:val="BodyText"/>
        <w:spacing w:before="9"/>
        <w:ind w:left="0"/>
        <w:rPr>
          <w:sz w:val="20"/>
        </w:rPr>
      </w:pPr>
    </w:p>
    <w:p w:rsidR="004E13A5" w:rsidRDefault="00681463">
      <w:pPr>
        <w:pStyle w:val="Heading4"/>
      </w:pPr>
      <w:r>
        <w:t xml:space="preserve">8-II.B. INITIAL </w:t>
      </w:r>
      <w:r w:rsidR="002C4221">
        <w:t>NSPIRE</w:t>
      </w:r>
      <w:r>
        <w:t xml:space="preserve"> INSPECTION </w:t>
      </w:r>
    </w:p>
    <w:p w:rsidR="00750AA3" w:rsidRPr="00B0442A" w:rsidRDefault="00750AA3" w:rsidP="00750AA3">
      <w:pPr>
        <w:suppressAutoHyphens/>
        <w:spacing w:before="120"/>
        <w:rPr>
          <w:b/>
          <w:color w:val="000000"/>
          <w:szCs w:val="20"/>
        </w:rPr>
      </w:pPr>
      <w:r>
        <w:rPr>
          <w:b/>
          <w:color w:val="000000"/>
          <w:szCs w:val="20"/>
        </w:rPr>
        <w:t>Approving Units</w:t>
      </w:r>
      <w:r w:rsidRPr="00B0442A">
        <w:rPr>
          <w:b/>
          <w:color w:val="000000"/>
          <w:szCs w:val="20"/>
        </w:rPr>
        <w:t xml:space="preserve"> [FR Notice 1/18/17</w:t>
      </w:r>
      <w:r>
        <w:rPr>
          <w:b/>
        </w:rPr>
        <w:t>; Notice PIH 2017-20; and 24 CFR 982.406</w:t>
      </w:r>
      <w:r w:rsidRPr="00B0442A">
        <w:rPr>
          <w:b/>
          <w:color w:val="000000"/>
          <w:szCs w:val="20"/>
        </w:rPr>
        <w:t>]</w:t>
      </w:r>
    </w:p>
    <w:p w:rsidR="004E13A5" w:rsidRDefault="00681463">
      <w:pPr>
        <w:pStyle w:val="BodyText"/>
        <w:ind w:right="121"/>
      </w:pPr>
      <w:r>
        <w:t xml:space="preserve">The PHA may, but is not required to, approved assisted tenancy and start HAP if the unit fails </w:t>
      </w:r>
      <w:r w:rsidR="002C4221">
        <w:t>NSPIRE</w:t>
      </w:r>
      <w:r>
        <w:t xml:space="preserve"> inspection, but only if the deficiencies identified are non-life-threatening. Further, the PHA may, but is not required to, authorize occupancy if a unit passed an alternative inspection in the last 24 months.</w:t>
      </w:r>
    </w:p>
    <w:p w:rsidR="004E13A5" w:rsidRDefault="00681463">
      <w:pPr>
        <w:pStyle w:val="BodyText"/>
        <w:ind w:left="820"/>
      </w:pPr>
      <w:r>
        <w:rPr>
          <w:u w:val="single"/>
        </w:rPr>
        <w:t>PHA Policy</w:t>
      </w:r>
    </w:p>
    <w:p w:rsidR="004E13A5" w:rsidRDefault="00681463">
      <w:pPr>
        <w:pStyle w:val="BodyText"/>
        <w:ind w:left="820"/>
      </w:pPr>
      <w:r>
        <w:t xml:space="preserve">The unit must pass the </w:t>
      </w:r>
      <w:r w:rsidR="002C4221">
        <w:t>NSPIRE</w:t>
      </w:r>
      <w:r>
        <w:t xml:space="preserve"> inspection on or before the effective date of the HAP contract.</w:t>
      </w:r>
    </w:p>
    <w:p w:rsidR="004E13A5" w:rsidRDefault="00681463">
      <w:pPr>
        <w:pStyle w:val="BodyText"/>
        <w:ind w:left="820" w:right="183"/>
      </w:pPr>
      <w:r>
        <w:t xml:space="preserve">The PHA will not rely on alternative inspections and will conduct an </w:t>
      </w:r>
      <w:r w:rsidR="002C4221">
        <w:t>NSPIRE</w:t>
      </w:r>
      <w:r>
        <w:t xml:space="preserve"> inspection for each unit prior to executing a HAP contract with the owner.</w:t>
      </w:r>
    </w:p>
    <w:p w:rsidR="004E13A5" w:rsidRDefault="00750AA3">
      <w:pPr>
        <w:pStyle w:val="BodyText"/>
        <w:ind w:right="101"/>
      </w:pPr>
      <w:r w:rsidRPr="003F3448">
        <w:rPr>
          <w:b/>
        </w:rPr>
        <w:t>Timing of Initial Inspections</w:t>
      </w:r>
      <w:r>
        <w:rPr>
          <w:b/>
        </w:rPr>
        <w:t xml:space="preserve"> </w:t>
      </w:r>
      <w:r w:rsidRPr="00F324CB">
        <w:rPr>
          <w:b/>
          <w:color w:val="000000"/>
          <w:szCs w:val="20"/>
        </w:rPr>
        <w:t>[24 CFR 982.395(b)(2)(i)]</w:t>
      </w:r>
      <w:r w:rsidR="00EC4D48">
        <w:rPr>
          <w:b/>
          <w:color w:val="000000"/>
          <w:szCs w:val="20"/>
        </w:rPr>
        <w:t xml:space="preserve"> </w:t>
      </w:r>
      <w:r w:rsidR="00681463">
        <w:t xml:space="preserve">HUD requires PHAs with fewer than 1,250 budgeted units to complete the initial inspection, determine whether the unit satisfies </w:t>
      </w:r>
      <w:r w:rsidR="002C4221">
        <w:t>NSPIRE</w:t>
      </w:r>
      <w:r w:rsidR="00681463">
        <w:t>, and notify the owner and the family of the determination within 15 days of submission of the Request for Tenancy Approval (RTA). For PHAs with 1,250 or more budgeted units, to the extent practicable such inspection and determination must be</w:t>
      </w:r>
      <w:r w:rsidR="00681463">
        <w:rPr>
          <w:spacing w:val="-13"/>
        </w:rPr>
        <w:t xml:space="preserve"> </w:t>
      </w:r>
      <w:r w:rsidR="00681463">
        <w:t>completed within 15 days. The 15-day period is suspended for any period during which the unit is not available for inspection</w:t>
      </w:r>
      <w:r w:rsidR="00681463">
        <w:rPr>
          <w:spacing w:val="-7"/>
        </w:rPr>
        <w:t xml:space="preserve"> </w:t>
      </w:r>
      <w:r w:rsidR="00681463">
        <w:t>[982.305(b)(2)].</w:t>
      </w:r>
    </w:p>
    <w:p w:rsidR="004E13A5" w:rsidRDefault="00681463">
      <w:pPr>
        <w:pStyle w:val="BodyText"/>
        <w:ind w:left="820"/>
      </w:pPr>
      <w:r>
        <w:rPr>
          <w:u w:val="single"/>
        </w:rPr>
        <w:t>PHA Policy</w:t>
      </w:r>
    </w:p>
    <w:p w:rsidR="004E13A5" w:rsidRDefault="00681463">
      <w:pPr>
        <w:pStyle w:val="BodyText"/>
        <w:ind w:left="820"/>
      </w:pPr>
      <w:r>
        <w:t xml:space="preserve">The PHA will complete the initial inspection, determine whether the unit satisfies </w:t>
      </w:r>
      <w:r w:rsidR="002C4221">
        <w:t>NSPIRE</w:t>
      </w:r>
      <w:r>
        <w:t>, and notify the owner and the family of the determination within 15 days of submission of the Request for Tenancy Approval (RTA).</w:t>
      </w:r>
    </w:p>
    <w:p w:rsidR="004E13A5" w:rsidRDefault="00681463">
      <w:pPr>
        <w:pStyle w:val="Heading4"/>
        <w:spacing w:before="119"/>
      </w:pPr>
      <w:r>
        <w:t>Inspection Results and Reinspections</w:t>
      </w:r>
    </w:p>
    <w:p w:rsidR="004E13A5" w:rsidRDefault="00681463">
      <w:pPr>
        <w:pStyle w:val="BodyText"/>
        <w:spacing w:before="120"/>
        <w:ind w:left="820"/>
      </w:pPr>
      <w:r>
        <w:rPr>
          <w:u w:val="single"/>
        </w:rPr>
        <w:t>PHA Policy</w:t>
      </w:r>
    </w:p>
    <w:p w:rsidR="004E13A5" w:rsidRDefault="00681463">
      <w:pPr>
        <w:pStyle w:val="BodyText"/>
        <w:ind w:left="820" w:right="177"/>
      </w:pPr>
      <w:r>
        <w:t xml:space="preserve">If any </w:t>
      </w:r>
      <w:r w:rsidR="002C4221">
        <w:t>NSPIRE</w:t>
      </w:r>
      <w:r>
        <w:t xml:space="preserve"> violations are identified, the owner will be notified of the deficiencies and be given a time frame to correct them. If requested by the owner, the time frame for correcting the deficiencies may be extended by the PHA for good cause. The PHA will re-inspect the unit within 5 business days of the date the owner notifies the PHA that the required corrections have been made.</w:t>
      </w:r>
    </w:p>
    <w:p w:rsidR="004E13A5" w:rsidRDefault="00681463">
      <w:pPr>
        <w:pStyle w:val="BodyText"/>
        <w:ind w:left="820" w:right="168"/>
      </w:pPr>
      <w:r>
        <w:t xml:space="preserve">If the time period for correcting the deficiencies (or any PHA-approved extension) has elapsed, or the unit fails </w:t>
      </w:r>
      <w:r w:rsidR="002C4221">
        <w:t>NSPIRE</w:t>
      </w:r>
      <w:r>
        <w:t xml:space="preserve"> at the time of the reinspection, the PHA will notify the </w:t>
      </w:r>
      <w:r>
        <w:lastRenderedPageBreak/>
        <w:t>owner</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right="97"/>
      </w:pPr>
      <w:r>
        <w:lastRenderedPageBreak/>
        <w:t>and the family that the unit has been rejected and that the family must search for another unit. The PHA may agree to conduct a second reinspection, for good cause, at the request of the family and owner.</w:t>
      </w:r>
    </w:p>
    <w:p w:rsidR="004E13A5" w:rsidRDefault="00681463">
      <w:pPr>
        <w:pStyle w:val="BodyText"/>
        <w:spacing w:before="120"/>
        <w:ind w:left="820" w:right="116"/>
      </w:pPr>
      <w:r>
        <w:t>Following a failed reinspection, the family may submit a new Request for Tenancy Approval after the owner has made repairs, if they are unable to locate another suitable unit.</w:t>
      </w:r>
    </w:p>
    <w:p w:rsidR="004E13A5" w:rsidRDefault="00681463">
      <w:pPr>
        <w:pStyle w:val="Heading4"/>
        <w:spacing w:before="120"/>
      </w:pPr>
      <w:r>
        <w:t>Utilities</w:t>
      </w:r>
    </w:p>
    <w:p w:rsidR="004E13A5" w:rsidRDefault="00681463">
      <w:pPr>
        <w:pStyle w:val="BodyText"/>
        <w:spacing w:before="120"/>
      </w:pPr>
      <w:r>
        <w:t>Generally, at initial lease-up the owner is responsible for demonstrating that all utilities are in working order including those utilities that the family will be responsible for paying.</w:t>
      </w:r>
    </w:p>
    <w:p w:rsidR="004E13A5" w:rsidRDefault="00681463">
      <w:pPr>
        <w:pStyle w:val="BodyText"/>
        <w:spacing w:before="120"/>
        <w:ind w:left="820"/>
      </w:pPr>
      <w:r>
        <w:rPr>
          <w:u w:val="single"/>
        </w:rPr>
        <w:t>PHA Policy</w:t>
      </w:r>
    </w:p>
    <w:p w:rsidR="004E13A5" w:rsidRDefault="00681463">
      <w:pPr>
        <w:pStyle w:val="BodyText"/>
        <w:spacing w:before="120"/>
        <w:ind w:left="820" w:right="135"/>
        <w:rPr>
          <w:sz w:val="32"/>
        </w:rPr>
      </w:pPr>
      <w:r>
        <w:t xml:space="preserve">If utility service is not available for testing at the time of the initial inspection, the PHA will allow the utilities to be placed in service after the unit has met all other </w:t>
      </w:r>
      <w:r w:rsidR="002C4221">
        <w:t>NSPIRE</w:t>
      </w:r>
      <w:r>
        <w:t xml:space="preserve"> requirements. The PHA will re-inspect the unit to confirm that utilities are operational before the HAP contract is executed by the PHA</w:t>
      </w:r>
      <w:r>
        <w:rPr>
          <w:sz w:val="32"/>
        </w:rPr>
        <w:t>.</w:t>
      </w:r>
    </w:p>
    <w:p w:rsidR="004E13A5" w:rsidRDefault="00681463">
      <w:pPr>
        <w:pStyle w:val="Heading4"/>
        <w:spacing w:before="119"/>
      </w:pPr>
      <w:r>
        <w:t>Appliances [Form HUD-52580]</w:t>
      </w:r>
    </w:p>
    <w:p w:rsidR="004E13A5" w:rsidRDefault="00681463">
      <w:pPr>
        <w:pStyle w:val="BodyText"/>
        <w:ind w:left="820"/>
      </w:pPr>
      <w:r>
        <w:rPr>
          <w:u w:val="single"/>
        </w:rPr>
        <w:t>PHA Policy</w:t>
      </w:r>
    </w:p>
    <w:p w:rsidR="004E13A5" w:rsidRDefault="00681463">
      <w:pPr>
        <w:pStyle w:val="BodyText"/>
        <w:ind w:left="820" w:right="100"/>
      </w:pPr>
      <w:r>
        <w:t xml:space="preserve">If the family is responsible for supplying the stove and/or refrigerator, the PHA will allow the stove and refrigerator to be placed in the unit after the unit has met all other </w:t>
      </w:r>
      <w:r w:rsidR="002C4221">
        <w:t>NSPIRE</w:t>
      </w:r>
      <w:r>
        <w:t xml:space="preserve"> requirements. The required appliances must be in place before the HAP contract is executed by the PHA. The PHA will execute the HAP contract based upon a certification from the family that the appliances have been installed and are working. A confirmatory inspection will be scheduled within 30 days of HAP contract approval.</w:t>
      </w:r>
    </w:p>
    <w:p w:rsidR="004E13A5" w:rsidRDefault="004E13A5">
      <w:pPr>
        <w:pStyle w:val="BodyText"/>
        <w:spacing w:before="9"/>
        <w:ind w:left="0"/>
        <w:rPr>
          <w:sz w:val="20"/>
        </w:rPr>
      </w:pPr>
    </w:p>
    <w:p w:rsidR="004E13A5" w:rsidRDefault="00681463">
      <w:pPr>
        <w:pStyle w:val="Heading4"/>
      </w:pPr>
      <w:r>
        <w:t xml:space="preserve">8-II.C. ANNUAL/BIENNIAL </w:t>
      </w:r>
      <w:r w:rsidR="002C4221">
        <w:t>NSPIRE</w:t>
      </w:r>
      <w:r>
        <w:t xml:space="preserve"> INSPECTIONS [24 CFR 982.405 and 982.406, Notice PIH</w:t>
      </w:r>
    </w:p>
    <w:p w:rsidR="004E13A5" w:rsidRDefault="00681463">
      <w:pPr>
        <w:ind w:left="100"/>
        <w:rPr>
          <w:b/>
          <w:sz w:val="24"/>
        </w:rPr>
      </w:pPr>
      <w:r>
        <w:rPr>
          <w:b/>
          <w:sz w:val="24"/>
        </w:rPr>
        <w:t>2016-05]</w:t>
      </w:r>
    </w:p>
    <w:p w:rsidR="004E13A5" w:rsidRDefault="00681463">
      <w:pPr>
        <w:pStyle w:val="BodyText"/>
        <w:spacing w:before="120"/>
        <w:ind w:left="820"/>
      </w:pPr>
      <w:r>
        <w:rPr>
          <w:u w:val="single"/>
        </w:rPr>
        <w:t>PHA Policy</w:t>
      </w:r>
    </w:p>
    <w:p w:rsidR="004E13A5" w:rsidRDefault="00681463">
      <w:pPr>
        <w:pStyle w:val="BodyText"/>
        <w:spacing w:before="120"/>
        <w:ind w:left="820" w:right="128"/>
      </w:pPr>
      <w:r>
        <w:t xml:space="preserve">Each unit under HAP contract must be inspected biennially within 24 months of the last full </w:t>
      </w:r>
      <w:r w:rsidR="002C4221">
        <w:t>NSPIRE</w:t>
      </w:r>
      <w:r>
        <w:t xml:space="preserve"> inspection. The PHA reserves the right to requires annual inspections of any unit or owner at any time.</w:t>
      </w:r>
    </w:p>
    <w:p w:rsidR="004E13A5" w:rsidRDefault="00681463">
      <w:pPr>
        <w:pStyle w:val="BodyText"/>
        <w:spacing w:before="120"/>
        <w:ind w:left="820"/>
      </w:pPr>
      <w:r>
        <w:t>The PHA will not rely on alternative inspection standards.</w:t>
      </w:r>
    </w:p>
    <w:p w:rsidR="004E13A5" w:rsidRDefault="00681463">
      <w:pPr>
        <w:pStyle w:val="Heading4"/>
        <w:spacing w:before="120"/>
        <w:ind w:left="820"/>
      </w:pPr>
      <w:r>
        <w:t>Scheduling the Inspection</w:t>
      </w:r>
    </w:p>
    <w:p w:rsidR="004E13A5" w:rsidRDefault="00681463">
      <w:pPr>
        <w:pStyle w:val="BodyText"/>
        <w:spacing w:before="120"/>
        <w:ind w:left="820"/>
      </w:pPr>
      <w:r>
        <w:rPr>
          <w:u w:val="single"/>
        </w:rPr>
        <w:t>PHA Policy</w:t>
      </w:r>
    </w:p>
    <w:p w:rsidR="004E13A5" w:rsidRDefault="00681463">
      <w:pPr>
        <w:pStyle w:val="BodyText"/>
        <w:spacing w:before="120"/>
        <w:ind w:left="820" w:right="100"/>
      </w:pPr>
      <w:r>
        <w:t>If an adult cannot be present on the scheduled date, the family should request that the PHA reschedule the inspection. The PHA and family will agree on a new inspection date that generally should take place within 5 business days of the originally scheduled date. The PHA may schedule an inspection more than 5 business days after the original date for good cause.</w:t>
      </w:r>
    </w:p>
    <w:p w:rsidR="004E13A5" w:rsidRDefault="00681463">
      <w:pPr>
        <w:pStyle w:val="BodyText"/>
        <w:spacing w:before="120"/>
        <w:ind w:left="820" w:right="455"/>
      </w:pPr>
      <w:r>
        <w:t>If the family misses the first scheduled appointment without requesting a new inspection date, the PHA will automatically schedule a second inspection. If the family misses two scheduled inspections without PHA approval, the PHA will consider the family to have violated its obligation to make the unit available for inspection. This may result in termination of the family’s assistance in accordance with Chapter 12.</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pPr>
      <w:r>
        <w:lastRenderedPageBreak/>
        <w:t>8-II.D. SPECIAL INSPECTIONS [24 CFR 982.405(g)]</w:t>
      </w:r>
    </w:p>
    <w:p w:rsidR="004E13A5" w:rsidRDefault="004E13A5">
      <w:pPr>
        <w:pStyle w:val="BodyText"/>
        <w:spacing w:before="10"/>
        <w:ind w:left="0"/>
        <w:rPr>
          <w:b/>
          <w:sz w:val="20"/>
        </w:rPr>
      </w:pPr>
    </w:p>
    <w:p w:rsidR="004E13A5" w:rsidRDefault="00681463">
      <w:pPr>
        <w:pStyle w:val="BodyText"/>
        <w:spacing w:before="0"/>
        <w:ind w:right="102"/>
      </w:pPr>
      <w:r>
        <w:t>If a participant or government official reports a life-threatening condition which the owner would be required to repair within 24 hours, the PHA must inspect the unit within 24 hours of</w:t>
      </w:r>
      <w:r>
        <w:rPr>
          <w:spacing w:val="-15"/>
        </w:rPr>
        <w:t xml:space="preserve"> </w:t>
      </w:r>
      <w:r>
        <w:t>notification. If the reported condition is not life-threatening, the PHA must inspect the unit within 15 days of notification.</w:t>
      </w:r>
    </w:p>
    <w:p w:rsidR="004E13A5" w:rsidRDefault="00681463">
      <w:pPr>
        <w:pStyle w:val="BodyText"/>
        <w:ind w:left="820"/>
      </w:pPr>
      <w:r>
        <w:rPr>
          <w:u w:val="single"/>
        </w:rPr>
        <w:t>PHA Policy</w:t>
      </w:r>
    </w:p>
    <w:p w:rsidR="004E13A5" w:rsidRDefault="00681463">
      <w:pPr>
        <w:pStyle w:val="BodyText"/>
        <w:ind w:left="820" w:right="162"/>
      </w:pPr>
      <w:r>
        <w:t xml:space="preserve">During a special inspection, the PHA generally will inspect only those deficiencies that were reported. However, the inspector will record any additional </w:t>
      </w:r>
      <w:r w:rsidR="002C4221">
        <w:t>NSPIRE</w:t>
      </w:r>
      <w:r>
        <w:t xml:space="preserve"> deficiencies that are observed and will require the responsible party to make the necessary repairs.</w:t>
      </w:r>
    </w:p>
    <w:p w:rsidR="004E13A5" w:rsidRDefault="00681463">
      <w:pPr>
        <w:pStyle w:val="BodyText"/>
        <w:ind w:left="820" w:right="142"/>
      </w:pPr>
      <w:r>
        <w:t>If the annual/biennial inspection has been scheduled or is due within 90 days of the date the special inspection is scheduled the PHA may elect to conduct a full annual/biennial inspection.</w:t>
      </w:r>
    </w:p>
    <w:p w:rsidR="004E13A5" w:rsidRDefault="004E13A5">
      <w:pPr>
        <w:pStyle w:val="BodyText"/>
        <w:spacing w:before="9"/>
        <w:ind w:left="0"/>
        <w:rPr>
          <w:sz w:val="20"/>
        </w:rPr>
      </w:pPr>
    </w:p>
    <w:p w:rsidR="004E13A5" w:rsidRDefault="00681463">
      <w:pPr>
        <w:pStyle w:val="Heading4"/>
        <w:spacing w:before="1"/>
        <w:ind w:right="313"/>
      </w:pPr>
      <w:r>
        <w:t>8-II.E. QUALITY CONTROL INSPECTIONS [24 CFR 982.405(b); 24 CFR 985.3(e); HCV GB, p. 10-32]</w:t>
      </w:r>
    </w:p>
    <w:p w:rsidR="004E13A5" w:rsidRDefault="00681463">
      <w:pPr>
        <w:pStyle w:val="BodyText"/>
        <w:spacing w:before="120"/>
        <w:ind w:right="155"/>
        <w:jc w:val="both"/>
      </w:pPr>
      <w:r>
        <w:t xml:space="preserve">HUD requires a PHA supervisor or other qualified person to conduct quality control inspections of a sample of units to ensure that each inspector is conducting accurate and complete inspections and that there is consistency in the application of the </w:t>
      </w:r>
      <w:r w:rsidR="002C4221">
        <w:t>NSPIRE</w:t>
      </w:r>
      <w:r>
        <w:t>.</w:t>
      </w:r>
    </w:p>
    <w:p w:rsidR="004E13A5" w:rsidRDefault="00681463">
      <w:pPr>
        <w:pStyle w:val="BodyText"/>
        <w:spacing w:before="120"/>
        <w:ind w:right="89"/>
      </w:pPr>
      <w:r>
        <w:t>The unit sample must include only units that have been inspected within the preceding three months. The selected sample should be drawn to represent a cross section of neighborhoods and the work of a cross section of inspectors.</w:t>
      </w:r>
    </w:p>
    <w:p w:rsidR="004E13A5" w:rsidRDefault="004E13A5">
      <w:pPr>
        <w:pStyle w:val="BodyText"/>
        <w:spacing w:before="10"/>
        <w:ind w:left="0"/>
        <w:rPr>
          <w:sz w:val="20"/>
        </w:rPr>
      </w:pPr>
    </w:p>
    <w:p w:rsidR="004E13A5" w:rsidRDefault="00681463">
      <w:pPr>
        <w:pStyle w:val="Heading4"/>
        <w:ind w:right="858"/>
      </w:pPr>
      <w:r>
        <w:t>8-II.F. INSPECTION RESULTS AND REINSPECTIONS FOR UNITS UNDER HAP CONTRACT</w:t>
      </w:r>
    </w:p>
    <w:p w:rsidR="004E13A5" w:rsidRDefault="00681463">
      <w:pPr>
        <w:spacing w:before="120"/>
        <w:ind w:left="100"/>
        <w:rPr>
          <w:b/>
          <w:sz w:val="24"/>
        </w:rPr>
      </w:pPr>
      <w:r>
        <w:rPr>
          <w:b/>
          <w:sz w:val="24"/>
        </w:rPr>
        <w:t>Notification of Corrective Actions</w:t>
      </w:r>
    </w:p>
    <w:p w:rsidR="004E13A5" w:rsidRDefault="00681463">
      <w:pPr>
        <w:pStyle w:val="BodyText"/>
        <w:ind w:right="309"/>
      </w:pPr>
      <w:r>
        <w:t xml:space="preserve">The owner and the family will be notified in writing of the results of all inspections. When an inspection identifies </w:t>
      </w:r>
      <w:r w:rsidR="002C4221">
        <w:t>NSPIRE</w:t>
      </w:r>
      <w:r>
        <w:t xml:space="preserve"> failures, the PHA will determine (1) whether or not the failure is a life- threatening condition and (2) whether the family or owner is responsible.</w:t>
      </w:r>
    </w:p>
    <w:p w:rsidR="004E13A5" w:rsidRDefault="00681463">
      <w:pPr>
        <w:pStyle w:val="BodyText"/>
        <w:ind w:left="820"/>
      </w:pPr>
      <w:r>
        <w:rPr>
          <w:u w:val="single"/>
        </w:rPr>
        <w:t>PHA Policy</w:t>
      </w:r>
    </w:p>
    <w:p w:rsidR="004E13A5" w:rsidRDefault="00681463">
      <w:pPr>
        <w:pStyle w:val="BodyText"/>
        <w:ind w:left="820" w:right="256"/>
      </w:pPr>
      <w:r>
        <w:t>When life-threatening conditions are identified, the PHA will immediately notify both parties by telephone or email. The notice will specify who is responsible for correcting the violation. The corrective actions must be taken within 24 hours of the PHA’s notice.</w:t>
      </w:r>
    </w:p>
    <w:p w:rsidR="004E13A5" w:rsidRDefault="00681463">
      <w:pPr>
        <w:pStyle w:val="BodyText"/>
        <w:ind w:left="820" w:right="189"/>
      </w:pPr>
      <w:r>
        <w:t>When failures that are not life-threatening are identified, the PHA will send the owner and the family a written notification of the inspection results within 5 business days of the inspection. The written notice will specify who is responsible for correcting the violation, and the time frame within which the failure must be corrected. Generally, not more than 30 days will be allowed for the correction.</w:t>
      </w:r>
    </w:p>
    <w:p w:rsidR="004E13A5" w:rsidRDefault="00681463">
      <w:pPr>
        <w:pStyle w:val="BodyText"/>
        <w:ind w:left="820" w:right="102"/>
      </w:pPr>
      <w:r>
        <w:t>The notice of inspection results will inform the owner that if life-threatening conditions are not corrected within 24 hours, and non-life threatening conditions are not corrected within the specified time frame (or any PHA-approved extension), the owner’s HAP will be abated in accordance with PHA policy (see 8-II.G.).</w:t>
      </w:r>
    </w:p>
    <w:p w:rsidR="004E13A5" w:rsidRDefault="00681463">
      <w:pPr>
        <w:pStyle w:val="BodyText"/>
        <w:ind w:left="820"/>
      </w:pPr>
      <w:r>
        <w:t>Likewise, in the case of family caused deficiencies, the notice will inform the family that if corrections are not made within the specified time frame (or any PHA-approved extension,</w:t>
      </w:r>
    </w:p>
    <w:p w:rsidR="004E13A5" w:rsidRDefault="004E13A5">
      <w:pPr>
        <w:sectPr w:rsidR="004E13A5">
          <w:pgSz w:w="12240" w:h="15840"/>
          <w:pgMar w:top="1000" w:right="1240" w:bottom="1220" w:left="1220" w:header="0" w:footer="998" w:gutter="0"/>
          <w:cols w:space="720"/>
        </w:sectPr>
      </w:pPr>
    </w:p>
    <w:p w:rsidR="004E13A5" w:rsidRDefault="00681463">
      <w:pPr>
        <w:pStyle w:val="BodyText"/>
        <w:spacing w:before="79"/>
        <w:ind w:left="820"/>
      </w:pPr>
      <w:r>
        <w:lastRenderedPageBreak/>
        <w:t>if applicable) the family’s assistance will be terminated in accordance with PHA policy (see Chapter 12).</w:t>
      </w:r>
    </w:p>
    <w:p w:rsidR="004E13A5" w:rsidRDefault="00681463">
      <w:pPr>
        <w:pStyle w:val="Heading4"/>
        <w:spacing w:before="120"/>
      </w:pPr>
      <w:r>
        <w:t>Extensions</w:t>
      </w:r>
    </w:p>
    <w:p w:rsidR="004E13A5" w:rsidRDefault="00681463">
      <w:pPr>
        <w:pStyle w:val="BodyText"/>
        <w:ind w:right="82"/>
      </w:pPr>
      <w:r>
        <w:t>For conditions that are life-threatening, the PHA cannot grant an extension to the 24 hour corrective action period. For conditions that are not life-threatening, the PHA may grant an exception to the required time frames for correcting the violation, if the PHA determines that an extension is appropriate [24 CFR 982.404].</w:t>
      </w:r>
    </w:p>
    <w:p w:rsidR="004E13A5" w:rsidRDefault="00681463">
      <w:pPr>
        <w:pStyle w:val="BodyText"/>
        <w:ind w:left="820"/>
      </w:pPr>
      <w:r>
        <w:rPr>
          <w:u w:val="single"/>
        </w:rPr>
        <w:t>PHA Policy</w:t>
      </w:r>
    </w:p>
    <w:p w:rsidR="004E13A5" w:rsidRDefault="00681463">
      <w:pPr>
        <w:pStyle w:val="BodyText"/>
        <w:ind w:left="820" w:right="142"/>
      </w:pPr>
      <w:r>
        <w:t>Extensions will be granted in cases where the PHA has determined that the owner has made a good faith effort to correct the deficiencies and is unable to for reasons beyond the owner’s control. Reasons may include, but are not limited to:</w:t>
      </w:r>
    </w:p>
    <w:p w:rsidR="004E13A5" w:rsidRDefault="00681463">
      <w:pPr>
        <w:pStyle w:val="BodyText"/>
        <w:spacing w:line="345" w:lineRule="auto"/>
        <w:ind w:left="1540" w:right="397"/>
      </w:pPr>
      <w:r>
        <w:t>A repair cannot be completed because required parts or services are not available. A repair cannot be completed because of weather conditions.</w:t>
      </w:r>
    </w:p>
    <w:p w:rsidR="004E13A5" w:rsidRDefault="00681463">
      <w:pPr>
        <w:pStyle w:val="BodyText"/>
        <w:spacing w:before="2"/>
        <w:ind w:left="1540" w:right="356"/>
      </w:pPr>
      <w:r>
        <w:t>A reasonable accommodation is needed because the family includes a person with disabilities.</w:t>
      </w:r>
    </w:p>
    <w:p w:rsidR="004E13A5" w:rsidRDefault="00681463">
      <w:pPr>
        <w:pStyle w:val="BodyText"/>
        <w:ind w:left="820" w:right="269"/>
      </w:pPr>
      <w:r>
        <w:t>The length of the extension will be determined on a case by case basis, but will not exceed 60 days, except in the case of delays caused by weather conditions. In the case of weather conditions, extensions may be continued until the weather has improved sufficiently to make repairs possible. The necessary repairs must be made within 15 calendar days, once the weather conditions have subsided.</w:t>
      </w:r>
    </w:p>
    <w:p w:rsidR="004E13A5" w:rsidRDefault="00681463">
      <w:pPr>
        <w:pStyle w:val="Heading4"/>
        <w:spacing w:before="119"/>
      </w:pPr>
      <w:r>
        <w:t>Re-inspections</w:t>
      </w:r>
    </w:p>
    <w:p w:rsidR="004E13A5" w:rsidRDefault="00681463">
      <w:pPr>
        <w:pStyle w:val="BodyText"/>
        <w:ind w:left="820"/>
      </w:pPr>
      <w:r>
        <w:rPr>
          <w:u w:val="single"/>
        </w:rPr>
        <w:t>PHA Policy</w:t>
      </w:r>
    </w:p>
    <w:p w:rsidR="004E13A5" w:rsidRDefault="00681463">
      <w:pPr>
        <w:pStyle w:val="BodyText"/>
        <w:spacing w:before="139"/>
        <w:ind w:left="820" w:right="183"/>
      </w:pPr>
      <w:r>
        <w:t>The PHA will allow for a landlord to self-certify that the corrective actions have been performed. The PHA may require copies of receipts or any other documentation needed to verify that the work has been completed. If the PHA believes there is a need to conduct a reinspection, it will be done following the end of the corrective period, or any PHA- approved extension.</w:t>
      </w:r>
    </w:p>
    <w:p w:rsidR="004E13A5" w:rsidRDefault="00681463">
      <w:pPr>
        <w:pStyle w:val="BodyText"/>
        <w:spacing w:before="139"/>
        <w:ind w:left="820" w:right="163"/>
      </w:pPr>
      <w:r>
        <w:t>The family and owner will be given reasonable notice of the re-inspection appointment. If the deficiencies have not been corrected by the time of the re-inspection, the PHA will send a notice of abatement to the owner, or in the case of family caused violations, a notice of termination to the family, in accordance with PHA policies. If the PHA is unable to gain entry to the unit in order to conduct the scheduled re-inspection, the PHA will consider the family to have violated its obligation to make the unit available for inspection. This may result in termination of the family’s assistance in accordance with Chapter 12.</w:t>
      </w:r>
    </w:p>
    <w:p w:rsidR="004E13A5" w:rsidRDefault="004E13A5">
      <w:pPr>
        <w:pStyle w:val="BodyText"/>
        <w:spacing w:before="10"/>
        <w:ind w:left="0"/>
        <w:rPr>
          <w:sz w:val="20"/>
        </w:rPr>
      </w:pPr>
    </w:p>
    <w:p w:rsidR="004E13A5" w:rsidRDefault="00681463">
      <w:pPr>
        <w:pStyle w:val="Heading4"/>
        <w:spacing w:before="1"/>
      </w:pPr>
      <w:r>
        <w:t>8-II.G. ENFORCING OWNER COMPLIANCE</w:t>
      </w:r>
    </w:p>
    <w:p w:rsidR="004E13A5" w:rsidRDefault="00681463">
      <w:pPr>
        <w:pStyle w:val="BodyText"/>
        <w:spacing w:before="120"/>
        <w:ind w:right="95"/>
      </w:pPr>
      <w:r>
        <w:t xml:space="preserve">If the owner fails to maintain the dwelling unit in accordance with </w:t>
      </w:r>
      <w:r w:rsidR="002C4221">
        <w:t>NSPIRE</w:t>
      </w:r>
      <w:r>
        <w:t>, the PHA must take prompt and vigorous action to enforce the owner obligations.</w:t>
      </w:r>
    </w:p>
    <w:p w:rsidR="004E13A5" w:rsidRDefault="00681463">
      <w:pPr>
        <w:pStyle w:val="Heading4"/>
        <w:spacing w:before="120"/>
      </w:pPr>
      <w:r>
        <w:t>HAP Abatement</w:t>
      </w:r>
    </w:p>
    <w:p w:rsidR="004E13A5" w:rsidRDefault="00681463">
      <w:pPr>
        <w:pStyle w:val="BodyText"/>
        <w:spacing w:before="120"/>
        <w:ind w:right="183"/>
      </w:pPr>
      <w:r>
        <w:t xml:space="preserve">If an owner fails to correct </w:t>
      </w:r>
      <w:r w:rsidR="002C4221">
        <w:t>NSPIRE</w:t>
      </w:r>
      <w:r>
        <w:t xml:space="preserve"> deficiencies by the time specified by the PHA, HUD requires the PHA to abate housing assistance payments no later than the first of the month following the specified correction period (including any approved extension) [24 CFR 985.3(f)]. No retroactive</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163"/>
      </w:pPr>
      <w:r>
        <w:lastRenderedPageBreak/>
        <w:t xml:space="preserve">payments will be made to the owner for the period of time the rent was abated. Owner rents are not abated as a result of </w:t>
      </w:r>
      <w:r w:rsidR="002C4221">
        <w:t>NSPIRE</w:t>
      </w:r>
      <w:r>
        <w:t xml:space="preserve"> failures that are the family's responsibility.</w:t>
      </w:r>
    </w:p>
    <w:p w:rsidR="004E13A5" w:rsidRDefault="00681463">
      <w:pPr>
        <w:pStyle w:val="BodyText"/>
        <w:spacing w:before="120"/>
        <w:ind w:left="820"/>
      </w:pPr>
      <w:r>
        <w:rPr>
          <w:u w:val="single"/>
        </w:rPr>
        <w:t>PHA Policy</w:t>
      </w:r>
    </w:p>
    <w:p w:rsidR="004E13A5" w:rsidRDefault="00681463">
      <w:pPr>
        <w:pStyle w:val="BodyText"/>
        <w:ind w:left="820" w:right="722"/>
      </w:pPr>
      <w:r>
        <w:t>The PHA will make all HAP abatements effective the first of the month following the expiration of the PHA specified correction period (including any extension).</w:t>
      </w:r>
    </w:p>
    <w:p w:rsidR="004E13A5" w:rsidRDefault="00681463">
      <w:pPr>
        <w:pStyle w:val="BodyText"/>
        <w:ind w:left="820" w:right="84"/>
      </w:pPr>
      <w:r>
        <w:t>The PHA will inspect abated units within 5 business days of the owner's notification that the work has been completed. Payment will resume effective on the day the unit passes inspection.</w:t>
      </w:r>
    </w:p>
    <w:p w:rsidR="004E13A5" w:rsidRDefault="00681463">
      <w:pPr>
        <w:pStyle w:val="BodyText"/>
        <w:ind w:right="183"/>
      </w:pPr>
      <w:r>
        <w:t>During any abatement period the family continues to be responsible for its share of the rent. The owner must not seek payment from the family for abated amounts and may not use the abatement as cause for eviction.</w:t>
      </w:r>
    </w:p>
    <w:p w:rsidR="004E13A5" w:rsidRDefault="00681463">
      <w:pPr>
        <w:pStyle w:val="Heading4"/>
        <w:spacing w:before="119"/>
      </w:pPr>
      <w:bookmarkStart w:id="55" w:name="_TOC_250369"/>
      <w:bookmarkEnd w:id="55"/>
      <w:r>
        <w:t>HAP Contract Termination</w:t>
      </w:r>
    </w:p>
    <w:p w:rsidR="004E13A5" w:rsidRDefault="00681463">
      <w:pPr>
        <w:pStyle w:val="BodyText"/>
        <w:spacing w:before="120"/>
        <w:ind w:right="162"/>
      </w:pPr>
      <w:r>
        <w:t>The PHA must decide how long any abatement period will continue before the HAP contract will be terminated. The PHA should not terminate the contract until the family finds another unit, provided the family does so in a reasonable time [HCV GB p. 10-29] and must give the owner reasonable notice of the termination. The PHA will issue a voucher to permit the family to move to another unit as described in Chapter 10.</w:t>
      </w:r>
    </w:p>
    <w:p w:rsidR="004E13A5" w:rsidRDefault="00681463">
      <w:pPr>
        <w:pStyle w:val="BodyText"/>
        <w:ind w:left="820"/>
      </w:pPr>
      <w:r>
        <w:rPr>
          <w:u w:val="single"/>
        </w:rPr>
        <w:t>PHA Policy</w:t>
      </w:r>
    </w:p>
    <w:p w:rsidR="004E13A5" w:rsidRDefault="00681463">
      <w:pPr>
        <w:pStyle w:val="BodyText"/>
        <w:ind w:left="820"/>
      </w:pPr>
      <w:r>
        <w:t>The maximum length of time that HAP may be abated is 90 days. However, if the owner completes corrections and notifies the PHA before the termination date of the HAP contract, the PHA may rescind the termination notice if (1) the family still resides in the unit and wishes to remain in the unit and (2) the unit passes inspection.</w:t>
      </w:r>
    </w:p>
    <w:p w:rsidR="004E13A5" w:rsidRDefault="00681463">
      <w:pPr>
        <w:pStyle w:val="BodyText"/>
        <w:ind w:left="820"/>
      </w:pPr>
      <w:r>
        <w:t>Reasonable notice of HAP contract termination by the PHA is 30 days.</w:t>
      </w:r>
    </w:p>
    <w:p w:rsidR="004E13A5" w:rsidRDefault="004E13A5">
      <w:pPr>
        <w:pStyle w:val="BodyText"/>
        <w:spacing w:before="9"/>
        <w:ind w:left="0"/>
        <w:rPr>
          <w:sz w:val="20"/>
        </w:rPr>
      </w:pPr>
    </w:p>
    <w:p w:rsidR="004E13A5" w:rsidRDefault="00681463">
      <w:pPr>
        <w:pStyle w:val="Heading4"/>
      </w:pPr>
      <w:bookmarkStart w:id="56" w:name="_TOC_250368"/>
      <w:bookmarkEnd w:id="56"/>
      <w:r>
        <w:t xml:space="preserve">8-II.H. ENFORCING FAMILY COMPLIANCE WITH </w:t>
      </w:r>
      <w:r w:rsidR="002C4221">
        <w:t>NSPIRE</w:t>
      </w:r>
      <w:r>
        <w:t xml:space="preserve"> [24 CFR 982.404(b)]</w:t>
      </w:r>
    </w:p>
    <w:p w:rsidR="004E13A5" w:rsidRDefault="00681463">
      <w:pPr>
        <w:pStyle w:val="BodyText"/>
        <w:ind w:right="302"/>
      </w:pPr>
      <w:r>
        <w:t xml:space="preserve">Families are responsible for correcting any </w:t>
      </w:r>
      <w:r w:rsidR="002C4221">
        <w:t>NSPIRE</w:t>
      </w:r>
      <w:r>
        <w:t xml:space="preserve"> violations listed in paragraph 8.I.D. If the family fails to correct a violation within the period allowed by the PHA (and any extensions), the PHA will terminate the family’s assistance, according to the policies described in Chapter 12.</w:t>
      </w:r>
    </w:p>
    <w:p w:rsidR="004E13A5" w:rsidRDefault="00681463">
      <w:pPr>
        <w:pStyle w:val="BodyText"/>
        <w:ind w:right="210"/>
      </w:pPr>
      <w:r>
        <w:t>If the owner carries out a repair for which the family is responsible under the lease, the owner may bill the family for the cost of the repair.</w:t>
      </w:r>
    </w:p>
    <w:p w:rsidR="004E13A5" w:rsidRDefault="00681463">
      <w:pPr>
        <w:pStyle w:val="Heading4"/>
        <w:spacing w:before="5" w:line="510" w:lineRule="atLeast"/>
        <w:ind w:right="1915" w:firstLine="1814"/>
      </w:pPr>
      <w:r>
        <w:t>PART III: RENT REASONABLENESS [24 CFR 982.507] 8-III.A. OVERVIEW</w:t>
      </w:r>
    </w:p>
    <w:p w:rsidR="004E13A5" w:rsidRDefault="00681463">
      <w:pPr>
        <w:pStyle w:val="BodyText"/>
        <w:spacing w:before="120"/>
      </w:pPr>
      <w:r>
        <w:t>Except in the case of certain LIHTC- and HOME-assisted units, no HAP contract can be approved until the PHA has determined that the rent for the unit is reasonable. The purpose of the rent reasonableness test is to ensure that a fair rent is paid for each unit rented under the HCV program.</w:t>
      </w:r>
    </w:p>
    <w:p w:rsidR="004E13A5" w:rsidRDefault="00681463">
      <w:pPr>
        <w:pStyle w:val="BodyText"/>
        <w:ind w:right="429"/>
      </w:pPr>
      <w:r>
        <w:t>HUD regulations define a reasonable rent as one that does not exceed the rent charged for comparable, unassisted units in the same market area. HUD also requires that owners not charge more for assisted units than for comparable units on the premises. This part explains the method used to determine whether a unit’s rent is reasonable.</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pPr>
      <w:bookmarkStart w:id="57" w:name="_TOC_250367"/>
      <w:bookmarkEnd w:id="57"/>
      <w:r>
        <w:lastRenderedPageBreak/>
        <w:t>PHA-Owned Units [24 CFR 982.352(b)]</w:t>
      </w:r>
    </w:p>
    <w:p w:rsidR="004E13A5" w:rsidRDefault="00681463">
      <w:pPr>
        <w:pStyle w:val="BodyText"/>
        <w:spacing w:before="120"/>
        <w:ind w:right="88"/>
      </w:pPr>
      <w:r>
        <w:t>In cases where an HCV family is receiving assistance in a PHA-owned unit, the PHA must obtain the services of an independent entity to determine rent reasonableness in accordance with program requirements, and to assist the family in negotiating the contract rent when the family requests assistance. A PHA-owned unit is defined as a unit that is owned by the PHA that administers the assistance under the consolidated ACC (including a unit owned by an entity substantially controlled by the PHA). The independent agency must communicate the results of the rent reasonableness determination to the family and the PHA. The independent agency must be approved by HUD, and may be the unit of general local government for the PHA jurisdiction (unless the PHA is itself the unit of general local government or an agency of such government).</w:t>
      </w:r>
    </w:p>
    <w:p w:rsidR="004E13A5" w:rsidRDefault="004E13A5">
      <w:pPr>
        <w:pStyle w:val="BodyText"/>
        <w:spacing w:before="9"/>
        <w:ind w:left="0"/>
        <w:rPr>
          <w:sz w:val="20"/>
        </w:rPr>
      </w:pPr>
    </w:p>
    <w:p w:rsidR="004E13A5" w:rsidRDefault="00681463">
      <w:pPr>
        <w:pStyle w:val="Heading4"/>
      </w:pPr>
      <w:bookmarkStart w:id="58" w:name="_TOC_250366"/>
      <w:bookmarkEnd w:id="58"/>
      <w:r>
        <w:t>8-III.B. WHEN RENT REASONABLENESS DETERMINATIONS ARE REQUIRED</w:t>
      </w:r>
    </w:p>
    <w:p w:rsidR="004E13A5" w:rsidRDefault="00681463">
      <w:pPr>
        <w:pStyle w:val="Heading4"/>
        <w:spacing w:before="119"/>
      </w:pPr>
      <w:bookmarkStart w:id="59" w:name="_TOC_250365"/>
      <w:bookmarkEnd w:id="59"/>
      <w:r>
        <w:t>Owner-Initiated Rent Determinations</w:t>
      </w:r>
    </w:p>
    <w:p w:rsidR="004E13A5" w:rsidRDefault="00681463">
      <w:pPr>
        <w:pStyle w:val="BodyText"/>
        <w:spacing w:before="120"/>
        <w:ind w:right="476"/>
      </w:pPr>
      <w:r>
        <w:t>The PHA must make a rent reasonableness determination at initial occupancy and whenever the owner requests a rent adjustment.</w:t>
      </w:r>
    </w:p>
    <w:p w:rsidR="004E13A5" w:rsidRDefault="00681463">
      <w:pPr>
        <w:pStyle w:val="BodyText"/>
        <w:ind w:right="105"/>
      </w:pPr>
      <w:r>
        <w:t>The owner and family first negotiate the rent for a unit. The PHA (or independent agency in the case of PHA-owned units) will assist the family with the negotiations upon request. At initial occupancy the PHA must determine whether the proposed rent is reasonable before a HAP</w:t>
      </w:r>
      <w:r>
        <w:rPr>
          <w:spacing w:val="-19"/>
        </w:rPr>
        <w:t xml:space="preserve"> </w:t>
      </w:r>
      <w:r>
        <w:t xml:space="preserve">Contract is signed. The owner must not change the rent during the initial lease term. Subsequent requests for rent adjustments must be consistent with the lease between the owner and the family. Rent increases will not be approved unless any failed items identified by the most recent </w:t>
      </w:r>
      <w:r w:rsidR="002C4221">
        <w:t>NSPIRE</w:t>
      </w:r>
      <w:r>
        <w:t xml:space="preserve"> inspection have been</w:t>
      </w:r>
      <w:r>
        <w:rPr>
          <w:spacing w:val="-4"/>
        </w:rPr>
        <w:t xml:space="preserve"> </w:t>
      </w:r>
      <w:r>
        <w:t>corrected.</w:t>
      </w:r>
    </w:p>
    <w:p w:rsidR="004E13A5" w:rsidRDefault="00681463">
      <w:pPr>
        <w:pStyle w:val="BodyText"/>
        <w:ind w:left="820"/>
      </w:pPr>
      <w:r>
        <w:rPr>
          <w:u w:val="single"/>
        </w:rPr>
        <w:t>PHA Policy</w:t>
      </w:r>
    </w:p>
    <w:p w:rsidR="004E13A5" w:rsidRDefault="00681463">
      <w:pPr>
        <w:pStyle w:val="BodyText"/>
        <w:ind w:left="820" w:right="82"/>
      </w:pPr>
      <w:r>
        <w:t>After the initial occupancy period, the owner may request a rent adjustment in accordance with the owner’s lease. The owner will be allowed one request for rent adjustment per 12- month period from the start of the initial occupancy period. For rent increase requests after initial lease-up, the PHA may request owners to provide information about the rents charged for other units on the premises, if the premises include more than 4 units. In evaluating the proposed rents in comparison to other units on the premises the PHA will consider unit size and length of tenancy in the other units.</w:t>
      </w:r>
    </w:p>
    <w:p w:rsidR="004E13A5" w:rsidRDefault="00681463">
      <w:pPr>
        <w:pStyle w:val="BodyText"/>
        <w:ind w:left="820" w:right="429"/>
      </w:pPr>
      <w:r>
        <w:t>The PHA will determine whether the requested increase is reasonable within 10 business days of receiving the request from the owner. The owner will be notified of the determination in writing.</w:t>
      </w:r>
    </w:p>
    <w:p w:rsidR="004E13A5" w:rsidRDefault="00681463">
      <w:pPr>
        <w:pStyle w:val="BodyText"/>
        <w:ind w:left="820"/>
      </w:pPr>
      <w:r>
        <w:t>All rents adjustments will be effective the first of the month following 90 days after the PHA’s receipt of the owner’s request or on the date specified by the owner, whichever is later.</w:t>
      </w:r>
    </w:p>
    <w:p w:rsidR="004E13A5" w:rsidRDefault="00681463">
      <w:pPr>
        <w:pStyle w:val="Heading4"/>
        <w:spacing w:before="120"/>
      </w:pPr>
      <w:bookmarkStart w:id="60" w:name="_TOC_250364"/>
      <w:bookmarkEnd w:id="60"/>
      <w:r>
        <w:t>PHA and HUD-Initiated Rent Reasonableness Determinations</w:t>
      </w:r>
    </w:p>
    <w:p w:rsidR="004E13A5" w:rsidRDefault="00681463">
      <w:pPr>
        <w:pStyle w:val="BodyText"/>
        <w:spacing w:before="120"/>
      </w:pPr>
      <w:r>
        <w:t>HUD requires the PHA to make a determination of rent reasonableness (even if the owner has not requested a change) if there is a 10 percent decrease in the Fair Market Rent that goes into effect at least 60 days before the contract anniversary date. HUD also may direct the PHA to make a determination at any other time. The PHA may decide that a new determination of rent reasonableness is needed at any time.</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123"/>
      </w:pPr>
      <w:r>
        <w:t>In addition to the instances described above, the PHA will make a determination of rent reasonableness at any time after the initial occupancy period if: (1) the PHA determines that the initial rent reasonableness determination was in error or (2) the PHA determines that the information provided by the owner about the unit or other units on the same premises was incorrect.</w:t>
      </w:r>
    </w:p>
    <w:p w:rsidR="004E13A5" w:rsidRDefault="00681463">
      <w:pPr>
        <w:pStyle w:val="Heading4"/>
        <w:spacing w:before="119"/>
      </w:pPr>
      <w:bookmarkStart w:id="61" w:name="_TOC_250363"/>
      <w:bookmarkEnd w:id="61"/>
      <w:r>
        <w:t>LIHTC and HOME-Assisted Units [24 CFR 982.507(c)]</w:t>
      </w:r>
    </w:p>
    <w:p w:rsidR="004E13A5" w:rsidRDefault="00681463">
      <w:pPr>
        <w:pStyle w:val="BodyText"/>
        <w:ind w:right="301"/>
      </w:pPr>
      <w:r>
        <w:t>For units receiving low-income housing tax credits (LIHTCs) or units assisted under HUD’s HOME Investment Partnerships (HOME) Program, a rent comparison with unassisted units is not required if the voucher rent does not exceed the rent for other LIHTC- or HOME-assisted units in the project that are not occupied by families with tenant-based assistance.</w:t>
      </w:r>
    </w:p>
    <w:p w:rsidR="004E13A5" w:rsidRDefault="00681463">
      <w:pPr>
        <w:pStyle w:val="BodyText"/>
        <w:ind w:right="89"/>
      </w:pPr>
      <w:r>
        <w:t>For LIHTCs, if the rent requested by the owner does exceed the LIHTC rents for non-voucher families, the PHA must perform a rent comparability study in accordance with program regulations. In such cases, the rent shall not exceed the lesser of: (1) the reasonable rent as determined from the rent comparability study; or (2) the payment standard established by the PHA for the unit size involved.</w:t>
      </w:r>
    </w:p>
    <w:p w:rsidR="004E13A5" w:rsidRDefault="00681463">
      <w:pPr>
        <w:pStyle w:val="Heading4"/>
        <w:spacing w:before="119"/>
      </w:pPr>
      <w:bookmarkStart w:id="62" w:name="_TOC_250362"/>
      <w:bookmarkEnd w:id="62"/>
      <w:r>
        <w:t>8-III.C. HOW COMPARABILITY IS ESTABLISHED</w:t>
      </w:r>
    </w:p>
    <w:p w:rsidR="004E13A5" w:rsidRDefault="00681463">
      <w:pPr>
        <w:pStyle w:val="Heading4"/>
        <w:spacing w:before="119"/>
      </w:pPr>
      <w:bookmarkStart w:id="63" w:name="_TOC_250361"/>
      <w:bookmarkEnd w:id="63"/>
      <w:r>
        <w:t>Factors to Consider</w:t>
      </w:r>
    </w:p>
    <w:p w:rsidR="004E13A5" w:rsidRDefault="00681463">
      <w:pPr>
        <w:pStyle w:val="BodyText"/>
        <w:ind w:right="449"/>
      </w:pPr>
      <w:r>
        <w:t>HUD requires PHAs to take into consideration the factors listed below when determining rent comparability. The PHA may use these factors to make upward or downward adjustments to the rents of comparison units when the units are not identical to the HCV-assisted unit.</w:t>
      </w:r>
    </w:p>
    <w:p w:rsidR="004E13A5" w:rsidRDefault="00681463">
      <w:pPr>
        <w:pStyle w:val="BodyText"/>
        <w:tabs>
          <w:tab w:val="left" w:pos="460"/>
        </w:tabs>
      </w:pPr>
      <w:r>
        <w:rPr>
          <w:rFonts w:ascii="Symbol" w:hAnsi="Symbol"/>
          <w:sz w:val="22"/>
        </w:rPr>
        <w:t></w:t>
      </w:r>
      <w:r>
        <w:rPr>
          <w:sz w:val="22"/>
        </w:rPr>
        <w:tab/>
      </w:r>
      <w:r>
        <w:t>Location and</w:t>
      </w:r>
      <w:r>
        <w:rPr>
          <w:spacing w:val="-3"/>
        </w:rPr>
        <w:t xml:space="preserve"> </w:t>
      </w:r>
      <w:r>
        <w:t>age</w:t>
      </w:r>
    </w:p>
    <w:p w:rsidR="004E13A5" w:rsidRDefault="00681463">
      <w:pPr>
        <w:pStyle w:val="BodyText"/>
        <w:tabs>
          <w:tab w:val="left" w:pos="460"/>
        </w:tabs>
      </w:pPr>
      <w:r>
        <w:rPr>
          <w:rFonts w:ascii="Symbol" w:hAnsi="Symbol"/>
          <w:sz w:val="22"/>
        </w:rPr>
        <w:t></w:t>
      </w:r>
      <w:r>
        <w:rPr>
          <w:sz w:val="22"/>
        </w:rPr>
        <w:tab/>
      </w:r>
      <w:r>
        <w:t>Unit size including the number of rooms and square footage of</w:t>
      </w:r>
      <w:r>
        <w:rPr>
          <w:spacing w:val="-8"/>
        </w:rPr>
        <w:t xml:space="preserve"> </w:t>
      </w:r>
      <w:r>
        <w:t>rooms</w:t>
      </w:r>
    </w:p>
    <w:p w:rsidR="004E13A5" w:rsidRDefault="00681463">
      <w:pPr>
        <w:pStyle w:val="BodyText"/>
        <w:tabs>
          <w:tab w:val="left" w:pos="460"/>
        </w:tabs>
        <w:spacing w:before="120"/>
        <w:ind w:left="460" w:right="164" w:hanging="360"/>
      </w:pPr>
      <w:r>
        <w:rPr>
          <w:rFonts w:ascii="Symbol" w:hAnsi="Symbol"/>
          <w:sz w:val="22"/>
        </w:rPr>
        <w:t></w:t>
      </w:r>
      <w:r>
        <w:rPr>
          <w:sz w:val="22"/>
        </w:rPr>
        <w:tab/>
      </w:r>
      <w:r>
        <w:t>The type of unit including construction type (e.g., single family, duplex, garden,</w:t>
      </w:r>
      <w:r>
        <w:rPr>
          <w:spacing w:val="-13"/>
        </w:rPr>
        <w:t xml:space="preserve"> </w:t>
      </w:r>
      <w:r>
        <w:t>low-rise,</w:t>
      </w:r>
      <w:r>
        <w:rPr>
          <w:spacing w:val="-1"/>
        </w:rPr>
        <w:t xml:space="preserve"> </w:t>
      </w:r>
      <w:r>
        <w:t>high- rise)</w:t>
      </w:r>
    </w:p>
    <w:p w:rsidR="004E13A5" w:rsidRDefault="00681463">
      <w:pPr>
        <w:pStyle w:val="BodyText"/>
        <w:tabs>
          <w:tab w:val="left" w:pos="460"/>
        </w:tabs>
        <w:spacing w:before="120"/>
        <w:ind w:left="460" w:right="650" w:hanging="360"/>
      </w:pPr>
      <w:r>
        <w:rPr>
          <w:rFonts w:ascii="Symbol" w:hAnsi="Symbol"/>
          <w:sz w:val="22"/>
        </w:rPr>
        <w:t></w:t>
      </w:r>
      <w:r>
        <w:rPr>
          <w:sz w:val="22"/>
        </w:rPr>
        <w:tab/>
      </w:r>
      <w:r>
        <w:t>The quality of the units including the quality of the original construction,</w:t>
      </w:r>
      <w:r>
        <w:rPr>
          <w:spacing w:val="-17"/>
        </w:rPr>
        <w:t xml:space="preserve"> </w:t>
      </w:r>
      <w:r>
        <w:t>maintenance and improvements</w:t>
      </w:r>
      <w:r>
        <w:rPr>
          <w:spacing w:val="-4"/>
        </w:rPr>
        <w:t xml:space="preserve"> </w:t>
      </w:r>
      <w:r>
        <w:t>made</w:t>
      </w:r>
    </w:p>
    <w:p w:rsidR="004E13A5" w:rsidRDefault="00681463">
      <w:pPr>
        <w:pStyle w:val="BodyText"/>
        <w:tabs>
          <w:tab w:val="left" w:pos="460"/>
        </w:tabs>
        <w:spacing w:before="120"/>
      </w:pPr>
      <w:r>
        <w:rPr>
          <w:rFonts w:ascii="Symbol" w:hAnsi="Symbol"/>
          <w:sz w:val="22"/>
        </w:rPr>
        <w:t></w:t>
      </w:r>
      <w:r>
        <w:rPr>
          <w:sz w:val="22"/>
        </w:rPr>
        <w:tab/>
      </w:r>
      <w:r>
        <w:t>Amenities, services, and utilities included in the</w:t>
      </w:r>
      <w:r>
        <w:rPr>
          <w:spacing w:val="-9"/>
        </w:rPr>
        <w:t xml:space="preserve"> </w:t>
      </w:r>
      <w:r>
        <w:t>rent</w:t>
      </w:r>
    </w:p>
    <w:p w:rsidR="004E13A5" w:rsidRDefault="00681463">
      <w:pPr>
        <w:pStyle w:val="Heading4"/>
        <w:spacing w:before="120"/>
      </w:pPr>
      <w:bookmarkStart w:id="64" w:name="_TOC_250360"/>
      <w:bookmarkEnd w:id="64"/>
      <w:r>
        <w:t>Units that Must Not Be Used as Comparables</w:t>
      </w:r>
    </w:p>
    <w:p w:rsidR="004E13A5" w:rsidRDefault="00681463">
      <w:pPr>
        <w:pStyle w:val="BodyText"/>
        <w:spacing w:before="120"/>
        <w:ind w:right="138"/>
      </w:pPr>
      <w:r>
        <w:t>Comparable units must represent unrestricted market rents. Therefore, units that receive some form of federal, state, or local assistance that imposes rent restrictions cannot be considered comparable units. These include units assisted by HUD through any of the following programs: Section 8 project-based assistance, Section 236 and Section 221(d)(3) Below Market Interest Rate (BMIR) projects, HOME or Community Development Block Grant (CDBG) program-assisted units in which the rents are subsidized; units subsidized through federal, state, or local tax credits; units subsidized by the Department of Agriculture rural housing programs, and units that are rent- controlled by local ordinance [Notice PIH 2002-22, Notice PIH 2005-20 and Notice PIH 2020-19].</w:t>
      </w:r>
    </w:p>
    <w:p w:rsidR="004E13A5" w:rsidRDefault="00681463">
      <w:pPr>
        <w:pStyle w:val="BodyText"/>
        <w:spacing w:before="120"/>
        <w:ind w:right="188"/>
      </w:pPr>
      <w:r>
        <w:rPr>
          <w:b/>
          <w:i/>
        </w:rPr>
        <w:t xml:space="preserve">Note: </w:t>
      </w:r>
      <w:r>
        <w:t>Notice PIH 2020-19, issued August 21, 2020, provides further guidance on the issue of what constitutes an assisted unit.</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pPr>
      <w:bookmarkStart w:id="65" w:name="_TOC_250359"/>
      <w:bookmarkEnd w:id="65"/>
      <w:r>
        <w:lastRenderedPageBreak/>
        <w:t>Rents Charged for Other Units on the Premises</w:t>
      </w:r>
    </w:p>
    <w:p w:rsidR="004E13A5" w:rsidRDefault="00681463">
      <w:pPr>
        <w:pStyle w:val="BodyText"/>
        <w:spacing w:before="120"/>
        <w:ind w:right="269"/>
      </w:pPr>
      <w:r>
        <w:t>The Request for Tenancy Approval (HUD-52517) requires owners to provide information, on the form itself, about the rent charged for other unassisted comparable units on the premises if the premises include more than 4 units.</w:t>
      </w:r>
    </w:p>
    <w:p w:rsidR="004E13A5" w:rsidRDefault="00681463">
      <w:pPr>
        <w:pStyle w:val="BodyText"/>
        <w:ind w:right="409"/>
        <w:jc w:val="both"/>
      </w:pPr>
      <w:r>
        <w:t>By accepting the PHA payment each month the owner certifies that the rent is not more than the rent charged for comparable unassisted units on the premises. If asked to do so, the owner must give the PHA information regarding rents charged for other units on the premises.</w:t>
      </w:r>
    </w:p>
    <w:p w:rsidR="004E13A5" w:rsidRDefault="004E13A5">
      <w:pPr>
        <w:pStyle w:val="BodyText"/>
        <w:spacing w:before="9"/>
        <w:ind w:left="0"/>
        <w:rPr>
          <w:sz w:val="20"/>
        </w:rPr>
      </w:pPr>
    </w:p>
    <w:p w:rsidR="004E13A5" w:rsidRDefault="00681463">
      <w:pPr>
        <w:pStyle w:val="Heading4"/>
      </w:pPr>
      <w:bookmarkStart w:id="66" w:name="_TOC_250358"/>
      <w:bookmarkEnd w:id="66"/>
      <w:r>
        <w:t>8-III.D. PHA RENT REASONABLENESS METHODOLOGY</w:t>
      </w:r>
    </w:p>
    <w:p w:rsidR="004E13A5" w:rsidRDefault="00681463">
      <w:pPr>
        <w:pStyle w:val="Heading4"/>
        <w:spacing w:before="119"/>
      </w:pPr>
      <w:bookmarkStart w:id="67" w:name="_TOC_250357"/>
      <w:bookmarkEnd w:id="67"/>
      <w:r>
        <w:t>How Market Data Is Collected</w:t>
      </w:r>
    </w:p>
    <w:p w:rsidR="004E13A5" w:rsidRDefault="00681463">
      <w:pPr>
        <w:pStyle w:val="BodyText"/>
        <w:ind w:left="820"/>
      </w:pPr>
      <w:r>
        <w:rPr>
          <w:u w:val="single"/>
        </w:rPr>
        <w:t>PHA Policy</w:t>
      </w:r>
    </w:p>
    <w:p w:rsidR="004E13A5" w:rsidRDefault="00681463">
      <w:pPr>
        <w:pStyle w:val="BodyText"/>
        <w:ind w:left="820"/>
      </w:pPr>
      <w:r>
        <w:t>The PHA will collect and maintain data on market rents in the PHA's jurisdiction. Information sources include newspapers, realtors, market surveys, inquiries of owners and other available sources. The data will be maintained by bedroom size and market areas.</w:t>
      </w:r>
    </w:p>
    <w:p w:rsidR="004E13A5" w:rsidRDefault="00681463">
      <w:pPr>
        <w:pStyle w:val="BodyText"/>
        <w:spacing w:before="0"/>
        <w:ind w:left="820" w:right="503"/>
        <w:jc w:val="both"/>
      </w:pPr>
      <w:r>
        <w:t>Market areas may be defined by zip codes, census tract, neighborhood, and identifiable natural or man-made boundaries. The data will be updated on an ongoing basis and</w:t>
      </w:r>
      <w:r>
        <w:rPr>
          <w:spacing w:val="-13"/>
        </w:rPr>
        <w:t xml:space="preserve"> </w:t>
      </w:r>
      <w:r>
        <w:t>rent information that is more than 12 months old will be eliminated from the</w:t>
      </w:r>
      <w:r>
        <w:rPr>
          <w:spacing w:val="-16"/>
        </w:rPr>
        <w:t xml:space="preserve"> </w:t>
      </w:r>
      <w:r>
        <w:t>database.</w:t>
      </w:r>
    </w:p>
    <w:p w:rsidR="004E13A5" w:rsidRDefault="00681463">
      <w:pPr>
        <w:pStyle w:val="Heading4"/>
        <w:spacing w:before="120"/>
      </w:pPr>
      <w:bookmarkStart w:id="68" w:name="_TOC_250356"/>
      <w:bookmarkEnd w:id="68"/>
      <w:r>
        <w:t>How Rents Are Determined</w:t>
      </w:r>
    </w:p>
    <w:p w:rsidR="004E13A5" w:rsidRDefault="00681463">
      <w:pPr>
        <w:pStyle w:val="BodyText"/>
        <w:ind w:left="820"/>
      </w:pPr>
      <w:r>
        <w:rPr>
          <w:u w:val="single"/>
        </w:rPr>
        <w:t>PHA Policy</w:t>
      </w:r>
    </w:p>
    <w:p w:rsidR="004E13A5" w:rsidRDefault="00681463">
      <w:pPr>
        <w:pStyle w:val="BodyText"/>
        <w:ind w:left="820" w:right="369"/>
      </w:pPr>
      <w:r>
        <w:t>The rent for a unit proposed for HCV assistance will be compared to the rent charged for comparable units in the same market area. The PHA will develop a range of prices for comparable units by bedroom size within defined market areas. Units proposed for HCV assistance will be compared to the units within this rent range. Because units may be similar, but not exactly like the unit proposed for HCV assistance, the PHA may make adjustments to the range of prices to account for these differences.</w:t>
      </w:r>
    </w:p>
    <w:p w:rsidR="004E13A5" w:rsidRDefault="00681463">
      <w:pPr>
        <w:pStyle w:val="BodyText"/>
        <w:ind w:left="820" w:right="101"/>
      </w:pPr>
      <w:r>
        <w:t>The adjustment must reflect the local market. Not all differences in units require adjustments (e.g., the presence or absence of a garbage disposal may not affect the rent in some market areas).</w:t>
      </w:r>
    </w:p>
    <w:p w:rsidR="004E13A5" w:rsidRDefault="00681463">
      <w:pPr>
        <w:pStyle w:val="BodyText"/>
        <w:ind w:left="820" w:right="484"/>
      </w:pPr>
      <w:r>
        <w:t>Adjustments may vary by unit type (e.g., a second bathroom may be more valuable in a three-bedroom unit than in a two-bedroom).</w:t>
      </w:r>
    </w:p>
    <w:p w:rsidR="004E13A5" w:rsidRDefault="00681463">
      <w:pPr>
        <w:pStyle w:val="BodyText"/>
        <w:ind w:left="820" w:right="409"/>
      </w:pPr>
      <w:r>
        <w:t>The adjustment must reflect the rental value of the difference—not its construction costs (e.g., it might cost $20,000 to put on a new roof, but the new roof might not make any difference in what a tenant would be willing to pay because rental units are presumed to have functioning roofs).</w:t>
      </w:r>
    </w:p>
    <w:p w:rsidR="004E13A5" w:rsidRDefault="00681463">
      <w:pPr>
        <w:pStyle w:val="BodyText"/>
        <w:spacing w:before="120"/>
        <w:ind w:left="820" w:right="86"/>
      </w:pPr>
      <w:r>
        <w:t>When a comparable project offers rent concessions (e.g., first month rent-free, or reduced rent) reported monthly rents will be adjusted accordingly. For example, if a comparable project reports rents of $500/month but new tenants receive the first month's rent free, the actual rent for the unit would be calculated as follows: $500 x 11 months = 5500/12 months</w:t>
      </w:r>
    </w:p>
    <w:p w:rsidR="004E13A5" w:rsidRDefault="00681463">
      <w:pPr>
        <w:pStyle w:val="BodyText"/>
        <w:spacing w:before="0"/>
        <w:ind w:left="820"/>
      </w:pPr>
      <w:r>
        <w:t>= actual monthly rent of $488.</w:t>
      </w:r>
    </w:p>
    <w:p w:rsidR="004E13A5" w:rsidRDefault="00681463">
      <w:pPr>
        <w:pStyle w:val="BodyText"/>
        <w:spacing w:before="120"/>
        <w:ind w:left="820" w:right="102"/>
      </w:pPr>
      <w:r>
        <w:t>The PHA will notify the owner of the rent the PHA can approve based upon its analysis of rents for comparable units. The owner may submit information about other comparable units in the market area. The PHA will confirm the accuracy of the information provided and consider this additional information when making rent determinations. The owner must</w:t>
      </w:r>
    </w:p>
    <w:p w:rsidR="004E13A5" w:rsidRDefault="004E13A5">
      <w:pPr>
        <w:sectPr w:rsidR="004E13A5">
          <w:pgSz w:w="12240" w:h="15840"/>
          <w:pgMar w:top="1000" w:right="1280" w:bottom="1240" w:left="1220" w:header="0" w:footer="998" w:gutter="0"/>
          <w:cols w:space="720"/>
        </w:sectPr>
      </w:pPr>
    </w:p>
    <w:p w:rsidR="004E13A5" w:rsidRDefault="00681463">
      <w:pPr>
        <w:pStyle w:val="BodyText"/>
        <w:spacing w:before="79"/>
        <w:ind w:left="820" w:right="1001"/>
      </w:pPr>
      <w:r>
        <w:lastRenderedPageBreak/>
        <w:t>submit any additional information within 5 business days of the PHA’s request for information or the owner’s request to submit information.</w:t>
      </w:r>
    </w:p>
    <w:p w:rsidR="004E13A5" w:rsidRDefault="00681463">
      <w:pPr>
        <w:pStyle w:val="Heading4"/>
        <w:spacing w:before="120"/>
      </w:pPr>
      <w:bookmarkStart w:id="69" w:name="_TOC_250355"/>
      <w:bookmarkEnd w:id="69"/>
      <w:r>
        <w:t>EXHIBIT 8-1: OVERVIEW OF HUD HOUSING QUALITY STANDARDS</w:t>
      </w:r>
    </w:p>
    <w:p w:rsidR="004E13A5" w:rsidRDefault="00681463">
      <w:pPr>
        <w:pStyle w:val="BodyText"/>
        <w:ind w:right="415"/>
      </w:pPr>
      <w:r>
        <w:t xml:space="preserve">Note: This document provides an overview of </w:t>
      </w:r>
      <w:r w:rsidR="002C4221">
        <w:t>NSPIRE</w:t>
      </w:r>
      <w:r>
        <w:t>. For more detailed information see the following documents:</w:t>
      </w:r>
    </w:p>
    <w:p w:rsidR="004E13A5" w:rsidRDefault="00681463">
      <w:pPr>
        <w:pStyle w:val="BodyText"/>
        <w:tabs>
          <w:tab w:val="left" w:pos="460"/>
        </w:tabs>
      </w:pPr>
      <w:r>
        <w:rPr>
          <w:rFonts w:ascii="Symbol" w:hAnsi="Symbol"/>
          <w:sz w:val="20"/>
        </w:rPr>
        <w:t></w:t>
      </w:r>
      <w:r>
        <w:rPr>
          <w:sz w:val="20"/>
        </w:rPr>
        <w:tab/>
      </w:r>
      <w:r>
        <w:t>24 CFR 982.401, Housing Quality Standards</w:t>
      </w:r>
      <w:r>
        <w:rPr>
          <w:spacing w:val="-11"/>
        </w:rPr>
        <w:t xml:space="preserve"> </w:t>
      </w:r>
      <w:r>
        <w:t>(</w:t>
      </w:r>
      <w:r w:rsidR="002C4221">
        <w:t>NSPIRE</w:t>
      </w:r>
      <w:r>
        <w:t>)</w:t>
      </w:r>
    </w:p>
    <w:p w:rsidR="004E13A5" w:rsidRDefault="00681463">
      <w:pPr>
        <w:pStyle w:val="BodyText"/>
        <w:tabs>
          <w:tab w:val="left" w:pos="460"/>
        </w:tabs>
      </w:pPr>
      <w:r>
        <w:rPr>
          <w:rFonts w:ascii="Symbol" w:hAnsi="Symbol"/>
          <w:sz w:val="20"/>
        </w:rPr>
        <w:t></w:t>
      </w:r>
      <w:r>
        <w:rPr>
          <w:sz w:val="20"/>
        </w:rPr>
        <w:tab/>
      </w:r>
      <w:r>
        <w:t>Housing Choice Voucher Guidebook, Chapter</w:t>
      </w:r>
      <w:r>
        <w:rPr>
          <w:spacing w:val="-7"/>
        </w:rPr>
        <w:t xml:space="preserve"> </w:t>
      </w:r>
      <w:r>
        <w:t>10.</w:t>
      </w:r>
    </w:p>
    <w:p w:rsidR="004E13A5" w:rsidRDefault="00681463">
      <w:pPr>
        <w:pStyle w:val="BodyText"/>
        <w:tabs>
          <w:tab w:val="left" w:pos="460"/>
        </w:tabs>
      </w:pPr>
      <w:r>
        <w:rPr>
          <w:rFonts w:ascii="Symbol" w:hAnsi="Symbol"/>
          <w:sz w:val="20"/>
        </w:rPr>
        <w:t></w:t>
      </w:r>
      <w:r>
        <w:rPr>
          <w:sz w:val="20"/>
        </w:rPr>
        <w:tab/>
      </w:r>
      <w:r>
        <w:t>HUD Housing Inspection Manual for Section 8</w:t>
      </w:r>
      <w:r>
        <w:rPr>
          <w:spacing w:val="-9"/>
        </w:rPr>
        <w:t xml:space="preserve"> </w:t>
      </w:r>
      <w:r>
        <w:t>Housing</w:t>
      </w:r>
    </w:p>
    <w:p w:rsidR="004E13A5" w:rsidRDefault="00681463">
      <w:pPr>
        <w:pStyle w:val="BodyText"/>
        <w:tabs>
          <w:tab w:val="left" w:pos="460"/>
        </w:tabs>
        <w:ind w:left="460" w:right="113" w:hanging="360"/>
      </w:pPr>
      <w:r>
        <w:rPr>
          <w:rFonts w:ascii="Symbol" w:hAnsi="Symbol"/>
          <w:sz w:val="20"/>
        </w:rPr>
        <w:t></w:t>
      </w:r>
      <w:r>
        <w:rPr>
          <w:sz w:val="20"/>
        </w:rPr>
        <w:tab/>
      </w:r>
      <w:r>
        <w:t>HUD Inspection Form, form HUD-52580 (3/01) and Inspection Checklist,</w:t>
      </w:r>
      <w:r>
        <w:rPr>
          <w:spacing w:val="-13"/>
        </w:rPr>
        <w:t xml:space="preserve"> </w:t>
      </w:r>
      <w:r>
        <w:t>form</w:t>
      </w:r>
      <w:r>
        <w:rPr>
          <w:spacing w:val="-3"/>
        </w:rPr>
        <w:t xml:space="preserve"> </w:t>
      </w:r>
      <w:r>
        <w:t>HUD-52580-A</w:t>
      </w:r>
      <w:r>
        <w:rPr>
          <w:w w:val="99"/>
        </w:rPr>
        <w:t xml:space="preserve"> </w:t>
      </w:r>
      <w:r>
        <w:t>(9/00)</w:t>
      </w:r>
    </w:p>
    <w:p w:rsidR="004E13A5" w:rsidRDefault="00681463">
      <w:pPr>
        <w:pStyle w:val="Heading4"/>
        <w:spacing w:before="119"/>
      </w:pPr>
      <w:r>
        <w:t>Sanitary Facilities</w:t>
      </w:r>
    </w:p>
    <w:p w:rsidR="004E13A5" w:rsidRDefault="00681463">
      <w:pPr>
        <w:pStyle w:val="BodyText"/>
        <w:spacing w:before="120"/>
        <w:ind w:right="269"/>
      </w:pPr>
      <w:r>
        <w:t>The dwelling unit must include sanitary facilities within the unit. The sanitary facilities must be usable in privacy and must be in proper operating condition and adequate for personal cleanliness and disposal of human waste.</w:t>
      </w:r>
    </w:p>
    <w:p w:rsidR="004E13A5" w:rsidRDefault="00681463">
      <w:pPr>
        <w:pStyle w:val="Heading4"/>
        <w:spacing w:before="119"/>
      </w:pPr>
      <w:r>
        <w:t>Food Preparation and Refuse Disposal</w:t>
      </w:r>
    </w:p>
    <w:p w:rsidR="004E13A5" w:rsidRDefault="00681463">
      <w:pPr>
        <w:pStyle w:val="BodyText"/>
        <w:ind w:right="556"/>
      </w:pPr>
      <w:r>
        <w:t>The dwelling unit must have space and equipment suitable for the family to store, prepare, and serve food in a sanitary manner.</w:t>
      </w:r>
    </w:p>
    <w:p w:rsidR="004E13A5" w:rsidRDefault="00681463">
      <w:pPr>
        <w:pStyle w:val="Heading4"/>
        <w:spacing w:before="119"/>
      </w:pPr>
      <w:r>
        <w:t>Space and Security</w:t>
      </w:r>
    </w:p>
    <w:p w:rsidR="004E13A5" w:rsidRDefault="00681463">
      <w:pPr>
        <w:pStyle w:val="BodyText"/>
      </w:pPr>
      <w:r>
        <w:t>The dwelling unit must provide adequate space and security for the family. This includes having at least one bedroom or living/sleeping room for each two persons.</w:t>
      </w:r>
    </w:p>
    <w:p w:rsidR="004E13A5" w:rsidRDefault="00681463">
      <w:pPr>
        <w:pStyle w:val="Heading4"/>
        <w:spacing w:before="119"/>
      </w:pPr>
      <w:r>
        <w:t>Thermal Environment</w:t>
      </w:r>
    </w:p>
    <w:p w:rsidR="004E13A5" w:rsidRDefault="00681463">
      <w:pPr>
        <w:pStyle w:val="BodyText"/>
        <w:ind w:right="117"/>
      </w:pPr>
      <w:r>
        <w:t>The unit must have a safe system for heating the dwelling unit. Air conditioning is not required but if provided must be in proper operating condition. The dwelling unit must not contain unvented room heaters that burn gas, oil, or kerosene. Portable electric room heaters or kitchen stoves with built-in heating units are not acceptable as a primary source of heat for units located in climatic areas where permanent heat systems are required.</w:t>
      </w:r>
    </w:p>
    <w:p w:rsidR="004E13A5" w:rsidRDefault="00681463">
      <w:pPr>
        <w:pStyle w:val="Heading4"/>
        <w:spacing w:before="119"/>
      </w:pPr>
      <w:r>
        <w:t>Illumination and Electricity</w:t>
      </w:r>
    </w:p>
    <w:p w:rsidR="004E13A5" w:rsidRDefault="00681463">
      <w:pPr>
        <w:pStyle w:val="BodyText"/>
        <w:ind w:right="136"/>
      </w:pPr>
      <w:r>
        <w:t>Each room must have adequate natural or artificial illumination to permit normal indoor activities and to support the health and safety of occupants. The dwelling unit must have sufficient electrical sources so occupants can use essential electrical appliances. Minimum standards are set for different types of rooms. Once the minimum standards are met, the number, type and location of electrical sources are a matter of tenant preference.</w:t>
      </w:r>
    </w:p>
    <w:p w:rsidR="004E13A5" w:rsidRDefault="00681463">
      <w:pPr>
        <w:pStyle w:val="Heading4"/>
        <w:spacing w:before="120"/>
      </w:pPr>
      <w:r>
        <w:t>Structure and Materials</w:t>
      </w:r>
    </w:p>
    <w:p w:rsidR="004E13A5" w:rsidRDefault="00681463">
      <w:pPr>
        <w:pStyle w:val="BodyText"/>
        <w:spacing w:before="120"/>
        <w:ind w:right="429"/>
      </w:pPr>
      <w:r>
        <w:t>The dwelling unit must be structurally sound. Handrails are required when four or more steps (risers) are present, and protective railings are required when porches, balconies, and stoops are thirty inches or more off the ground. The elevator servicing the unit must be working [if there is one]. Manufactured homes must have proper tie-down devices capable of surviving wind loads common to the area.</w:t>
      </w:r>
    </w:p>
    <w:p w:rsidR="004E13A5" w:rsidRDefault="004E13A5">
      <w:pPr>
        <w:sectPr w:rsidR="004E13A5">
          <w:pgSz w:w="12240" w:h="15840"/>
          <w:pgMar w:top="1000" w:right="1260" w:bottom="1240" w:left="1220" w:header="0" w:footer="998" w:gutter="0"/>
          <w:cols w:space="720"/>
        </w:sectPr>
      </w:pPr>
    </w:p>
    <w:p w:rsidR="004E13A5" w:rsidRDefault="00681463">
      <w:pPr>
        <w:pStyle w:val="Heading4"/>
        <w:spacing w:before="79"/>
      </w:pPr>
      <w:r>
        <w:lastRenderedPageBreak/>
        <w:t>Interior Air Quality</w:t>
      </w:r>
    </w:p>
    <w:p w:rsidR="004E13A5" w:rsidRDefault="00681463">
      <w:pPr>
        <w:pStyle w:val="BodyText"/>
        <w:spacing w:before="120"/>
        <w:ind w:right="342"/>
      </w:pPr>
      <w:r>
        <w:t>The dwelling unit must be free of air pollutant levels that threaten the occupants’ health. There must be adequate air circulation in the dwelling unit. Bathroom areas must have one openable window or other adequate ventilation. Any sleeping room must have at least one window. If a window was designed to be opened, it must be in proper working order.</w:t>
      </w:r>
    </w:p>
    <w:p w:rsidR="004E13A5" w:rsidRDefault="00681463">
      <w:pPr>
        <w:pStyle w:val="Heading4"/>
        <w:spacing w:before="119"/>
      </w:pPr>
      <w:r>
        <w:t>Water Supply</w:t>
      </w:r>
    </w:p>
    <w:p w:rsidR="004E13A5" w:rsidRDefault="00681463">
      <w:pPr>
        <w:pStyle w:val="BodyText"/>
        <w:ind w:right="122"/>
      </w:pPr>
      <w:r>
        <w:t>The dwelling unit must be served by an approved public or private water supply that is sanitary and free from contamination. Plumbing fixtures and pipes must be free of leaks and threats to health and safety.</w:t>
      </w:r>
    </w:p>
    <w:p w:rsidR="004E13A5" w:rsidRDefault="00681463">
      <w:pPr>
        <w:pStyle w:val="Heading4"/>
        <w:spacing w:before="119"/>
      </w:pPr>
      <w:r>
        <w:t>Lead-Based Paint</w:t>
      </w:r>
    </w:p>
    <w:p w:rsidR="004E13A5" w:rsidRDefault="00681463">
      <w:pPr>
        <w:pStyle w:val="BodyText"/>
        <w:ind w:right="269"/>
      </w:pPr>
      <w:r>
        <w:t>Lead-based paint requirements apply to dwelling units built prior to 1978 that are occupied or can be occupied by families with children under six years of age, excluding zero bedroom dwellings. Owners must:</w:t>
      </w:r>
    </w:p>
    <w:p w:rsidR="004E13A5" w:rsidRDefault="00681463">
      <w:pPr>
        <w:pStyle w:val="BodyText"/>
        <w:tabs>
          <w:tab w:val="left" w:pos="460"/>
        </w:tabs>
      </w:pPr>
      <w:r>
        <w:rPr>
          <w:rFonts w:ascii="Symbol" w:hAnsi="Symbol"/>
          <w:sz w:val="20"/>
        </w:rPr>
        <w:t></w:t>
      </w:r>
      <w:r>
        <w:rPr>
          <w:sz w:val="20"/>
        </w:rPr>
        <w:tab/>
      </w:r>
      <w:r>
        <w:t>Disclose known lead-based paint hazards to prospective tenants before the lease is</w:t>
      </w:r>
      <w:r>
        <w:rPr>
          <w:spacing w:val="-14"/>
        </w:rPr>
        <w:t xml:space="preserve"> </w:t>
      </w:r>
      <w:r>
        <w:t>signed,</w:t>
      </w:r>
    </w:p>
    <w:p w:rsidR="004E13A5" w:rsidRDefault="00681463">
      <w:pPr>
        <w:pStyle w:val="BodyText"/>
        <w:tabs>
          <w:tab w:val="left" w:pos="460"/>
        </w:tabs>
      </w:pPr>
      <w:r>
        <w:rPr>
          <w:rFonts w:ascii="Symbol" w:hAnsi="Symbol"/>
          <w:sz w:val="20"/>
        </w:rPr>
        <w:t></w:t>
      </w:r>
      <w:r>
        <w:rPr>
          <w:sz w:val="20"/>
        </w:rPr>
        <w:tab/>
      </w:r>
      <w:r>
        <w:t>provide all prospective families with "Protect Your Family from Lead in Your</w:t>
      </w:r>
      <w:r>
        <w:rPr>
          <w:spacing w:val="-16"/>
        </w:rPr>
        <w:t xml:space="preserve"> </w:t>
      </w:r>
      <w:r>
        <w:t>Home",</w:t>
      </w:r>
    </w:p>
    <w:p w:rsidR="004E13A5" w:rsidRDefault="00681463">
      <w:pPr>
        <w:pStyle w:val="BodyText"/>
        <w:tabs>
          <w:tab w:val="left" w:pos="460"/>
        </w:tabs>
        <w:ind w:left="460" w:right="367" w:hanging="360"/>
      </w:pPr>
      <w:r>
        <w:rPr>
          <w:rFonts w:ascii="Symbol" w:hAnsi="Symbol"/>
          <w:sz w:val="20"/>
        </w:rPr>
        <w:t></w:t>
      </w:r>
      <w:r>
        <w:rPr>
          <w:sz w:val="20"/>
        </w:rPr>
        <w:tab/>
      </w:r>
      <w:r>
        <w:t>Stabilize deteriorated painted surfaces and conduct hazard reduction activities within</w:t>
      </w:r>
      <w:r>
        <w:rPr>
          <w:spacing w:val="-11"/>
        </w:rPr>
        <w:t xml:space="preserve"> </w:t>
      </w:r>
      <w:r>
        <w:t>30</w:t>
      </w:r>
      <w:r>
        <w:rPr>
          <w:spacing w:val="-2"/>
        </w:rPr>
        <w:t xml:space="preserve"> </w:t>
      </w:r>
      <w:r>
        <w:t>days</w:t>
      </w:r>
      <w:r>
        <w:rPr>
          <w:w w:val="99"/>
        </w:rPr>
        <w:t xml:space="preserve"> </w:t>
      </w:r>
      <w:r>
        <w:t>when identified by the</w:t>
      </w:r>
      <w:r>
        <w:rPr>
          <w:spacing w:val="-3"/>
        </w:rPr>
        <w:t xml:space="preserve"> </w:t>
      </w:r>
      <w:r>
        <w:t>PHA</w:t>
      </w:r>
    </w:p>
    <w:p w:rsidR="004E13A5" w:rsidRDefault="00681463">
      <w:pPr>
        <w:pStyle w:val="BodyText"/>
        <w:tabs>
          <w:tab w:val="left" w:pos="460"/>
        </w:tabs>
      </w:pPr>
      <w:r>
        <w:rPr>
          <w:rFonts w:ascii="Symbol" w:hAnsi="Symbol"/>
          <w:sz w:val="20"/>
        </w:rPr>
        <w:t></w:t>
      </w:r>
      <w:r>
        <w:rPr>
          <w:sz w:val="20"/>
        </w:rPr>
        <w:tab/>
      </w:r>
      <w:r>
        <w:t>Notify tenants each time such an activity is</w:t>
      </w:r>
      <w:r>
        <w:rPr>
          <w:spacing w:val="-8"/>
        </w:rPr>
        <w:t xml:space="preserve"> </w:t>
      </w:r>
      <w:r>
        <w:t>performed</w:t>
      </w:r>
    </w:p>
    <w:p w:rsidR="004E13A5" w:rsidRDefault="00681463">
      <w:pPr>
        <w:pStyle w:val="BodyText"/>
        <w:tabs>
          <w:tab w:val="left" w:pos="460"/>
        </w:tabs>
      </w:pPr>
      <w:r>
        <w:rPr>
          <w:rFonts w:ascii="Symbol" w:hAnsi="Symbol"/>
          <w:sz w:val="20"/>
        </w:rPr>
        <w:t></w:t>
      </w:r>
      <w:r>
        <w:rPr>
          <w:sz w:val="20"/>
        </w:rPr>
        <w:tab/>
      </w:r>
      <w:r>
        <w:t>Conduct all work in accordance with HUD safe</w:t>
      </w:r>
      <w:r>
        <w:rPr>
          <w:spacing w:val="-11"/>
        </w:rPr>
        <w:t xml:space="preserve"> </w:t>
      </w:r>
      <w:r>
        <w:t>practices</w:t>
      </w:r>
    </w:p>
    <w:p w:rsidR="004E13A5" w:rsidRDefault="00681463">
      <w:pPr>
        <w:pStyle w:val="BodyText"/>
        <w:tabs>
          <w:tab w:val="left" w:pos="460"/>
        </w:tabs>
      </w:pPr>
      <w:r>
        <w:rPr>
          <w:rFonts w:ascii="Symbol" w:hAnsi="Symbol"/>
          <w:sz w:val="20"/>
        </w:rPr>
        <w:t></w:t>
      </w:r>
      <w:r>
        <w:rPr>
          <w:sz w:val="20"/>
        </w:rPr>
        <w:tab/>
      </w:r>
      <w:r>
        <w:t>As part of ongoing maintenance ask each family to report deteriorated</w:t>
      </w:r>
      <w:r>
        <w:rPr>
          <w:spacing w:val="-14"/>
        </w:rPr>
        <w:t xml:space="preserve"> </w:t>
      </w:r>
      <w:r>
        <w:t>paint.</w:t>
      </w:r>
    </w:p>
    <w:p w:rsidR="004E13A5" w:rsidRDefault="00681463">
      <w:pPr>
        <w:pStyle w:val="BodyText"/>
        <w:tabs>
          <w:tab w:val="left" w:pos="460"/>
        </w:tabs>
      </w:pPr>
      <w:r>
        <w:rPr>
          <w:rFonts w:ascii="Symbol" w:hAnsi="Symbol"/>
          <w:sz w:val="20"/>
        </w:rPr>
        <w:t></w:t>
      </w:r>
      <w:r>
        <w:rPr>
          <w:sz w:val="20"/>
        </w:rPr>
        <w:tab/>
      </w:r>
      <w:r>
        <w:t>Maintain covered housing without deteriorated paint if there is a child under six in the</w:t>
      </w:r>
      <w:r>
        <w:rPr>
          <w:spacing w:val="-12"/>
        </w:rPr>
        <w:t xml:space="preserve"> </w:t>
      </w:r>
      <w:r>
        <w:t>family</w:t>
      </w:r>
    </w:p>
    <w:p w:rsidR="004E13A5" w:rsidRDefault="00681463">
      <w:pPr>
        <w:pStyle w:val="BodyText"/>
      </w:pPr>
      <w:r>
        <w:t>For units occupied by elevated blood lead level (lead poisoned) children under six years of age, an environmental investigation must be conducted (paid for by the PHA). If lead hazards are identified during the environmental investigation, the owner must complete hazard reduction activities within 30 days.</w:t>
      </w:r>
    </w:p>
    <w:p w:rsidR="004E13A5" w:rsidRDefault="00681463">
      <w:pPr>
        <w:pStyle w:val="BodyText"/>
        <w:ind w:right="116"/>
      </w:pPr>
      <w:r>
        <w:t>See HCV GB p. 10-15 for a detailed description of these requirements. For additional information on lead-based paint requirements see 24 CFR 35, Subparts A, B, M, and R.</w:t>
      </w:r>
    </w:p>
    <w:p w:rsidR="004E13A5" w:rsidRDefault="00681463">
      <w:pPr>
        <w:pStyle w:val="Heading4"/>
        <w:spacing w:before="119"/>
      </w:pPr>
      <w:r>
        <w:t>Access</w:t>
      </w:r>
    </w:p>
    <w:p w:rsidR="004E13A5" w:rsidRDefault="00681463">
      <w:pPr>
        <w:pStyle w:val="BodyText"/>
        <w:ind w:right="875"/>
      </w:pPr>
      <w:r>
        <w:t>Use and maintenance of the unit must be possible without unauthorized use of other private properties. The building must provide an alternate means of exit in case of fire.</w:t>
      </w:r>
    </w:p>
    <w:p w:rsidR="004E13A5" w:rsidRDefault="00681463">
      <w:pPr>
        <w:pStyle w:val="Heading4"/>
        <w:spacing w:before="119"/>
      </w:pPr>
      <w:r>
        <w:t>Site and Neighborhood</w:t>
      </w:r>
    </w:p>
    <w:p w:rsidR="004E13A5" w:rsidRDefault="00681463">
      <w:pPr>
        <w:pStyle w:val="BodyText"/>
        <w:spacing w:before="120"/>
      </w:pPr>
      <w:r>
        <w:t>The site and neighborhood must be reasonably free from disturbing noises and reverberations, excessive trash or vermin, or other dangers to the health, safety, and general welfare of the occupants.</w:t>
      </w:r>
    </w:p>
    <w:p w:rsidR="004E13A5" w:rsidRDefault="00681463">
      <w:pPr>
        <w:pStyle w:val="Heading4"/>
        <w:spacing w:before="120"/>
      </w:pPr>
      <w:r>
        <w:t>Sanitary Condition</w:t>
      </w:r>
    </w:p>
    <w:p w:rsidR="004E13A5" w:rsidRDefault="00681463">
      <w:pPr>
        <w:pStyle w:val="BodyText"/>
        <w:spacing w:before="120"/>
      </w:pPr>
      <w:r>
        <w:t>The dwelling unit and its equipment must be in sanitary condition and free of vermin and rodent infestation. The unit must have adequate barriers to prevent infestation.</w:t>
      </w:r>
    </w:p>
    <w:p w:rsidR="004E13A5" w:rsidRDefault="004E13A5">
      <w:pPr>
        <w:sectPr w:rsidR="004E13A5">
          <w:footerReference w:type="default" r:id="rId43"/>
          <w:pgSz w:w="12240" w:h="15840"/>
          <w:pgMar w:top="1000" w:right="1240" w:bottom="1240" w:left="1220" w:header="0" w:footer="1058" w:gutter="0"/>
          <w:cols w:space="720"/>
        </w:sectPr>
      </w:pPr>
    </w:p>
    <w:p w:rsidR="004E13A5" w:rsidRDefault="00681463">
      <w:pPr>
        <w:pStyle w:val="Heading4"/>
        <w:spacing w:before="79"/>
        <w:ind w:left="220"/>
      </w:pPr>
      <w:r>
        <w:lastRenderedPageBreak/>
        <w:t>Smoke Detectors</w:t>
      </w:r>
    </w:p>
    <w:p w:rsidR="004E13A5" w:rsidRDefault="00681463">
      <w:pPr>
        <w:pStyle w:val="BodyText"/>
        <w:spacing w:before="120"/>
        <w:ind w:left="220" w:right="269"/>
      </w:pPr>
      <w:r>
        <w:t>Smoke detectors must be installed in accordance with and meet the requirements of the National Fire Protection Association Standard (NFPA) 74 (or its successor standards). If the dwelling unit is occupied by any person with a hearing impairment, smoke detectors must have an appropriate alarm system as specified in NFPA 74 (or successor standards).</w:t>
      </w:r>
    </w:p>
    <w:p w:rsidR="004E13A5" w:rsidRDefault="00681463">
      <w:pPr>
        <w:pStyle w:val="Heading4"/>
        <w:spacing w:before="119"/>
        <w:ind w:left="220"/>
      </w:pPr>
      <w:r>
        <w:t>Hazards and Heath/Safety</w:t>
      </w:r>
    </w:p>
    <w:p w:rsidR="004E13A5" w:rsidRDefault="00681463">
      <w:pPr>
        <w:pStyle w:val="BodyText"/>
        <w:ind w:left="220" w:right="336"/>
      </w:pPr>
      <w:r>
        <w:t>The unit, interior and exterior common areas accessible to the family, the site, and the surrounding neighborhood must be free of hazards to the family's health and safety.</w:t>
      </w:r>
    </w:p>
    <w:p w:rsidR="004E13A5" w:rsidRDefault="004E13A5">
      <w:pPr>
        <w:pStyle w:val="BodyText"/>
        <w:spacing w:before="0"/>
        <w:ind w:left="0"/>
        <w:rPr>
          <w:sz w:val="20"/>
        </w:rPr>
      </w:pPr>
    </w:p>
    <w:p w:rsidR="004E13A5" w:rsidRDefault="003263D1">
      <w:pPr>
        <w:pStyle w:val="BodyText"/>
        <w:spacing w:before="5"/>
        <w:ind w:left="0"/>
        <w:rPr>
          <w:sz w:val="21"/>
        </w:rPr>
      </w:pPr>
      <w:r>
        <w:rPr>
          <w:noProof/>
        </w:rPr>
        <mc:AlternateContent>
          <mc:Choice Requires="wps">
            <w:drawing>
              <wp:anchor distT="0" distB="0" distL="0" distR="0" simplePos="0" relativeHeight="1624" behindDoc="0" locked="0" layoutInCell="1" allowOverlap="1">
                <wp:simplePos x="0" y="0"/>
                <wp:positionH relativeFrom="page">
                  <wp:posOffset>766445</wp:posOffset>
                </wp:positionH>
                <wp:positionV relativeFrom="paragraph">
                  <wp:posOffset>184785</wp:posOffset>
                </wp:positionV>
                <wp:extent cx="6240780" cy="382905"/>
                <wp:effectExtent l="13970" t="13335" r="12700" b="13335"/>
                <wp:wrapTopAndBottom/>
                <wp:docPr id="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2938" w:right="1482" w:hanging="1453"/>
                              <w:rPr>
                                <w:b/>
                                <w:sz w:val="24"/>
                              </w:rPr>
                            </w:pPr>
                            <w:bookmarkStart w:id="70" w:name="_TOC_250354"/>
                            <w:bookmarkEnd w:id="70"/>
                            <w:r>
                              <w:rPr>
                                <w:b/>
                                <w:sz w:val="24"/>
                              </w:rPr>
                              <w:t>EXHIBIT 8-2: SUMMARY OF TENANT PREFERENCE AREAS RELATED TO HOUSING 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margin-left:60.35pt;margin-top:14.55pt;width:491.4pt;height:30.15pt;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wmfQIAAAk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" filled="f" strokeweight=".48pt">
                <v:textbox inset="0,0,0,0">
                  <w:txbxContent>
                    <w:p w:rsidR="00BA59C9" w:rsidRDefault="00BA59C9">
                      <w:pPr>
                        <w:spacing w:before="18"/>
                        <w:ind w:left="2938" w:right="1482" w:hanging="1453"/>
                        <w:rPr>
                          <w:b/>
                          <w:sz w:val="24"/>
                        </w:rPr>
                      </w:pPr>
                      <w:bookmarkStart w:id="71" w:name="_TOC_250354"/>
                      <w:bookmarkEnd w:id="71"/>
                      <w:r>
                        <w:rPr>
                          <w:b/>
                          <w:sz w:val="24"/>
                        </w:rPr>
                        <w:t>EXHIBIT 8-2: SUMMARY OF TENANT PREFERENCE AREAS RELATED TO HOUSING QUALITY</w:t>
                      </w:r>
                    </w:p>
                  </w:txbxContent>
                </v:textbox>
                <w10:wrap type="topAndBottom" anchorx="page"/>
              </v:shape>
            </w:pict>
          </mc:Fallback>
        </mc:AlternateContent>
      </w:r>
    </w:p>
    <w:p w:rsidR="004E13A5" w:rsidRDefault="00681463">
      <w:pPr>
        <w:pStyle w:val="BodyText"/>
        <w:spacing w:before="90"/>
        <w:ind w:left="220" w:right="553"/>
      </w:pPr>
      <w:r>
        <w:t>Note: This document provides an overview of unit and site characteristics and conditions for which the family determines acceptability. For more detailed information see the following documents:</w:t>
      </w:r>
    </w:p>
    <w:p w:rsidR="004E13A5" w:rsidRDefault="00681463">
      <w:pPr>
        <w:pStyle w:val="ListParagraph"/>
        <w:numPr>
          <w:ilvl w:val="0"/>
          <w:numId w:val="56"/>
        </w:numPr>
        <w:tabs>
          <w:tab w:val="left" w:pos="580"/>
          <w:tab w:val="left" w:pos="581"/>
        </w:tabs>
        <w:rPr>
          <w:rFonts w:ascii="Symbol"/>
        </w:rPr>
      </w:pPr>
      <w:r>
        <w:rPr>
          <w:sz w:val="24"/>
        </w:rPr>
        <w:t>Housing Choice Voucher Guidebook, Chapter</w:t>
      </w:r>
      <w:r>
        <w:rPr>
          <w:spacing w:val="-7"/>
          <w:sz w:val="24"/>
        </w:rPr>
        <w:t xml:space="preserve"> </w:t>
      </w:r>
      <w:r>
        <w:rPr>
          <w:sz w:val="24"/>
        </w:rPr>
        <w:t>10.</w:t>
      </w:r>
    </w:p>
    <w:p w:rsidR="004E13A5" w:rsidRDefault="00681463">
      <w:pPr>
        <w:pStyle w:val="ListParagraph"/>
        <w:numPr>
          <w:ilvl w:val="0"/>
          <w:numId w:val="56"/>
        </w:numPr>
        <w:tabs>
          <w:tab w:val="left" w:pos="580"/>
          <w:tab w:val="left" w:pos="581"/>
        </w:tabs>
        <w:rPr>
          <w:rFonts w:ascii="Symbol"/>
        </w:rPr>
      </w:pPr>
      <w:r>
        <w:rPr>
          <w:sz w:val="24"/>
        </w:rPr>
        <w:t>HUD Housing Inspection Manual for Section 8</w:t>
      </w:r>
      <w:r>
        <w:rPr>
          <w:spacing w:val="-9"/>
          <w:sz w:val="24"/>
        </w:rPr>
        <w:t xml:space="preserve"> </w:t>
      </w:r>
      <w:r>
        <w:rPr>
          <w:sz w:val="24"/>
        </w:rPr>
        <w:t>Housing</w:t>
      </w:r>
    </w:p>
    <w:p w:rsidR="004E13A5" w:rsidRDefault="00681463">
      <w:pPr>
        <w:pStyle w:val="ListParagraph"/>
        <w:numPr>
          <w:ilvl w:val="0"/>
          <w:numId w:val="56"/>
        </w:numPr>
        <w:tabs>
          <w:tab w:val="left" w:pos="580"/>
          <w:tab w:val="left" w:pos="581"/>
        </w:tabs>
        <w:ind w:right="273"/>
        <w:rPr>
          <w:rFonts w:ascii="Symbol"/>
        </w:rPr>
      </w:pPr>
      <w:r>
        <w:rPr>
          <w:sz w:val="24"/>
        </w:rPr>
        <w:t>HUD Inspection Form, form HUD-52580 (3/01) and Inspection Checklist, form</w:t>
      </w:r>
      <w:r>
        <w:rPr>
          <w:spacing w:val="-14"/>
          <w:sz w:val="24"/>
        </w:rPr>
        <w:t xml:space="preserve"> </w:t>
      </w:r>
      <w:r>
        <w:rPr>
          <w:sz w:val="24"/>
        </w:rPr>
        <w:t>HUD-52580-A (9/00)</w:t>
      </w:r>
    </w:p>
    <w:p w:rsidR="004E13A5" w:rsidRDefault="00681463">
      <w:pPr>
        <w:pStyle w:val="BodyText"/>
        <w:ind w:left="220" w:right="921"/>
      </w:pPr>
      <w:r>
        <w:t>Provided the minimum housing quality standards have been met, HUD permits the family to determine whether the unit is acceptable with regard to the following characteristics.</w:t>
      </w:r>
    </w:p>
    <w:p w:rsidR="004E13A5" w:rsidRDefault="00681463">
      <w:pPr>
        <w:pStyle w:val="ListParagraph"/>
        <w:numPr>
          <w:ilvl w:val="0"/>
          <w:numId w:val="56"/>
        </w:numPr>
        <w:tabs>
          <w:tab w:val="left" w:pos="580"/>
          <w:tab w:val="left" w:pos="581"/>
        </w:tabs>
        <w:ind w:right="451"/>
        <w:rPr>
          <w:rFonts w:ascii="Symbol"/>
          <w:sz w:val="20"/>
        </w:rPr>
      </w:pPr>
      <w:r>
        <w:rPr>
          <w:i/>
          <w:sz w:val="24"/>
        </w:rPr>
        <w:t>Sanitary Facilities</w:t>
      </w:r>
      <w:r>
        <w:rPr>
          <w:sz w:val="24"/>
        </w:rPr>
        <w:t>. The family may determine the adequacy of the cosmetic condition and quality of the sanitary facilities, including the size of the lavatory, tub, or shower; the</w:t>
      </w:r>
      <w:r>
        <w:rPr>
          <w:spacing w:val="-22"/>
          <w:sz w:val="24"/>
        </w:rPr>
        <w:t xml:space="preserve"> </w:t>
      </w:r>
      <w:r>
        <w:rPr>
          <w:sz w:val="24"/>
        </w:rPr>
        <w:t>location of the sanitary facilities within the unit; and the adequacy of the water</w:t>
      </w:r>
      <w:r>
        <w:rPr>
          <w:spacing w:val="-19"/>
          <w:sz w:val="24"/>
        </w:rPr>
        <w:t xml:space="preserve"> </w:t>
      </w:r>
      <w:r>
        <w:rPr>
          <w:sz w:val="24"/>
        </w:rPr>
        <w:t>heater.</w:t>
      </w:r>
    </w:p>
    <w:p w:rsidR="004E13A5" w:rsidRDefault="00681463">
      <w:pPr>
        <w:pStyle w:val="ListParagraph"/>
        <w:numPr>
          <w:ilvl w:val="0"/>
          <w:numId w:val="56"/>
        </w:numPr>
        <w:tabs>
          <w:tab w:val="left" w:pos="580"/>
          <w:tab w:val="left" w:pos="581"/>
        </w:tabs>
        <w:ind w:right="285"/>
        <w:rPr>
          <w:rFonts w:ascii="Symbol"/>
          <w:sz w:val="20"/>
        </w:rPr>
      </w:pPr>
      <w:r>
        <w:rPr>
          <w:i/>
          <w:sz w:val="24"/>
        </w:rPr>
        <w:t>Food Preparation and Refuse Disposal</w:t>
      </w:r>
      <w:r>
        <w:rPr>
          <w:sz w:val="24"/>
        </w:rPr>
        <w:t>. The family selects size and type of equipment it finds acceptable. When the family is responsible for supplying cooking appliances, the family may choose to use a microwave oven in place of a conventional oven, stove, or range. When the owner is responsible for providing cooking appliances, the owner may offer a microwave oven in place of an oven, stove, or range only if other subsidized and unsubsidized units on the premises are furnished with microwave ovens only. The adequacy of the amount and type of storage space, the cosmetic conditions of all equipment, and the size and location of the</w:t>
      </w:r>
      <w:r>
        <w:rPr>
          <w:spacing w:val="-17"/>
          <w:sz w:val="24"/>
        </w:rPr>
        <w:t xml:space="preserve"> </w:t>
      </w:r>
      <w:r>
        <w:rPr>
          <w:sz w:val="24"/>
        </w:rPr>
        <w:t>kitchen are all determined by the</w:t>
      </w:r>
      <w:r>
        <w:rPr>
          <w:spacing w:val="-10"/>
          <w:sz w:val="24"/>
        </w:rPr>
        <w:t xml:space="preserve"> </w:t>
      </w:r>
      <w:r>
        <w:rPr>
          <w:sz w:val="24"/>
        </w:rPr>
        <w:t>family.</w:t>
      </w:r>
    </w:p>
    <w:p w:rsidR="004E13A5" w:rsidRDefault="00681463">
      <w:pPr>
        <w:pStyle w:val="ListParagraph"/>
        <w:numPr>
          <w:ilvl w:val="0"/>
          <w:numId w:val="56"/>
        </w:numPr>
        <w:tabs>
          <w:tab w:val="left" w:pos="580"/>
          <w:tab w:val="left" w:pos="581"/>
        </w:tabs>
        <w:ind w:right="316"/>
        <w:rPr>
          <w:rFonts w:ascii="Symbol"/>
          <w:sz w:val="20"/>
        </w:rPr>
      </w:pPr>
      <w:r>
        <w:rPr>
          <w:i/>
          <w:sz w:val="24"/>
        </w:rPr>
        <w:t>Space and Security</w:t>
      </w:r>
      <w:r>
        <w:rPr>
          <w:sz w:val="24"/>
        </w:rPr>
        <w:t>. The family may determine the adequacy of room sizes and room</w:t>
      </w:r>
      <w:r>
        <w:rPr>
          <w:spacing w:val="-15"/>
          <w:sz w:val="24"/>
        </w:rPr>
        <w:t xml:space="preserve"> </w:t>
      </w:r>
      <w:r>
        <w:rPr>
          <w:sz w:val="24"/>
        </w:rPr>
        <w:t>locations. The family is also responsible for deciding the acceptability of the type of door and window locks.</w:t>
      </w:r>
    </w:p>
    <w:p w:rsidR="004E13A5" w:rsidRDefault="00681463">
      <w:pPr>
        <w:pStyle w:val="ListParagraph"/>
        <w:numPr>
          <w:ilvl w:val="0"/>
          <w:numId w:val="56"/>
        </w:numPr>
        <w:tabs>
          <w:tab w:val="left" w:pos="580"/>
          <w:tab w:val="left" w:pos="581"/>
        </w:tabs>
        <w:ind w:right="855"/>
        <w:rPr>
          <w:rFonts w:ascii="Symbol"/>
          <w:sz w:val="20"/>
        </w:rPr>
      </w:pPr>
      <w:r>
        <w:rPr>
          <w:i/>
          <w:sz w:val="24"/>
        </w:rPr>
        <w:t>Energy conservation items</w:t>
      </w:r>
      <w:r>
        <w:rPr>
          <w:sz w:val="24"/>
        </w:rPr>
        <w:t>. The family may determine whether the amount of insulation, presence of absence of storm doors and windows and other energy conservation items</w:t>
      </w:r>
      <w:r>
        <w:rPr>
          <w:spacing w:val="-11"/>
          <w:sz w:val="24"/>
        </w:rPr>
        <w:t xml:space="preserve"> </w:t>
      </w:r>
      <w:r>
        <w:rPr>
          <w:sz w:val="24"/>
        </w:rPr>
        <w:t>are acceptable.</w:t>
      </w:r>
    </w:p>
    <w:p w:rsidR="004E13A5" w:rsidRDefault="00681463">
      <w:pPr>
        <w:pStyle w:val="ListParagraph"/>
        <w:numPr>
          <w:ilvl w:val="0"/>
          <w:numId w:val="56"/>
        </w:numPr>
        <w:tabs>
          <w:tab w:val="left" w:pos="580"/>
          <w:tab w:val="left" w:pos="581"/>
        </w:tabs>
        <w:ind w:right="289"/>
        <w:rPr>
          <w:rFonts w:ascii="Symbol"/>
          <w:sz w:val="20"/>
        </w:rPr>
      </w:pPr>
      <w:r>
        <w:rPr>
          <w:i/>
          <w:sz w:val="24"/>
        </w:rPr>
        <w:t>Illumination and Electricity</w:t>
      </w:r>
      <w:r>
        <w:rPr>
          <w:sz w:val="24"/>
        </w:rPr>
        <w:t>. The family may determine whether the location and the number</w:t>
      </w:r>
      <w:r>
        <w:rPr>
          <w:spacing w:val="-15"/>
          <w:sz w:val="24"/>
        </w:rPr>
        <w:t xml:space="preserve"> </w:t>
      </w:r>
      <w:r>
        <w:rPr>
          <w:sz w:val="24"/>
        </w:rPr>
        <w:t xml:space="preserve">of outlets and fixtures (over and above those required to meet </w:t>
      </w:r>
      <w:r w:rsidR="002C4221">
        <w:rPr>
          <w:sz w:val="24"/>
        </w:rPr>
        <w:t>NSPIRE</w:t>
      </w:r>
      <w:r>
        <w:rPr>
          <w:sz w:val="24"/>
        </w:rPr>
        <w:t xml:space="preserve"> standards) are acceptable or if the amount of electrical service is adequate for the use of appliances, computers, or stereo equipment.</w:t>
      </w:r>
    </w:p>
    <w:p w:rsidR="004E13A5" w:rsidRDefault="004E13A5">
      <w:pPr>
        <w:rPr>
          <w:rFonts w:ascii="Symbol"/>
          <w:sz w:val="20"/>
        </w:rPr>
        <w:sectPr w:rsidR="004E13A5">
          <w:footerReference w:type="default" r:id="rId44"/>
          <w:pgSz w:w="12240" w:h="15840"/>
          <w:pgMar w:top="1000" w:right="1100" w:bottom="1220" w:left="1100" w:header="0" w:footer="1023" w:gutter="0"/>
          <w:pgNumType w:start="201"/>
          <w:cols w:space="720"/>
        </w:sectPr>
      </w:pPr>
    </w:p>
    <w:p w:rsidR="004E13A5" w:rsidRDefault="00681463">
      <w:pPr>
        <w:pStyle w:val="ListParagraph"/>
        <w:numPr>
          <w:ilvl w:val="0"/>
          <w:numId w:val="55"/>
        </w:numPr>
        <w:tabs>
          <w:tab w:val="left" w:pos="461"/>
        </w:tabs>
        <w:spacing w:before="79"/>
        <w:ind w:right="110"/>
        <w:rPr>
          <w:sz w:val="24"/>
        </w:rPr>
      </w:pPr>
      <w:r>
        <w:rPr>
          <w:i/>
          <w:sz w:val="24"/>
        </w:rPr>
        <w:lastRenderedPageBreak/>
        <w:t>Structure and Materials</w:t>
      </w:r>
      <w:r>
        <w:rPr>
          <w:sz w:val="24"/>
        </w:rPr>
        <w:t>. Families may determine whether minor defects, such as lack of</w:t>
      </w:r>
      <w:r>
        <w:rPr>
          <w:spacing w:val="-17"/>
          <w:sz w:val="24"/>
        </w:rPr>
        <w:t xml:space="preserve"> </w:t>
      </w:r>
      <w:r>
        <w:rPr>
          <w:sz w:val="24"/>
        </w:rPr>
        <w:t>paint, or worn flooring or carpeting will affect the livability of the</w:t>
      </w:r>
      <w:r>
        <w:rPr>
          <w:spacing w:val="-17"/>
          <w:sz w:val="24"/>
        </w:rPr>
        <w:t xml:space="preserve"> </w:t>
      </w:r>
      <w:r>
        <w:rPr>
          <w:sz w:val="24"/>
        </w:rPr>
        <w:t>unit.</w:t>
      </w:r>
    </w:p>
    <w:p w:rsidR="004E13A5" w:rsidRDefault="00681463">
      <w:pPr>
        <w:pStyle w:val="ListParagraph"/>
        <w:numPr>
          <w:ilvl w:val="0"/>
          <w:numId w:val="55"/>
        </w:numPr>
        <w:tabs>
          <w:tab w:val="left" w:pos="461"/>
        </w:tabs>
        <w:spacing w:before="120"/>
        <w:ind w:right="125"/>
        <w:rPr>
          <w:sz w:val="24"/>
        </w:rPr>
      </w:pPr>
      <w:r>
        <w:rPr>
          <w:i/>
          <w:sz w:val="24"/>
        </w:rPr>
        <w:t>Indoor Air</w:t>
      </w:r>
      <w:r>
        <w:rPr>
          <w:sz w:val="24"/>
        </w:rPr>
        <w:t>. Families may determine whether window and door screens, filters, fans, or other devices for proper ventilation are adequate to meet the family’s needs. However, if screens</w:t>
      </w:r>
      <w:r>
        <w:rPr>
          <w:spacing w:val="-16"/>
          <w:sz w:val="24"/>
        </w:rPr>
        <w:t xml:space="preserve"> </w:t>
      </w:r>
      <w:r>
        <w:rPr>
          <w:sz w:val="24"/>
        </w:rPr>
        <w:t>are present they must be in good</w:t>
      </w:r>
      <w:r>
        <w:rPr>
          <w:spacing w:val="-5"/>
          <w:sz w:val="24"/>
        </w:rPr>
        <w:t xml:space="preserve"> </w:t>
      </w:r>
      <w:r>
        <w:rPr>
          <w:sz w:val="24"/>
        </w:rPr>
        <w:t>condition.</w:t>
      </w:r>
    </w:p>
    <w:p w:rsidR="004E13A5" w:rsidRDefault="00681463">
      <w:pPr>
        <w:pStyle w:val="ListParagraph"/>
        <w:numPr>
          <w:ilvl w:val="0"/>
          <w:numId w:val="55"/>
        </w:numPr>
        <w:tabs>
          <w:tab w:val="left" w:pos="461"/>
        </w:tabs>
        <w:ind w:right="821"/>
        <w:rPr>
          <w:sz w:val="24"/>
        </w:rPr>
      </w:pPr>
      <w:r>
        <w:rPr>
          <w:i/>
          <w:sz w:val="24"/>
        </w:rPr>
        <w:t>Sanitary Conditions</w:t>
      </w:r>
      <w:r>
        <w:rPr>
          <w:sz w:val="24"/>
        </w:rPr>
        <w:t>. The family determines whether the sanitary conditions in the</w:t>
      </w:r>
      <w:r>
        <w:rPr>
          <w:spacing w:val="-17"/>
          <w:sz w:val="24"/>
        </w:rPr>
        <w:t xml:space="preserve"> </w:t>
      </w:r>
      <w:r>
        <w:rPr>
          <w:sz w:val="24"/>
        </w:rPr>
        <w:t>unit, including minor infestations, are</w:t>
      </w:r>
      <w:r>
        <w:rPr>
          <w:spacing w:val="-5"/>
          <w:sz w:val="24"/>
        </w:rPr>
        <w:t xml:space="preserve"> </w:t>
      </w:r>
      <w:r>
        <w:rPr>
          <w:sz w:val="24"/>
        </w:rPr>
        <w:t>acceptable.</w:t>
      </w:r>
    </w:p>
    <w:p w:rsidR="004E13A5" w:rsidRDefault="00681463">
      <w:pPr>
        <w:pStyle w:val="ListParagraph"/>
        <w:numPr>
          <w:ilvl w:val="0"/>
          <w:numId w:val="55"/>
        </w:numPr>
        <w:tabs>
          <w:tab w:val="left" w:pos="461"/>
        </w:tabs>
        <w:ind w:right="161"/>
        <w:rPr>
          <w:sz w:val="24"/>
        </w:rPr>
      </w:pPr>
      <w:r>
        <w:rPr>
          <w:i/>
          <w:sz w:val="24"/>
        </w:rPr>
        <w:t>Neighborhood conditions</w:t>
      </w:r>
      <w:r>
        <w:rPr>
          <w:sz w:val="24"/>
        </w:rPr>
        <w:t>. Families may determine whether neighborhood conditions such as the presence of drug activity, commercial enterprises, and convenience to shopping will affect the livability of the</w:t>
      </w:r>
      <w:r>
        <w:rPr>
          <w:spacing w:val="-6"/>
          <w:sz w:val="24"/>
        </w:rPr>
        <w:t xml:space="preserve"> </w:t>
      </w:r>
      <w:r>
        <w:rPr>
          <w:sz w:val="24"/>
        </w:rPr>
        <w:t>unit.</w:t>
      </w:r>
    </w:p>
    <w:p w:rsidR="004E13A5" w:rsidRDefault="00681463">
      <w:pPr>
        <w:pStyle w:val="BodyText"/>
      </w:pPr>
      <w:r>
        <w:t>Families have no discretion with respect to lead-based paint standards and smoke detectors.</w:t>
      </w:r>
    </w:p>
    <w:p w:rsidR="004E13A5" w:rsidRDefault="004E13A5">
      <w:pPr>
        <w:sectPr w:rsidR="004E13A5">
          <w:pgSz w:w="12240" w:h="15840"/>
          <w:pgMar w:top="1000" w:right="1360" w:bottom="1240" w:left="1220" w:header="0" w:footer="1023"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95"/>
      </w:pPr>
      <w:r>
        <w:rPr>
          <w:spacing w:val="-1"/>
        </w:rPr>
        <w:t>INTRODUCTION</w:t>
      </w:r>
    </w:p>
    <w:p w:rsidR="004E13A5" w:rsidRDefault="00681463">
      <w:pPr>
        <w:pStyle w:val="Heading4"/>
        <w:spacing w:before="60"/>
        <w:ind w:left="80" w:right="3112"/>
        <w:jc w:val="center"/>
      </w:pPr>
      <w:bookmarkStart w:id="72" w:name="_TOC_250353"/>
      <w:r>
        <w:rPr>
          <w:b w:val="0"/>
        </w:rPr>
        <w:br w:type="column"/>
      </w:r>
      <w:bookmarkEnd w:id="72"/>
      <w:r>
        <w:t>Chapter 9</w:t>
      </w:r>
    </w:p>
    <w:p w:rsidR="004E13A5" w:rsidRDefault="004E13A5">
      <w:pPr>
        <w:pStyle w:val="BodyText"/>
        <w:spacing w:before="10"/>
        <w:ind w:left="0"/>
        <w:rPr>
          <w:b/>
          <w:sz w:val="20"/>
        </w:rPr>
      </w:pPr>
    </w:p>
    <w:p w:rsidR="004E13A5" w:rsidRDefault="00681463">
      <w:pPr>
        <w:pStyle w:val="Heading4"/>
        <w:ind w:left="80" w:right="3113"/>
        <w:jc w:val="center"/>
      </w:pPr>
      <w:bookmarkStart w:id="73" w:name="_TOC_250352"/>
      <w:bookmarkEnd w:id="73"/>
      <w:r>
        <w:t>GENERAL LEASING POLICIES</w:t>
      </w:r>
    </w:p>
    <w:p w:rsidR="004E13A5" w:rsidRDefault="004E13A5">
      <w:pPr>
        <w:jc w:val="center"/>
        <w:sectPr w:rsidR="004E13A5">
          <w:pgSz w:w="12240" w:h="15840"/>
          <w:pgMar w:top="1120" w:right="1220" w:bottom="1240" w:left="1220" w:header="0" w:footer="1023" w:gutter="0"/>
          <w:cols w:num="2" w:space="720" w:equalWidth="0">
            <w:col w:w="2020" w:space="1011"/>
            <w:col w:w="6769"/>
          </w:cols>
        </w:sectPr>
      </w:pPr>
    </w:p>
    <w:p w:rsidR="004E13A5" w:rsidRDefault="00681463">
      <w:pPr>
        <w:pStyle w:val="BodyText"/>
        <w:ind w:right="732"/>
      </w:pPr>
      <w:r>
        <w:t>Chapter 9 covers the lease-up process from the family's submission of a Request for Tenancy Approval to execution of the HAP contract.</w:t>
      </w:r>
    </w:p>
    <w:p w:rsidR="004E13A5" w:rsidRDefault="00681463">
      <w:pPr>
        <w:pStyle w:val="BodyText"/>
        <w:ind w:right="183"/>
      </w:pPr>
      <w:r>
        <w:t>In order for the PHA to assist a family in a particular dwelling unit, or execute a Housing Assistance Payments (HAP) contract with the owner of a dwelling unit, the PHA must determine that all the following program requirements are met:</w:t>
      </w:r>
    </w:p>
    <w:p w:rsidR="004E13A5" w:rsidRDefault="00681463">
      <w:pPr>
        <w:pStyle w:val="ListParagraph"/>
        <w:numPr>
          <w:ilvl w:val="1"/>
          <w:numId w:val="55"/>
        </w:numPr>
        <w:tabs>
          <w:tab w:val="left" w:pos="820"/>
          <w:tab w:val="left" w:pos="821"/>
        </w:tabs>
        <w:ind w:firstLine="0"/>
        <w:rPr>
          <w:sz w:val="24"/>
        </w:rPr>
      </w:pPr>
      <w:r>
        <w:rPr>
          <w:sz w:val="24"/>
        </w:rPr>
        <w:t>The unit itself must qualify as an eligible unit [24 CFR</w:t>
      </w:r>
      <w:r>
        <w:rPr>
          <w:spacing w:val="-16"/>
          <w:sz w:val="24"/>
        </w:rPr>
        <w:t xml:space="preserve"> </w:t>
      </w:r>
      <w:r>
        <w:rPr>
          <w:sz w:val="24"/>
        </w:rPr>
        <w:t>982.305(a)]</w:t>
      </w:r>
    </w:p>
    <w:p w:rsidR="004E13A5" w:rsidRDefault="00681463">
      <w:pPr>
        <w:pStyle w:val="ListParagraph"/>
        <w:numPr>
          <w:ilvl w:val="1"/>
          <w:numId w:val="55"/>
        </w:numPr>
        <w:tabs>
          <w:tab w:val="left" w:pos="820"/>
          <w:tab w:val="left" w:pos="821"/>
        </w:tabs>
        <w:ind w:right="177" w:firstLine="0"/>
        <w:rPr>
          <w:sz w:val="24"/>
        </w:rPr>
      </w:pPr>
      <w:r>
        <w:rPr>
          <w:sz w:val="24"/>
        </w:rPr>
        <w:t>The unit must be inspected by the PHA and meet the Housing Quality Standards (</w:t>
      </w:r>
      <w:r w:rsidR="002C4221">
        <w:rPr>
          <w:sz w:val="24"/>
        </w:rPr>
        <w:t>NSPIRE</w:t>
      </w:r>
      <w:r>
        <w:rPr>
          <w:sz w:val="24"/>
        </w:rPr>
        <w:t>)</w:t>
      </w:r>
      <w:r>
        <w:rPr>
          <w:spacing w:val="-20"/>
          <w:sz w:val="24"/>
        </w:rPr>
        <w:t xml:space="preserve"> </w:t>
      </w:r>
      <w:r>
        <w:rPr>
          <w:sz w:val="24"/>
        </w:rPr>
        <w:t>[24 CFR</w:t>
      </w:r>
      <w:r>
        <w:rPr>
          <w:spacing w:val="-5"/>
          <w:sz w:val="24"/>
        </w:rPr>
        <w:t xml:space="preserve"> </w:t>
      </w:r>
      <w:r>
        <w:rPr>
          <w:sz w:val="24"/>
        </w:rPr>
        <w:t>982.305(a)]</w:t>
      </w:r>
    </w:p>
    <w:p w:rsidR="004E13A5" w:rsidRDefault="00681463">
      <w:pPr>
        <w:pStyle w:val="ListParagraph"/>
        <w:numPr>
          <w:ilvl w:val="1"/>
          <w:numId w:val="55"/>
        </w:numPr>
        <w:tabs>
          <w:tab w:val="left" w:pos="820"/>
          <w:tab w:val="left" w:pos="821"/>
        </w:tabs>
        <w:ind w:right="254" w:firstLine="0"/>
        <w:rPr>
          <w:sz w:val="24"/>
        </w:rPr>
      </w:pPr>
      <w:r>
        <w:rPr>
          <w:sz w:val="24"/>
        </w:rPr>
        <w:t>The lease offered by the owner must be approvable and must include the required Tenancy Addendum [24 CFR</w:t>
      </w:r>
      <w:r>
        <w:rPr>
          <w:spacing w:val="-5"/>
          <w:sz w:val="24"/>
        </w:rPr>
        <w:t xml:space="preserve"> </w:t>
      </w:r>
      <w:r>
        <w:rPr>
          <w:sz w:val="24"/>
        </w:rPr>
        <w:t>982.305(a)]</w:t>
      </w:r>
    </w:p>
    <w:p w:rsidR="004E13A5" w:rsidRDefault="00681463">
      <w:pPr>
        <w:pStyle w:val="ListParagraph"/>
        <w:numPr>
          <w:ilvl w:val="1"/>
          <w:numId w:val="55"/>
        </w:numPr>
        <w:tabs>
          <w:tab w:val="left" w:pos="820"/>
          <w:tab w:val="left" w:pos="821"/>
        </w:tabs>
        <w:ind w:left="820"/>
        <w:rPr>
          <w:sz w:val="24"/>
        </w:rPr>
      </w:pPr>
      <w:r>
        <w:rPr>
          <w:sz w:val="24"/>
        </w:rPr>
        <w:t>The rent to be charged by the owner for the unit must be reasonable [24 CFR</w:t>
      </w:r>
      <w:r>
        <w:rPr>
          <w:spacing w:val="-16"/>
          <w:sz w:val="24"/>
        </w:rPr>
        <w:t xml:space="preserve"> </w:t>
      </w:r>
      <w:r>
        <w:rPr>
          <w:sz w:val="24"/>
        </w:rPr>
        <w:t>982.305(a)]</w:t>
      </w:r>
    </w:p>
    <w:p w:rsidR="004E13A5" w:rsidRDefault="00681463">
      <w:pPr>
        <w:pStyle w:val="ListParagraph"/>
        <w:numPr>
          <w:ilvl w:val="1"/>
          <w:numId w:val="55"/>
        </w:numPr>
        <w:tabs>
          <w:tab w:val="left" w:pos="820"/>
          <w:tab w:val="left" w:pos="821"/>
        </w:tabs>
        <w:ind w:right="271" w:firstLine="0"/>
        <w:rPr>
          <w:sz w:val="24"/>
        </w:rPr>
      </w:pPr>
      <w:r>
        <w:rPr>
          <w:sz w:val="24"/>
        </w:rPr>
        <w:t>The owner must be an eligible owner, approvable by the PHA, with no conflicts of</w:t>
      </w:r>
      <w:r>
        <w:rPr>
          <w:spacing w:val="-16"/>
          <w:sz w:val="24"/>
        </w:rPr>
        <w:t xml:space="preserve"> </w:t>
      </w:r>
      <w:r>
        <w:rPr>
          <w:sz w:val="24"/>
        </w:rPr>
        <w:t>interest [24 CFR</w:t>
      </w:r>
      <w:r>
        <w:rPr>
          <w:spacing w:val="-2"/>
          <w:sz w:val="24"/>
        </w:rPr>
        <w:t xml:space="preserve"> </w:t>
      </w:r>
      <w:r>
        <w:rPr>
          <w:sz w:val="24"/>
        </w:rPr>
        <w:t>982.306]</w:t>
      </w:r>
    </w:p>
    <w:p w:rsidR="004E13A5" w:rsidRDefault="00681463">
      <w:pPr>
        <w:pStyle w:val="ListParagraph"/>
        <w:numPr>
          <w:ilvl w:val="1"/>
          <w:numId w:val="55"/>
        </w:numPr>
        <w:tabs>
          <w:tab w:val="left" w:pos="820"/>
          <w:tab w:val="left" w:pos="821"/>
        </w:tabs>
        <w:ind w:right="500" w:firstLine="0"/>
        <w:rPr>
          <w:sz w:val="24"/>
        </w:rPr>
      </w:pPr>
      <w:r>
        <w:rPr>
          <w:sz w:val="24"/>
          <w:u w:val="single"/>
        </w:rPr>
        <w:t>For families initially leasing a unit only</w:t>
      </w:r>
      <w:r>
        <w:rPr>
          <w:sz w:val="24"/>
        </w:rPr>
        <w:t xml:space="preserve">: Where the gross rent of the unit exceeds the applicable payment standard for the family, the share of rent to be paid </w:t>
      </w:r>
      <w:r>
        <w:rPr>
          <w:spacing w:val="2"/>
          <w:sz w:val="24"/>
        </w:rPr>
        <w:t xml:space="preserve">by </w:t>
      </w:r>
      <w:r>
        <w:rPr>
          <w:sz w:val="24"/>
        </w:rPr>
        <w:t>the family</w:t>
      </w:r>
      <w:r>
        <w:rPr>
          <w:spacing w:val="-23"/>
          <w:sz w:val="24"/>
        </w:rPr>
        <w:t xml:space="preserve"> </w:t>
      </w:r>
      <w:r>
        <w:rPr>
          <w:sz w:val="24"/>
        </w:rPr>
        <w:t>cannot exceed 40 percent of the family’s monthly adjusted income [24 CFR</w:t>
      </w:r>
      <w:r>
        <w:rPr>
          <w:spacing w:val="-12"/>
          <w:sz w:val="24"/>
        </w:rPr>
        <w:t xml:space="preserve"> </w:t>
      </w:r>
      <w:r>
        <w:rPr>
          <w:sz w:val="24"/>
        </w:rPr>
        <w:t>982.305(a)]</w:t>
      </w:r>
    </w:p>
    <w:p w:rsidR="004E13A5" w:rsidRDefault="004E13A5">
      <w:pPr>
        <w:pStyle w:val="BodyText"/>
        <w:spacing w:before="9"/>
        <w:ind w:left="0"/>
        <w:rPr>
          <w:sz w:val="20"/>
        </w:rPr>
      </w:pPr>
    </w:p>
    <w:p w:rsidR="004E13A5" w:rsidRDefault="00681463">
      <w:pPr>
        <w:pStyle w:val="Heading4"/>
      </w:pPr>
      <w:bookmarkStart w:id="74" w:name="_TOC_250351"/>
      <w:bookmarkEnd w:id="74"/>
      <w:r>
        <w:t>9-I.A. TENANT SCREENING</w:t>
      </w:r>
    </w:p>
    <w:p w:rsidR="004E13A5" w:rsidRDefault="00681463">
      <w:pPr>
        <w:pStyle w:val="BodyText"/>
        <w:ind w:right="183"/>
      </w:pPr>
      <w:r>
        <w:t>The PHA has no liability or responsibility to the owner or other persons for the family’s behavior or suitability for tenancy [24 CFR 982.307(a)(1)].</w:t>
      </w:r>
    </w:p>
    <w:p w:rsidR="004E13A5" w:rsidRDefault="00681463">
      <w:pPr>
        <w:pStyle w:val="BodyText"/>
        <w:ind w:right="115"/>
      </w:pPr>
      <w:r>
        <w:t>The PHA may elect to screen applicants for family behavior or suitability for tenancy. See Chapter 3 for a discussion of the PHA’s policies with regard to screening applicant families for program eligibility [24 CFR 982.307(a)(1)].</w:t>
      </w:r>
    </w:p>
    <w:p w:rsidR="004E13A5" w:rsidRDefault="00681463">
      <w:pPr>
        <w:pStyle w:val="BodyText"/>
        <w:ind w:right="109"/>
      </w:pPr>
      <w:r>
        <w:t>The owner is responsible for screening and selection of the family to occupy the owner’s unit. At or before PHA approval of the tenancy, the PHA must inform the owner that screening and selection for tenancy is the responsibility of the owner [24 CFR 982.307(a)(2)]. The PHA must also inform the owner or manager or their rights and obligations under the Violence against Women Act of 2013 (VAWA) [24 CFR 5.2005(a)(2)].</w:t>
      </w:r>
    </w:p>
    <w:p w:rsidR="004E13A5" w:rsidRDefault="00681463">
      <w:pPr>
        <w:pStyle w:val="BodyText"/>
        <w:ind w:right="104"/>
        <w:jc w:val="both"/>
      </w:pPr>
      <w:r>
        <w:t>The PHA must provide the owner with the family’s current and prior address (as shown in the PHA records) and the name and address (if known to the PHA) of the landlord at the family’s current</w:t>
      </w:r>
      <w:r>
        <w:rPr>
          <w:spacing w:val="-14"/>
        </w:rPr>
        <w:t xml:space="preserve"> </w:t>
      </w:r>
      <w:r>
        <w:t>and prior address [24 CFR</w:t>
      </w:r>
      <w:r>
        <w:rPr>
          <w:spacing w:val="-7"/>
        </w:rPr>
        <w:t xml:space="preserve"> </w:t>
      </w:r>
      <w:r>
        <w:t>982.307(b)(1)].</w:t>
      </w:r>
    </w:p>
    <w:p w:rsidR="004E13A5" w:rsidRDefault="00681463">
      <w:pPr>
        <w:pStyle w:val="BodyText"/>
        <w:ind w:right="1008"/>
      </w:pPr>
      <w:r>
        <w:t>The PHA is permitted, but not required, to offer the owner other information in the PHA’s possession about the tenancy history or drug trafficking of family members [24 CFR 982.307(b)(2)].</w:t>
      </w:r>
    </w:p>
    <w:p w:rsidR="004E13A5" w:rsidRDefault="00681463">
      <w:pPr>
        <w:pStyle w:val="BodyText"/>
        <w:ind w:right="208"/>
      </w:pPr>
      <w:r>
        <w:t>The PHA’s policy on providing information to the owner must be included in the family’s briefing packet [24 CFR 982.307(b)(3)].</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BodyText"/>
        <w:spacing w:before="79"/>
        <w:ind w:right="149"/>
      </w:pPr>
      <w:r>
        <w:lastRenderedPageBreak/>
        <w:t>The PHA may not disclose to the owner any confidential information provided by the family in response to a PHA request for documentation of domestic violence, dating violence, sexual assault, or stalking except at the written request or with the written consent of the individual providing the documentation [24 CFR 5.2007(b)(4)].</w:t>
      </w:r>
    </w:p>
    <w:p w:rsidR="004E13A5" w:rsidRDefault="00681463">
      <w:pPr>
        <w:pStyle w:val="BodyText"/>
        <w:spacing w:before="120"/>
        <w:ind w:left="820"/>
      </w:pPr>
      <w:r>
        <w:rPr>
          <w:u w:val="single"/>
        </w:rPr>
        <w:t>PHA Policy</w:t>
      </w:r>
    </w:p>
    <w:p w:rsidR="004E13A5" w:rsidRDefault="00681463">
      <w:pPr>
        <w:pStyle w:val="BodyText"/>
        <w:spacing w:before="120" w:line="343" w:lineRule="auto"/>
        <w:ind w:left="820" w:right="896"/>
      </w:pPr>
      <w:r>
        <w:t>The PHA will not screen applicants for family behavior or suitability for tenancy. The PHA will not provide additional screening information to the owner.</w:t>
      </w:r>
    </w:p>
    <w:p w:rsidR="004E13A5" w:rsidRDefault="00681463">
      <w:pPr>
        <w:pStyle w:val="Heading4"/>
        <w:spacing w:before="125"/>
      </w:pPr>
      <w:bookmarkStart w:id="75" w:name="_TOC_250350"/>
      <w:bookmarkEnd w:id="75"/>
      <w:r>
        <w:t>9-I.B. REQUESTING TENANCY APPROVAL [Form HUD-52517]</w:t>
      </w:r>
    </w:p>
    <w:p w:rsidR="004E13A5" w:rsidRDefault="00681463">
      <w:pPr>
        <w:pStyle w:val="BodyText"/>
        <w:ind w:right="329"/>
      </w:pPr>
      <w:r>
        <w:t>After the family is issued a voucher, the family must locate an eligible unit, with an owner or landlord willing to participate in the voucher program. Once a family finds a suitable unit and the owner is willing to lease the unit under the program, the owner and the family must request the PHA to approve the assisted tenancy in the selected unit.</w:t>
      </w:r>
    </w:p>
    <w:p w:rsidR="004E13A5" w:rsidRDefault="00681463">
      <w:pPr>
        <w:pStyle w:val="BodyText"/>
        <w:spacing w:before="120"/>
      </w:pPr>
      <w:r>
        <w:t>The owner and the family must submit two documents to the PHA:</w:t>
      </w:r>
    </w:p>
    <w:p w:rsidR="004E13A5" w:rsidRDefault="00681463">
      <w:pPr>
        <w:pStyle w:val="ListParagraph"/>
        <w:numPr>
          <w:ilvl w:val="1"/>
          <w:numId w:val="55"/>
        </w:numPr>
        <w:tabs>
          <w:tab w:val="left" w:pos="1180"/>
          <w:tab w:val="left" w:pos="1181"/>
        </w:tabs>
        <w:spacing w:before="120"/>
        <w:ind w:left="1180" w:hanging="720"/>
        <w:rPr>
          <w:sz w:val="24"/>
        </w:rPr>
      </w:pPr>
      <w:r>
        <w:rPr>
          <w:sz w:val="24"/>
        </w:rPr>
        <w:t>Completed Request for Tenancy Approval (RTA) – Form</w:t>
      </w:r>
      <w:r>
        <w:rPr>
          <w:spacing w:val="-7"/>
          <w:sz w:val="24"/>
        </w:rPr>
        <w:t xml:space="preserve"> </w:t>
      </w:r>
      <w:r>
        <w:rPr>
          <w:sz w:val="24"/>
        </w:rPr>
        <w:t>HUD-52517</w:t>
      </w:r>
    </w:p>
    <w:p w:rsidR="004E13A5" w:rsidRDefault="00681463">
      <w:pPr>
        <w:pStyle w:val="ListParagraph"/>
        <w:numPr>
          <w:ilvl w:val="1"/>
          <w:numId w:val="55"/>
        </w:numPr>
        <w:tabs>
          <w:tab w:val="left" w:pos="1180"/>
          <w:tab w:val="left" w:pos="1181"/>
        </w:tabs>
        <w:spacing w:before="120"/>
        <w:ind w:right="191" w:firstLine="0"/>
        <w:rPr>
          <w:sz w:val="24"/>
        </w:rPr>
      </w:pPr>
      <w:r>
        <w:rPr>
          <w:sz w:val="24"/>
        </w:rPr>
        <w:t>Copy of the proposed lease, including the HUD-prescribed Tenancy Addendum – Form HUD-52641-A</w:t>
      </w:r>
    </w:p>
    <w:p w:rsidR="004E13A5" w:rsidRDefault="00681463">
      <w:pPr>
        <w:pStyle w:val="BodyText"/>
        <w:spacing w:before="120"/>
        <w:ind w:right="182"/>
      </w:pPr>
      <w:r>
        <w:t>The RTA contains important information about the rental unit selected by the family, including the unit address, number of bedrooms, structure type, year constructed, utilities included in the rent, and the requested beginning date of the lease, necessary for the PHA to determine whether to approve the assisted tenancy in this unit.</w:t>
      </w:r>
    </w:p>
    <w:p w:rsidR="004E13A5" w:rsidRDefault="00681463">
      <w:pPr>
        <w:pStyle w:val="BodyText"/>
        <w:spacing w:before="120"/>
      </w:pPr>
      <w:r>
        <w:t>Owners must certify to the most recent amount of rent charged for the unit and provide an explanation for any difference between the prior rent and the proposed rent.</w:t>
      </w:r>
    </w:p>
    <w:p w:rsidR="004E13A5" w:rsidRDefault="00681463">
      <w:pPr>
        <w:pStyle w:val="BodyText"/>
        <w:spacing w:before="120"/>
        <w:ind w:right="159"/>
        <w:jc w:val="both"/>
      </w:pPr>
      <w:r>
        <w:t>Owners must certify that they are not the parent, child, grandparent, grandchild, sister or brother of any member of the family, unless the PHA has granted a request for reasonable accommodation</w:t>
      </w:r>
      <w:r>
        <w:rPr>
          <w:spacing w:val="-18"/>
        </w:rPr>
        <w:t xml:space="preserve"> </w:t>
      </w:r>
      <w:r>
        <w:t>for a person with disabilities who is a member of the tenant</w:t>
      </w:r>
      <w:r>
        <w:rPr>
          <w:spacing w:val="-10"/>
        </w:rPr>
        <w:t xml:space="preserve"> </w:t>
      </w:r>
      <w:r>
        <w:t>household.</w:t>
      </w:r>
    </w:p>
    <w:p w:rsidR="004E13A5" w:rsidRDefault="00681463">
      <w:pPr>
        <w:pStyle w:val="BodyText"/>
        <w:spacing w:before="120"/>
        <w:ind w:right="260"/>
        <w:jc w:val="both"/>
      </w:pPr>
      <w:r>
        <w:t>For units constructed prior to 1978, owners must either 1) certify that the unit, common areas, and exterior have been found to be free of lead-based paint by a certified inspector; or 2) attach a lead- based paint disclosure statement.</w:t>
      </w:r>
    </w:p>
    <w:p w:rsidR="004E13A5" w:rsidRDefault="00681463">
      <w:pPr>
        <w:pStyle w:val="BodyText"/>
        <w:spacing w:before="120"/>
        <w:ind w:right="235"/>
      </w:pPr>
      <w:r>
        <w:t>Both the RTA and the proposed lease must be submitted no later than the expiration date stated on the voucher. [HCV GB p.8-15].</w:t>
      </w:r>
    </w:p>
    <w:p w:rsidR="004E13A5" w:rsidRDefault="00681463">
      <w:pPr>
        <w:pStyle w:val="BodyText"/>
        <w:spacing w:before="120"/>
        <w:ind w:left="820"/>
      </w:pPr>
      <w:r>
        <w:rPr>
          <w:u w:val="single"/>
        </w:rPr>
        <w:t>PHA Policy</w:t>
      </w:r>
    </w:p>
    <w:p w:rsidR="004E13A5" w:rsidRDefault="00681463">
      <w:pPr>
        <w:pStyle w:val="BodyText"/>
        <w:spacing w:before="120" w:line="345" w:lineRule="auto"/>
        <w:ind w:left="820" w:right="3208"/>
      </w:pPr>
      <w:r>
        <w:t>The RTA must be signed by both the family and the owner. The owner may submit the RTA on behalf of the family.</w:t>
      </w:r>
    </w:p>
    <w:p w:rsidR="004E13A5" w:rsidRDefault="00681463">
      <w:pPr>
        <w:pStyle w:val="BodyText"/>
        <w:spacing w:before="3"/>
        <w:ind w:left="820" w:right="227"/>
      </w:pPr>
      <w:r>
        <w:t>Completed RTA (including the proposed dwelling lease) must be submitted as hard copies, in-person, by email, by mail, or by fax.</w:t>
      </w:r>
    </w:p>
    <w:p w:rsidR="004E13A5" w:rsidRDefault="00681463">
      <w:pPr>
        <w:pStyle w:val="BodyText"/>
        <w:spacing w:before="120" w:line="343" w:lineRule="auto"/>
        <w:ind w:left="820"/>
      </w:pPr>
      <w:r>
        <w:t>The family may not submit, and the PHA will not process, more than one (1) RTA at a time. When the family submits the RTA the PHA will review the RTA for completeness.</w:t>
      </w:r>
    </w:p>
    <w:p w:rsidR="004E13A5" w:rsidRDefault="004E13A5">
      <w:pPr>
        <w:spacing w:line="343" w:lineRule="auto"/>
        <w:sectPr w:rsidR="004E13A5">
          <w:pgSz w:w="12240" w:h="15840"/>
          <w:pgMar w:top="1000" w:right="1220" w:bottom="1240" w:left="1220" w:header="0" w:footer="1023" w:gutter="0"/>
          <w:cols w:space="720"/>
        </w:sectPr>
      </w:pPr>
    </w:p>
    <w:p w:rsidR="004E13A5" w:rsidRDefault="00681463">
      <w:pPr>
        <w:pStyle w:val="BodyText"/>
        <w:spacing w:before="79"/>
        <w:ind w:left="1540" w:right="236"/>
        <w:jc w:val="both"/>
      </w:pPr>
      <w:r>
        <w:lastRenderedPageBreak/>
        <w:t>If the RTA is incomplete (including lack of signature by family, owner, or both), or if the dwelling lease is not submitted with the RTA, the PHA will notify the family and the owner of the deficiencies.</w:t>
      </w:r>
    </w:p>
    <w:p w:rsidR="004E13A5" w:rsidRDefault="00681463">
      <w:pPr>
        <w:pStyle w:val="BodyText"/>
        <w:spacing w:before="120"/>
        <w:ind w:left="1540" w:right="126"/>
      </w:pPr>
      <w:r>
        <w:t>Missing information and/or missing documents will only be accepted as hard copies, in-person, by email, by mail, or by fax. The PHA will not accept missing information over the phone.</w:t>
      </w:r>
    </w:p>
    <w:p w:rsidR="004E13A5" w:rsidRDefault="00681463">
      <w:pPr>
        <w:pStyle w:val="BodyText"/>
        <w:spacing w:before="120"/>
        <w:ind w:left="820" w:right="291"/>
        <w:jc w:val="both"/>
      </w:pPr>
      <w:r>
        <w:t>When the family submits the RTA and proposed lease, the PHA will also review the</w:t>
      </w:r>
      <w:r>
        <w:rPr>
          <w:spacing w:val="-16"/>
        </w:rPr>
        <w:t xml:space="preserve"> </w:t>
      </w:r>
      <w:r>
        <w:t>terms of the RTA for consistency with the terms of the proposed</w:t>
      </w:r>
      <w:r>
        <w:rPr>
          <w:spacing w:val="-14"/>
        </w:rPr>
        <w:t xml:space="preserve"> </w:t>
      </w:r>
      <w:r>
        <w:t>lease.</w:t>
      </w:r>
    </w:p>
    <w:p w:rsidR="004E13A5" w:rsidRDefault="00681463">
      <w:pPr>
        <w:pStyle w:val="BodyText"/>
        <w:spacing w:before="120"/>
        <w:ind w:left="1540" w:right="302"/>
      </w:pPr>
      <w:r>
        <w:t>If the terms of the RTA are not consistent with the terms of the proposed lease, the PHA will notify the family and the owner of the discrepancies.</w:t>
      </w:r>
    </w:p>
    <w:p w:rsidR="004E13A5" w:rsidRDefault="00681463">
      <w:pPr>
        <w:pStyle w:val="BodyText"/>
        <w:spacing w:before="120"/>
        <w:ind w:left="1540" w:right="100"/>
      </w:pPr>
      <w:r>
        <w:t>Corrections to the terms of the RTA and/or the proposed lease will only be accepted as hard copies, in-person, by email, by mail or by fax. The PHA will not accept corrections by phone.</w:t>
      </w:r>
    </w:p>
    <w:p w:rsidR="004E13A5" w:rsidRDefault="00681463">
      <w:pPr>
        <w:pStyle w:val="BodyText"/>
        <w:spacing w:before="120"/>
        <w:ind w:left="820" w:right="230"/>
        <w:jc w:val="both"/>
      </w:pPr>
      <w:r>
        <w:t>Because of the time sensitive nature of the tenancy approval process, the PHA will attempt to communicate with the owner and family by phone, fax, or email. The PHA will use</w:t>
      </w:r>
      <w:r>
        <w:rPr>
          <w:spacing w:val="-15"/>
        </w:rPr>
        <w:t xml:space="preserve"> </w:t>
      </w:r>
      <w:r>
        <w:t>mail when the parties cannot be reached by phone, fax, or</w:t>
      </w:r>
      <w:r>
        <w:rPr>
          <w:spacing w:val="-9"/>
        </w:rPr>
        <w:t xml:space="preserve"> </w:t>
      </w:r>
      <w:r>
        <w:t>email.</w:t>
      </w:r>
    </w:p>
    <w:p w:rsidR="004E13A5" w:rsidRDefault="004E13A5">
      <w:pPr>
        <w:pStyle w:val="BodyText"/>
        <w:spacing w:before="10"/>
        <w:ind w:left="0"/>
        <w:rPr>
          <w:sz w:val="20"/>
        </w:rPr>
      </w:pPr>
    </w:p>
    <w:p w:rsidR="004E13A5" w:rsidRDefault="00681463">
      <w:pPr>
        <w:pStyle w:val="Heading4"/>
      </w:pPr>
      <w:bookmarkStart w:id="76" w:name="_TOC_250349"/>
      <w:bookmarkEnd w:id="76"/>
      <w:r>
        <w:t>9-I.C. OWNER PARTICIPATION</w:t>
      </w:r>
    </w:p>
    <w:p w:rsidR="004E13A5" w:rsidRDefault="00681463">
      <w:pPr>
        <w:pStyle w:val="BodyText"/>
        <w:spacing w:before="120"/>
        <w:ind w:right="100"/>
      </w:pPr>
      <w:r>
        <w:t>The PHA does not formally approve an owner to participate in the HCV program. However, there are a number of criteria where the PHA may deny approval of an assisted tenancy based on past owner behavior, conflict of interest, or other owner-related issues. There are also criteria for which the PHA must disapprove an owner. No owner has a right to participate in the HCV program [24 CFR 982.306(e)]</w:t>
      </w:r>
    </w:p>
    <w:p w:rsidR="004E13A5" w:rsidRDefault="00681463">
      <w:pPr>
        <w:pStyle w:val="BodyText"/>
        <w:spacing w:before="120"/>
      </w:pPr>
      <w:r>
        <w:t>See Chapter 13 for a full discussion of owner qualification to participate in the HCV program.</w:t>
      </w:r>
    </w:p>
    <w:p w:rsidR="004E13A5" w:rsidRDefault="004E13A5">
      <w:pPr>
        <w:pStyle w:val="BodyText"/>
        <w:spacing w:before="10"/>
        <w:ind w:left="0"/>
        <w:rPr>
          <w:sz w:val="20"/>
        </w:rPr>
      </w:pPr>
    </w:p>
    <w:p w:rsidR="004E13A5" w:rsidRDefault="00681463">
      <w:pPr>
        <w:pStyle w:val="Heading4"/>
      </w:pPr>
      <w:bookmarkStart w:id="77" w:name="_TOC_250348"/>
      <w:bookmarkEnd w:id="77"/>
      <w:r>
        <w:t>9-I.D. ELIGIBLE UNITS</w:t>
      </w:r>
    </w:p>
    <w:p w:rsidR="004E13A5" w:rsidRDefault="00681463">
      <w:pPr>
        <w:pStyle w:val="BodyText"/>
      </w:pPr>
      <w:r>
        <w:t>There are a number of criteria that a dwelling unit must meet in order to be eligible for assistance under the voucher program. Generally, a voucher-holder family may choose any available rental dwelling unit on the market in the PHA’s jurisdiction. This includes the dwelling unit they are currently occupying.</w:t>
      </w:r>
    </w:p>
    <w:p w:rsidR="004E13A5" w:rsidRDefault="00681463">
      <w:pPr>
        <w:pStyle w:val="Heading4"/>
        <w:spacing w:before="119"/>
      </w:pPr>
      <w:bookmarkStart w:id="78" w:name="_TOC_250347"/>
      <w:bookmarkEnd w:id="78"/>
      <w:r>
        <w:t>Ineligible Units [24 CFR 982.352(a)]</w:t>
      </w:r>
    </w:p>
    <w:p w:rsidR="004E13A5" w:rsidRDefault="00681463">
      <w:pPr>
        <w:pStyle w:val="BodyText"/>
        <w:ind w:right="36"/>
      </w:pPr>
      <w:r>
        <w:t xml:space="preserve">The PHA may </w:t>
      </w:r>
      <w:r>
        <w:rPr>
          <w:u w:val="single"/>
        </w:rPr>
        <w:t xml:space="preserve">not </w:t>
      </w:r>
      <w:r>
        <w:t>assist a unit under the voucher program if the unit is a public housing or Indian housing unit; a unit receiving project-based assistance under section 8 of the 1937 Act (42 U.S.C. 1437f); nursing homes, board and care homes, or facilities providing continual psychiatric, medical, or nursing services; college or other school dormitories; units on the grounds of penal, reformatory, medical, mental, and similar public or private institutions; a unit occupied by its owner or by a person with any interest in the unit.</w:t>
      </w:r>
    </w:p>
    <w:p w:rsidR="004E13A5" w:rsidRDefault="00681463">
      <w:pPr>
        <w:pStyle w:val="Heading4"/>
        <w:spacing w:before="119"/>
      </w:pPr>
      <w:bookmarkStart w:id="79" w:name="_TOC_250346"/>
      <w:bookmarkEnd w:id="79"/>
      <w:r>
        <w:t>PHA-Owned Units [24 CFR 982.352(b)]</w:t>
      </w:r>
    </w:p>
    <w:p w:rsidR="004E13A5" w:rsidRDefault="00681463">
      <w:pPr>
        <w:pStyle w:val="BodyText"/>
      </w:pPr>
      <w:r>
        <w:t>Otherwise eligible units that are owned or substantially controlled by the PHA issuing the voucher may also be leased in the voucher program. In order for a PHA-owned unit to be leased under the voucher program, the unit must not be ineligible housing and the PHA must inform the family, both orally and in writing, that the family has the right to select any eligible unit available for lease and that the family is free to select a PHA-owned unit without any pressure or steering by the PHA.</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668"/>
      </w:pPr>
      <w:r>
        <w:t>The PHA does not have any eligible PHA-owned units available for leasing under the voucher program.</w:t>
      </w:r>
    </w:p>
    <w:p w:rsidR="004E13A5" w:rsidRDefault="004E13A5">
      <w:pPr>
        <w:pStyle w:val="BodyText"/>
        <w:spacing w:before="0"/>
        <w:ind w:left="0"/>
        <w:rPr>
          <w:sz w:val="26"/>
        </w:rPr>
      </w:pPr>
    </w:p>
    <w:p w:rsidR="004E13A5" w:rsidRDefault="00681463">
      <w:pPr>
        <w:pStyle w:val="Heading4"/>
        <w:spacing w:before="216"/>
      </w:pPr>
      <w:bookmarkStart w:id="80" w:name="_TOC_250345"/>
      <w:bookmarkEnd w:id="80"/>
      <w:r>
        <w:t>Special Housing Types [24 CFR 982 Subpart M]</w:t>
      </w:r>
    </w:p>
    <w:p w:rsidR="004E13A5" w:rsidRDefault="00681463">
      <w:pPr>
        <w:pStyle w:val="BodyText"/>
        <w:ind w:right="286"/>
      </w:pPr>
      <w:r>
        <w:t>HUD regulations permit, but do not generally require, the PHA to permit families to use voucher assistance in a number of special housing types in accordance with the specific requirements applicable to those programs. These special housing types include single room occupancy (SRO) housing, congregate housing, group home, shared housing, manufactured home space (where the family owns the manufactured home and leases only the space), cooperative housing and homeownership option. See Chapter 15 for specific information and policies on any of these housing types that the PHA has chosen to allow.</w:t>
      </w:r>
    </w:p>
    <w:p w:rsidR="004E13A5" w:rsidRDefault="00681463">
      <w:pPr>
        <w:pStyle w:val="BodyText"/>
        <w:spacing w:before="120"/>
      </w:pPr>
      <w:r>
        <w:t>The regulations do require the PHA to permit use of any special housing type if needed as a reasonable accommodation so that the program is readily accessible to and usable by persons with disabilities.</w:t>
      </w:r>
    </w:p>
    <w:p w:rsidR="004E13A5" w:rsidRDefault="00681463">
      <w:pPr>
        <w:pStyle w:val="Heading4"/>
        <w:spacing w:before="119"/>
      </w:pPr>
      <w:bookmarkStart w:id="81" w:name="_TOC_250344"/>
      <w:bookmarkEnd w:id="81"/>
      <w:r>
        <w:t>Duplicative Assistance [24 CFR 982.352(c)]</w:t>
      </w:r>
    </w:p>
    <w:p w:rsidR="004E13A5" w:rsidRDefault="00681463">
      <w:pPr>
        <w:pStyle w:val="BodyText"/>
        <w:ind w:right="83"/>
      </w:pPr>
      <w:r>
        <w:t>A family may not receive the benefit of HCV tenant-based assistance while receiving the benefit of any of the following forms of other housing subsidy, for the same unit or for a different unit:</w:t>
      </w:r>
    </w:p>
    <w:p w:rsidR="004E13A5" w:rsidRDefault="00681463">
      <w:pPr>
        <w:pStyle w:val="ListParagraph"/>
        <w:numPr>
          <w:ilvl w:val="2"/>
          <w:numId w:val="55"/>
        </w:numPr>
        <w:tabs>
          <w:tab w:val="left" w:pos="1540"/>
          <w:tab w:val="left" w:pos="1541"/>
        </w:tabs>
        <w:ind w:firstLine="0"/>
        <w:rPr>
          <w:sz w:val="24"/>
        </w:rPr>
      </w:pPr>
      <w:r>
        <w:rPr>
          <w:sz w:val="24"/>
        </w:rPr>
        <w:t>Public or Indian housing</w:t>
      </w:r>
      <w:r>
        <w:rPr>
          <w:spacing w:val="-10"/>
          <w:sz w:val="24"/>
        </w:rPr>
        <w:t xml:space="preserve"> </w:t>
      </w:r>
      <w:r>
        <w:rPr>
          <w:sz w:val="24"/>
        </w:rPr>
        <w:t>assistance;</w:t>
      </w:r>
    </w:p>
    <w:p w:rsidR="004E13A5" w:rsidRDefault="00681463">
      <w:pPr>
        <w:pStyle w:val="ListParagraph"/>
        <w:numPr>
          <w:ilvl w:val="2"/>
          <w:numId w:val="55"/>
        </w:numPr>
        <w:tabs>
          <w:tab w:val="left" w:pos="1540"/>
          <w:tab w:val="left" w:pos="1541"/>
        </w:tabs>
        <w:ind w:left="1540"/>
        <w:rPr>
          <w:sz w:val="24"/>
        </w:rPr>
      </w:pPr>
      <w:r>
        <w:rPr>
          <w:sz w:val="24"/>
        </w:rPr>
        <w:t>Other Section 8 assistance (including other tenant-based</w:t>
      </w:r>
      <w:r>
        <w:rPr>
          <w:spacing w:val="-10"/>
          <w:sz w:val="24"/>
        </w:rPr>
        <w:t xml:space="preserve"> </w:t>
      </w:r>
      <w:r>
        <w:rPr>
          <w:sz w:val="24"/>
        </w:rPr>
        <w:t>assistance);</w:t>
      </w:r>
    </w:p>
    <w:p w:rsidR="004E13A5" w:rsidRDefault="00681463">
      <w:pPr>
        <w:pStyle w:val="ListParagraph"/>
        <w:numPr>
          <w:ilvl w:val="2"/>
          <w:numId w:val="55"/>
        </w:numPr>
        <w:tabs>
          <w:tab w:val="left" w:pos="1540"/>
          <w:tab w:val="left" w:pos="1541"/>
        </w:tabs>
        <w:ind w:right="728" w:firstLine="0"/>
        <w:rPr>
          <w:sz w:val="24"/>
        </w:rPr>
      </w:pPr>
      <w:r>
        <w:rPr>
          <w:sz w:val="24"/>
        </w:rPr>
        <w:t xml:space="preserve">Assistance under former Section 23 of the United States Housing Act of 1937 (before amendment </w:t>
      </w:r>
      <w:r>
        <w:rPr>
          <w:spacing w:val="2"/>
          <w:sz w:val="24"/>
        </w:rPr>
        <w:t xml:space="preserve">by </w:t>
      </w:r>
      <w:r>
        <w:rPr>
          <w:sz w:val="24"/>
        </w:rPr>
        <w:t>the Housing and Community Development Act of</w:t>
      </w:r>
      <w:r>
        <w:rPr>
          <w:spacing w:val="-16"/>
          <w:sz w:val="24"/>
        </w:rPr>
        <w:t xml:space="preserve"> </w:t>
      </w:r>
      <w:r>
        <w:rPr>
          <w:sz w:val="24"/>
        </w:rPr>
        <w:t>1974);</w:t>
      </w:r>
    </w:p>
    <w:p w:rsidR="004E13A5" w:rsidRDefault="00681463">
      <w:pPr>
        <w:pStyle w:val="ListParagraph"/>
        <w:numPr>
          <w:ilvl w:val="2"/>
          <w:numId w:val="55"/>
        </w:numPr>
        <w:tabs>
          <w:tab w:val="left" w:pos="1540"/>
          <w:tab w:val="left" w:pos="1541"/>
        </w:tabs>
        <w:ind w:left="1540"/>
        <w:rPr>
          <w:sz w:val="24"/>
        </w:rPr>
      </w:pPr>
      <w:r>
        <w:rPr>
          <w:sz w:val="24"/>
        </w:rPr>
        <w:t>Section 101 rent</w:t>
      </w:r>
      <w:r>
        <w:rPr>
          <w:spacing w:val="-6"/>
          <w:sz w:val="24"/>
        </w:rPr>
        <w:t xml:space="preserve"> </w:t>
      </w:r>
      <w:r>
        <w:rPr>
          <w:sz w:val="24"/>
        </w:rPr>
        <w:t>supplements;</w:t>
      </w:r>
    </w:p>
    <w:p w:rsidR="004E13A5" w:rsidRDefault="00681463">
      <w:pPr>
        <w:pStyle w:val="ListParagraph"/>
        <w:numPr>
          <w:ilvl w:val="2"/>
          <w:numId w:val="55"/>
        </w:numPr>
        <w:tabs>
          <w:tab w:val="left" w:pos="1540"/>
          <w:tab w:val="left" w:pos="1541"/>
        </w:tabs>
        <w:ind w:left="1540"/>
        <w:rPr>
          <w:sz w:val="24"/>
        </w:rPr>
      </w:pPr>
      <w:r>
        <w:rPr>
          <w:sz w:val="24"/>
        </w:rPr>
        <w:t>Section 236 rental assistance</w:t>
      </w:r>
      <w:r>
        <w:rPr>
          <w:spacing w:val="-8"/>
          <w:sz w:val="24"/>
        </w:rPr>
        <w:t xml:space="preserve"> </w:t>
      </w:r>
      <w:r>
        <w:rPr>
          <w:sz w:val="24"/>
        </w:rPr>
        <w:t>payments;</w:t>
      </w:r>
    </w:p>
    <w:p w:rsidR="004E13A5" w:rsidRDefault="00681463">
      <w:pPr>
        <w:pStyle w:val="ListParagraph"/>
        <w:numPr>
          <w:ilvl w:val="2"/>
          <w:numId w:val="55"/>
        </w:numPr>
        <w:tabs>
          <w:tab w:val="left" w:pos="1540"/>
          <w:tab w:val="left" w:pos="1541"/>
        </w:tabs>
        <w:ind w:left="1540"/>
        <w:rPr>
          <w:sz w:val="24"/>
        </w:rPr>
      </w:pPr>
      <w:r>
        <w:rPr>
          <w:sz w:val="24"/>
        </w:rPr>
        <w:t>Tenant-based assistance under the HOME</w:t>
      </w:r>
      <w:r>
        <w:rPr>
          <w:spacing w:val="-7"/>
          <w:sz w:val="24"/>
        </w:rPr>
        <w:t xml:space="preserve"> </w:t>
      </w:r>
      <w:r>
        <w:rPr>
          <w:sz w:val="24"/>
        </w:rPr>
        <w:t>Program;</w:t>
      </w:r>
    </w:p>
    <w:p w:rsidR="004E13A5" w:rsidRDefault="00681463">
      <w:pPr>
        <w:pStyle w:val="ListParagraph"/>
        <w:numPr>
          <w:ilvl w:val="2"/>
          <w:numId w:val="55"/>
        </w:numPr>
        <w:tabs>
          <w:tab w:val="left" w:pos="1540"/>
          <w:tab w:val="left" w:pos="1541"/>
        </w:tabs>
        <w:ind w:right="825" w:firstLine="0"/>
        <w:rPr>
          <w:sz w:val="24"/>
        </w:rPr>
      </w:pPr>
      <w:r>
        <w:rPr>
          <w:sz w:val="24"/>
        </w:rPr>
        <w:t>Rental assistance payments under Section 521 of the Housing Act of 1949 (a program of the Rural Development</w:t>
      </w:r>
      <w:r>
        <w:rPr>
          <w:spacing w:val="-6"/>
          <w:sz w:val="24"/>
        </w:rPr>
        <w:t xml:space="preserve"> </w:t>
      </w:r>
      <w:r>
        <w:rPr>
          <w:sz w:val="24"/>
        </w:rPr>
        <w:t>Administration);</w:t>
      </w:r>
    </w:p>
    <w:p w:rsidR="004E13A5" w:rsidRDefault="00681463">
      <w:pPr>
        <w:pStyle w:val="ListParagraph"/>
        <w:numPr>
          <w:ilvl w:val="2"/>
          <w:numId w:val="55"/>
        </w:numPr>
        <w:tabs>
          <w:tab w:val="left" w:pos="1540"/>
          <w:tab w:val="left" w:pos="1541"/>
        </w:tabs>
        <w:ind w:left="1540"/>
        <w:rPr>
          <w:sz w:val="24"/>
        </w:rPr>
      </w:pPr>
      <w:r>
        <w:rPr>
          <w:sz w:val="24"/>
        </w:rPr>
        <w:t>Any local or State rent</w:t>
      </w:r>
      <w:r>
        <w:rPr>
          <w:spacing w:val="-9"/>
          <w:sz w:val="24"/>
        </w:rPr>
        <w:t xml:space="preserve"> </w:t>
      </w:r>
      <w:r>
        <w:rPr>
          <w:sz w:val="24"/>
        </w:rPr>
        <w:t>subsidy;</w:t>
      </w:r>
    </w:p>
    <w:p w:rsidR="004E13A5" w:rsidRDefault="00681463">
      <w:pPr>
        <w:pStyle w:val="ListParagraph"/>
        <w:numPr>
          <w:ilvl w:val="2"/>
          <w:numId w:val="55"/>
        </w:numPr>
        <w:tabs>
          <w:tab w:val="left" w:pos="1540"/>
          <w:tab w:val="left" w:pos="1541"/>
        </w:tabs>
        <w:ind w:left="1540"/>
        <w:rPr>
          <w:sz w:val="24"/>
        </w:rPr>
      </w:pPr>
      <w:r>
        <w:rPr>
          <w:sz w:val="24"/>
        </w:rPr>
        <w:t>Section 202 supportive housing for the</w:t>
      </w:r>
      <w:r>
        <w:rPr>
          <w:spacing w:val="-9"/>
          <w:sz w:val="24"/>
        </w:rPr>
        <w:t xml:space="preserve"> </w:t>
      </w:r>
      <w:r>
        <w:rPr>
          <w:sz w:val="24"/>
        </w:rPr>
        <w:t>elderly;</w:t>
      </w:r>
    </w:p>
    <w:p w:rsidR="004E13A5" w:rsidRDefault="00681463">
      <w:pPr>
        <w:pStyle w:val="ListParagraph"/>
        <w:numPr>
          <w:ilvl w:val="2"/>
          <w:numId w:val="55"/>
        </w:numPr>
        <w:tabs>
          <w:tab w:val="left" w:pos="1540"/>
          <w:tab w:val="left" w:pos="1541"/>
        </w:tabs>
        <w:ind w:right="718" w:firstLine="0"/>
        <w:rPr>
          <w:sz w:val="24"/>
        </w:rPr>
      </w:pPr>
      <w:r>
        <w:rPr>
          <w:sz w:val="24"/>
        </w:rPr>
        <w:t>Section 811 supportive housing for persons with disabilities; (11) Section 202 projects for non-elderly persons with disabilities (Section 162 assistance);</w:t>
      </w:r>
      <w:r>
        <w:rPr>
          <w:spacing w:val="-12"/>
          <w:sz w:val="24"/>
        </w:rPr>
        <w:t xml:space="preserve"> </w:t>
      </w:r>
      <w:r>
        <w:rPr>
          <w:sz w:val="24"/>
        </w:rPr>
        <w:t>or</w:t>
      </w:r>
    </w:p>
    <w:p w:rsidR="004E13A5" w:rsidRDefault="00681463">
      <w:pPr>
        <w:pStyle w:val="ListParagraph"/>
        <w:numPr>
          <w:ilvl w:val="2"/>
          <w:numId w:val="55"/>
        </w:numPr>
        <w:tabs>
          <w:tab w:val="left" w:pos="1540"/>
          <w:tab w:val="left" w:pos="1541"/>
        </w:tabs>
        <w:spacing w:before="120"/>
        <w:ind w:right="240" w:firstLine="0"/>
        <w:rPr>
          <w:sz w:val="24"/>
        </w:rPr>
      </w:pPr>
      <w:r>
        <w:rPr>
          <w:sz w:val="24"/>
        </w:rPr>
        <w:t>Any other duplicative federal, State, or local housing subsidy, as determined by HUD. For this purpose, 'housing subsidy' does not include the housing component of</w:t>
      </w:r>
      <w:r>
        <w:rPr>
          <w:spacing w:val="-12"/>
          <w:sz w:val="24"/>
        </w:rPr>
        <w:t xml:space="preserve"> </w:t>
      </w:r>
      <w:r>
        <w:rPr>
          <w:sz w:val="24"/>
        </w:rPr>
        <w:t>a welfare payment, a social security payment received by the family, or a rent reduction because of a tax</w:t>
      </w:r>
      <w:r>
        <w:rPr>
          <w:spacing w:val="-6"/>
          <w:sz w:val="24"/>
        </w:rPr>
        <w:t xml:space="preserve"> </w:t>
      </w:r>
      <w:r>
        <w:rPr>
          <w:sz w:val="24"/>
        </w:rPr>
        <w:t>credit.</w:t>
      </w:r>
    </w:p>
    <w:p w:rsidR="00D151CC" w:rsidRPr="00D151CC" w:rsidRDefault="00D151CC" w:rsidP="00D151CC">
      <w:pPr>
        <w:pStyle w:val="ListParagraph"/>
        <w:widowControl/>
        <w:numPr>
          <w:ilvl w:val="0"/>
          <w:numId w:val="55"/>
        </w:numPr>
        <w:autoSpaceDE/>
        <w:autoSpaceDN/>
        <w:spacing w:before="120"/>
        <w:rPr>
          <w:b/>
          <w:sz w:val="24"/>
        </w:rPr>
      </w:pPr>
      <w:r w:rsidRPr="00D151CC">
        <w:rPr>
          <w:b/>
          <w:sz w:val="24"/>
        </w:rPr>
        <w:t>NSPIRE Standards [Notice PIH 2023-28]</w:t>
      </w:r>
    </w:p>
    <w:p w:rsidR="004E13A5" w:rsidRDefault="00681463">
      <w:pPr>
        <w:pStyle w:val="BodyText"/>
        <w:spacing w:before="120"/>
        <w:ind w:right="136"/>
      </w:pPr>
      <w:r>
        <w:t>In order to be eligible, the dwelling unit must be in decent, safe and sanitary condition. This determination is made using HUD’s Housing Quality Standards (</w:t>
      </w:r>
      <w:r w:rsidR="002C4221">
        <w:t>NSPIRE</w:t>
      </w:r>
      <w:r>
        <w:t xml:space="preserve">) and/or equivalent state or local standards approved by HUD. See Chapter 8 for a full discussion of the </w:t>
      </w:r>
      <w:r w:rsidR="002C4221">
        <w:t>NSPIRE</w:t>
      </w:r>
      <w:r>
        <w:t xml:space="preserve"> standards, as well as the process for </w:t>
      </w:r>
      <w:r w:rsidR="002C4221">
        <w:t>NSPIRE</w:t>
      </w:r>
      <w:r>
        <w:t xml:space="preserve"> inspection at initial lease-up.</w:t>
      </w:r>
    </w:p>
    <w:p w:rsidR="004E13A5" w:rsidRDefault="004E13A5">
      <w:pPr>
        <w:sectPr w:rsidR="004E13A5">
          <w:pgSz w:w="12240" w:h="15840"/>
          <w:pgMar w:top="1000" w:right="1280" w:bottom="1240" w:left="1220" w:header="0" w:footer="1023" w:gutter="0"/>
          <w:cols w:space="720"/>
        </w:sectPr>
      </w:pPr>
    </w:p>
    <w:p w:rsidR="004E13A5" w:rsidRDefault="00681463">
      <w:pPr>
        <w:pStyle w:val="Heading4"/>
        <w:spacing w:before="75"/>
      </w:pPr>
      <w:bookmarkStart w:id="82" w:name="_TOC_250343"/>
      <w:bookmarkEnd w:id="82"/>
      <w:r>
        <w:lastRenderedPageBreak/>
        <w:t>Unit Size</w:t>
      </w:r>
    </w:p>
    <w:p w:rsidR="004E13A5" w:rsidRDefault="00681463">
      <w:pPr>
        <w:pStyle w:val="BodyText"/>
        <w:ind w:right="181"/>
      </w:pPr>
      <w:r>
        <w:t xml:space="preserve">In order to be eligible, the dwelling unit must be appropriate for the number of persons in the household. A family must be allowed to lease an otherwise acceptable dwelling unit with fewer bedrooms than the number of bedrooms stated on the voucher issued to the family, provided the unit meets the applicable </w:t>
      </w:r>
      <w:r w:rsidR="002C4221">
        <w:t>NSPIRE</w:t>
      </w:r>
      <w:r>
        <w:t xml:space="preserve"> space requirements [24 CFR 982.402(d)]. The family must be allowed to lease an otherwise acceptable dwelling unit with more bedrooms than the number of bedrooms stated on the voucher issued to the family. See Chapter 5 for a full discussion of subsidy standards.</w:t>
      </w:r>
    </w:p>
    <w:p w:rsidR="004E13A5" w:rsidRDefault="00681463">
      <w:pPr>
        <w:pStyle w:val="Heading4"/>
        <w:spacing w:before="119"/>
      </w:pPr>
      <w:bookmarkStart w:id="83" w:name="_TOC_250342"/>
      <w:bookmarkEnd w:id="83"/>
      <w:r>
        <w:t>Rent Reasonableness [24 CFR 982.305 and 24 CFR 982.507]</w:t>
      </w:r>
    </w:p>
    <w:p w:rsidR="004E13A5" w:rsidRDefault="00681463">
      <w:pPr>
        <w:pStyle w:val="BodyText"/>
        <w:ind w:right="196"/>
      </w:pPr>
      <w:r>
        <w:t>In order to be eligible, the dwelling unit must have a reasonable rent. The rent must be reasonable in relation to comparable unassisted units in the area and must not be in excess of rents charged by the owner for comparable, unassisted units on the premises. See Chapter 8 for a full discussion of rent reasonableness and the rent reasonableness determination process.</w:t>
      </w:r>
    </w:p>
    <w:p w:rsidR="004E13A5" w:rsidRDefault="00681463">
      <w:pPr>
        <w:pStyle w:val="Heading4"/>
        <w:spacing w:before="119"/>
      </w:pPr>
      <w:bookmarkStart w:id="84" w:name="_TOC_250341"/>
      <w:bookmarkEnd w:id="84"/>
      <w:r>
        <w:t>Rent Burden [24 CFR 982.508]</w:t>
      </w:r>
    </w:p>
    <w:p w:rsidR="004E13A5" w:rsidRDefault="00681463">
      <w:pPr>
        <w:pStyle w:val="BodyText"/>
      </w:pPr>
      <w:r>
        <w:t>Where a family is initially leasing a unit and the gross rent of the unit exceeds the applicable payment standard for the family, the family share cannot exceed 40 percent of the family’s adjusted monthly income. The term “family share” refers to the amount the family pays toward rent and utilities. The gross rent for the unit minus the total housing assistance payment (HAP) for the unit equals the family share. See Chapter 6 for a discussion of calculation of gross rent, the use of payment standards, and calculation of family income, family share of rent and HAP.</w:t>
      </w:r>
    </w:p>
    <w:p w:rsidR="004E13A5" w:rsidRDefault="004E13A5">
      <w:pPr>
        <w:pStyle w:val="BodyText"/>
        <w:spacing w:before="9"/>
        <w:ind w:left="0"/>
        <w:rPr>
          <w:sz w:val="20"/>
        </w:rPr>
      </w:pPr>
    </w:p>
    <w:p w:rsidR="004E13A5" w:rsidRDefault="00681463">
      <w:pPr>
        <w:pStyle w:val="Heading4"/>
      </w:pPr>
      <w:bookmarkStart w:id="85" w:name="_TOC_250340"/>
      <w:bookmarkEnd w:id="85"/>
      <w:r>
        <w:t>9-I.E. LEASE AND TENANCY ADDENDUM</w:t>
      </w:r>
    </w:p>
    <w:p w:rsidR="004E13A5" w:rsidRDefault="00681463">
      <w:pPr>
        <w:pStyle w:val="BodyText"/>
        <w:ind w:right="116"/>
      </w:pPr>
      <w:r>
        <w:t>The family and the owner must execute a written dwelling lease agreement for the assisted unit. This written lease is a contract between the tenant family and the owner; the PHA is not a party to this contract.</w:t>
      </w:r>
    </w:p>
    <w:p w:rsidR="004E13A5" w:rsidRDefault="00681463">
      <w:pPr>
        <w:pStyle w:val="BodyText"/>
        <w:ind w:right="605"/>
        <w:jc w:val="both"/>
      </w:pPr>
      <w:r>
        <w:t>The tenant must have legal capacity to enter a lease under State and local law. 'Legal capacity' means that the tenant is bound by the terms of the lease and may enforce the terms of the lease against the owner [24 CFR 982.308(a)]</w:t>
      </w:r>
    </w:p>
    <w:p w:rsidR="004E13A5" w:rsidRDefault="00681463">
      <w:pPr>
        <w:pStyle w:val="Heading4"/>
        <w:spacing w:before="119"/>
      </w:pPr>
      <w:bookmarkStart w:id="86" w:name="_TOC_250339"/>
      <w:bookmarkEnd w:id="86"/>
      <w:r>
        <w:t>Lease Form and Tenancy Addendum [24 CFR 982.308]</w:t>
      </w:r>
    </w:p>
    <w:p w:rsidR="004E13A5" w:rsidRDefault="00681463">
      <w:pPr>
        <w:pStyle w:val="BodyText"/>
        <w:ind w:right="249"/>
      </w:pPr>
      <w:r>
        <w:t>If the owner uses a standard lease form for rental to unassisted tenants in the locality or the premises, the lease must be in such standard form. If the owner does not use a standard lease form for rental to unassisted tenants, the owner may use another form of lease. The HAP contract prescribed by HUD contains the owner's certification that if the owner uses a standard lease form for rental to unassisted tenants, the lease for the assisted tenants is in such standard form.</w:t>
      </w:r>
    </w:p>
    <w:p w:rsidR="004E13A5" w:rsidRDefault="00681463">
      <w:pPr>
        <w:pStyle w:val="BodyText"/>
        <w:spacing w:before="120"/>
        <w:ind w:right="625"/>
      </w:pPr>
      <w:r>
        <w:t>All provisions in the HUD-required Tenancy Addendum must be added word-for-word to the owner's standard lease form. The Tenancy Addendum includes the HUD requirements for the tenancy. Because it is a part of the lease, the tenant shall have the right to enforce the Tenancy Addendum against the owner. If there is a conflict between the owner’s lease and the Tenancy Addendum, the terms of the Tenancy Addendum shall prevail over any other provisions of the</w:t>
      </w:r>
      <w:r>
        <w:rPr>
          <w:spacing w:val="-5"/>
        </w:rPr>
        <w:t xml:space="preserve"> </w:t>
      </w:r>
      <w:r>
        <w:t>lease.</w:t>
      </w:r>
    </w:p>
    <w:p w:rsidR="004E13A5" w:rsidRDefault="004E13A5">
      <w:pPr>
        <w:sectPr w:rsidR="004E13A5">
          <w:pgSz w:w="12240" w:h="15840"/>
          <w:pgMar w:top="1400" w:right="124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81"/>
      </w:pPr>
      <w:r>
        <w:t>The PHA does not provide a model or standard dwelling lease for owners to use in the HCV program.</w:t>
      </w:r>
    </w:p>
    <w:p w:rsidR="004E13A5" w:rsidRDefault="004E13A5">
      <w:pPr>
        <w:pStyle w:val="BodyText"/>
        <w:spacing w:before="0"/>
        <w:ind w:left="0"/>
        <w:rPr>
          <w:sz w:val="26"/>
        </w:rPr>
      </w:pPr>
    </w:p>
    <w:p w:rsidR="004E13A5" w:rsidRDefault="00681463">
      <w:pPr>
        <w:pStyle w:val="Heading4"/>
        <w:spacing w:before="216"/>
      </w:pPr>
      <w:bookmarkStart w:id="87" w:name="_TOC_250338"/>
      <w:bookmarkEnd w:id="87"/>
      <w:r>
        <w:t>Lease Information [24 CFR 982.308(d)]</w:t>
      </w:r>
    </w:p>
    <w:p w:rsidR="004E13A5" w:rsidRDefault="00681463">
      <w:pPr>
        <w:pStyle w:val="BodyText"/>
      </w:pPr>
      <w:r>
        <w:t>The assisted dwelling lease must contain all of the required information as listed below:</w:t>
      </w:r>
    </w:p>
    <w:p w:rsidR="004E13A5" w:rsidRDefault="00681463">
      <w:pPr>
        <w:pStyle w:val="ListParagraph"/>
        <w:numPr>
          <w:ilvl w:val="2"/>
          <w:numId w:val="55"/>
        </w:numPr>
        <w:tabs>
          <w:tab w:val="left" w:pos="1540"/>
          <w:tab w:val="left" w:pos="1541"/>
        </w:tabs>
        <w:ind w:left="1540"/>
        <w:rPr>
          <w:sz w:val="24"/>
        </w:rPr>
      </w:pPr>
      <w:r>
        <w:rPr>
          <w:sz w:val="24"/>
        </w:rPr>
        <w:t>The names of the owner and the</w:t>
      </w:r>
      <w:r>
        <w:rPr>
          <w:spacing w:val="-8"/>
          <w:sz w:val="24"/>
        </w:rPr>
        <w:t xml:space="preserve"> </w:t>
      </w:r>
      <w:r>
        <w:rPr>
          <w:sz w:val="24"/>
        </w:rPr>
        <w:t>tenant:</w:t>
      </w:r>
    </w:p>
    <w:p w:rsidR="004E13A5" w:rsidRDefault="00681463">
      <w:pPr>
        <w:pStyle w:val="ListParagraph"/>
        <w:numPr>
          <w:ilvl w:val="2"/>
          <w:numId w:val="55"/>
        </w:numPr>
        <w:tabs>
          <w:tab w:val="left" w:pos="1540"/>
          <w:tab w:val="left" w:pos="1541"/>
        </w:tabs>
        <w:ind w:right="437" w:firstLine="0"/>
        <w:rPr>
          <w:sz w:val="24"/>
        </w:rPr>
      </w:pPr>
      <w:r>
        <w:rPr>
          <w:sz w:val="24"/>
        </w:rPr>
        <w:t>The unit rented (address, apartment number, and any other information needed</w:t>
      </w:r>
      <w:r>
        <w:rPr>
          <w:spacing w:val="-15"/>
          <w:sz w:val="24"/>
        </w:rPr>
        <w:t xml:space="preserve"> </w:t>
      </w:r>
      <w:r>
        <w:rPr>
          <w:sz w:val="24"/>
        </w:rPr>
        <w:t>to identify the contract</w:t>
      </w:r>
      <w:r>
        <w:rPr>
          <w:spacing w:val="-4"/>
          <w:sz w:val="24"/>
        </w:rPr>
        <w:t xml:space="preserve"> </w:t>
      </w:r>
      <w:r>
        <w:rPr>
          <w:sz w:val="24"/>
        </w:rPr>
        <w:t>unit)</w:t>
      </w:r>
    </w:p>
    <w:p w:rsidR="004E13A5" w:rsidRDefault="00681463">
      <w:pPr>
        <w:pStyle w:val="ListParagraph"/>
        <w:numPr>
          <w:ilvl w:val="2"/>
          <w:numId w:val="55"/>
        </w:numPr>
        <w:tabs>
          <w:tab w:val="left" w:pos="1540"/>
          <w:tab w:val="left" w:pos="1541"/>
        </w:tabs>
        <w:ind w:left="1540"/>
        <w:rPr>
          <w:sz w:val="24"/>
        </w:rPr>
      </w:pPr>
      <w:r>
        <w:rPr>
          <w:sz w:val="24"/>
        </w:rPr>
        <w:t>The term of the lease (initial term and any provisions for</w:t>
      </w:r>
      <w:r>
        <w:rPr>
          <w:spacing w:val="-13"/>
          <w:sz w:val="24"/>
        </w:rPr>
        <w:t xml:space="preserve"> </w:t>
      </w:r>
      <w:r>
        <w:rPr>
          <w:sz w:val="24"/>
        </w:rPr>
        <w:t>renewal)</w:t>
      </w:r>
    </w:p>
    <w:p w:rsidR="004E13A5" w:rsidRDefault="00681463">
      <w:pPr>
        <w:pStyle w:val="ListParagraph"/>
        <w:numPr>
          <w:ilvl w:val="2"/>
          <w:numId w:val="55"/>
        </w:numPr>
        <w:tabs>
          <w:tab w:val="left" w:pos="1540"/>
          <w:tab w:val="left" w:pos="1541"/>
        </w:tabs>
        <w:ind w:left="1540"/>
        <w:rPr>
          <w:sz w:val="24"/>
        </w:rPr>
      </w:pPr>
      <w:r>
        <w:rPr>
          <w:sz w:val="24"/>
        </w:rPr>
        <w:t>The amount of the monthly rent to</w:t>
      </w:r>
      <w:r>
        <w:rPr>
          <w:spacing w:val="-8"/>
          <w:sz w:val="24"/>
        </w:rPr>
        <w:t xml:space="preserve"> </w:t>
      </w:r>
      <w:r>
        <w:rPr>
          <w:sz w:val="24"/>
        </w:rPr>
        <w:t>owner</w:t>
      </w:r>
    </w:p>
    <w:p w:rsidR="004E13A5" w:rsidRDefault="00681463">
      <w:pPr>
        <w:pStyle w:val="ListParagraph"/>
        <w:numPr>
          <w:ilvl w:val="2"/>
          <w:numId w:val="55"/>
        </w:numPr>
        <w:tabs>
          <w:tab w:val="left" w:pos="1540"/>
          <w:tab w:val="left" w:pos="1541"/>
        </w:tabs>
        <w:spacing w:before="120"/>
        <w:ind w:right="198" w:firstLine="0"/>
        <w:rPr>
          <w:sz w:val="24"/>
        </w:rPr>
      </w:pPr>
      <w:r>
        <w:rPr>
          <w:sz w:val="24"/>
        </w:rPr>
        <w:t>A specification of what utilities and appliances are to be supplied by the owner,</w:t>
      </w:r>
      <w:r>
        <w:rPr>
          <w:spacing w:val="-16"/>
          <w:sz w:val="24"/>
        </w:rPr>
        <w:t xml:space="preserve"> </w:t>
      </w:r>
      <w:r>
        <w:rPr>
          <w:sz w:val="24"/>
        </w:rPr>
        <w:t>and what utilities and appliances are to be supplied by the</w:t>
      </w:r>
      <w:r>
        <w:rPr>
          <w:spacing w:val="-11"/>
          <w:sz w:val="24"/>
        </w:rPr>
        <w:t xml:space="preserve"> </w:t>
      </w:r>
      <w:r>
        <w:rPr>
          <w:sz w:val="24"/>
        </w:rPr>
        <w:t>family</w:t>
      </w:r>
    </w:p>
    <w:p w:rsidR="004E13A5" w:rsidRDefault="00681463">
      <w:pPr>
        <w:pStyle w:val="Heading4"/>
        <w:spacing w:before="119"/>
      </w:pPr>
      <w:bookmarkStart w:id="88" w:name="_TOC_250337"/>
      <w:bookmarkEnd w:id="88"/>
      <w:r>
        <w:t>Term of Assisted Tenancy</w:t>
      </w:r>
    </w:p>
    <w:p w:rsidR="004E13A5" w:rsidRDefault="00681463">
      <w:pPr>
        <w:pStyle w:val="BodyText"/>
        <w:ind w:right="235"/>
      </w:pPr>
      <w:r>
        <w:t>The initial term of the assisted dwelling lease must be for at least one year [24 CFR 982.309]. The initial lease term is also stated in the HAP contract.</w:t>
      </w:r>
    </w:p>
    <w:p w:rsidR="004E13A5" w:rsidRDefault="00681463">
      <w:pPr>
        <w:pStyle w:val="BodyText"/>
      </w:pPr>
      <w:r>
        <w:t>The HUD program regulations permit the PHA to approve a shorter initial lease term if certain conditions are met.</w:t>
      </w:r>
    </w:p>
    <w:p w:rsidR="004E13A5" w:rsidRDefault="00681463">
      <w:pPr>
        <w:pStyle w:val="BodyText"/>
        <w:ind w:left="820"/>
      </w:pPr>
      <w:r>
        <w:rPr>
          <w:u w:val="single"/>
        </w:rPr>
        <w:t>PHA Policy</w:t>
      </w:r>
    </w:p>
    <w:p w:rsidR="004E13A5" w:rsidRDefault="00681463">
      <w:pPr>
        <w:pStyle w:val="BodyText"/>
        <w:ind w:left="820"/>
      </w:pPr>
      <w:r>
        <w:t>The PHA will approve an initial lease term of less than one (1) year.</w:t>
      </w:r>
    </w:p>
    <w:p w:rsidR="004E13A5" w:rsidRDefault="00681463">
      <w:pPr>
        <w:pStyle w:val="BodyText"/>
      </w:pPr>
      <w:r>
        <w:t>During the initial term of the lease, the owner may not raise the rent to owner [24 CFR 982.309].</w:t>
      </w:r>
    </w:p>
    <w:p w:rsidR="004E13A5" w:rsidRDefault="00681463">
      <w:pPr>
        <w:pStyle w:val="BodyText"/>
        <w:ind w:right="529"/>
      </w:pPr>
      <w:r>
        <w:t>Any provisions for renewal of the dwelling lease will be stated in the dwelling lease [HCV Guidebook, pg. 8-22]. There are no HUD requirements regarding any renewal extension terms, except that they must be stated in the dwelling lease if they exist.</w:t>
      </w:r>
    </w:p>
    <w:p w:rsidR="004E13A5" w:rsidRDefault="00681463">
      <w:pPr>
        <w:pStyle w:val="BodyText"/>
      </w:pPr>
      <w:r>
        <w:t>The PHA may execute the HAP contract even if there is less than one year remaining from the beginning of the initial lease term to the end of the last expiring funding increment under the consolidated ACC. [24 CFR 982.309(b)].</w:t>
      </w:r>
    </w:p>
    <w:p w:rsidR="004E13A5" w:rsidRDefault="00681463">
      <w:pPr>
        <w:pStyle w:val="Heading4"/>
        <w:spacing w:before="119"/>
      </w:pPr>
      <w:bookmarkStart w:id="89" w:name="_TOC_250336"/>
      <w:bookmarkEnd w:id="89"/>
      <w:r>
        <w:t>Security Deposit [24 CFR 982.313 (a) and (b)]</w:t>
      </w:r>
    </w:p>
    <w:p w:rsidR="004E13A5" w:rsidRDefault="00681463">
      <w:pPr>
        <w:pStyle w:val="BodyText"/>
        <w:ind w:right="116"/>
      </w:pPr>
      <w:r>
        <w:t>The owner may collect a security deposit from the tenant. The PHA may prohibit security deposits in excess of private market practice, or in excess of amounts charged by the owner to unassisted tenants. However, if the PHA chooses to do so, language to this effect must be added to Part A of the HAP contract [Form HUD-52641].</w:t>
      </w:r>
    </w:p>
    <w:p w:rsidR="004E13A5" w:rsidRDefault="00681463">
      <w:pPr>
        <w:pStyle w:val="BodyText"/>
        <w:ind w:left="820"/>
      </w:pPr>
      <w:r>
        <w:rPr>
          <w:u w:val="single"/>
        </w:rPr>
        <w:t>PHA Policy</w:t>
      </w:r>
    </w:p>
    <w:p w:rsidR="004E13A5" w:rsidRDefault="00681463">
      <w:pPr>
        <w:pStyle w:val="BodyText"/>
        <w:ind w:left="820" w:right="116"/>
      </w:pPr>
      <w:r>
        <w:t>The PHA will allow the owner to collect any security deposit amount the owner determines is appropriate. Therefore, no modifications to the HAP contract will be necessary.</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pPr>
      <w:bookmarkStart w:id="90" w:name="_TOC_250335"/>
      <w:bookmarkEnd w:id="90"/>
      <w:r>
        <w:lastRenderedPageBreak/>
        <w:t>Separate Non-Lease Agreements between Owner and Tenant</w:t>
      </w:r>
    </w:p>
    <w:p w:rsidR="004E13A5" w:rsidRDefault="00681463">
      <w:pPr>
        <w:pStyle w:val="BodyText"/>
        <w:spacing w:before="120"/>
        <w:ind w:right="469"/>
      </w:pPr>
      <w:r>
        <w:t>Owners may not demand or accept any rent payment from the family in excess of the rent to the owner as approved by the PHA minus the PHA’s housing assistance payments to the owner</w:t>
      </w:r>
    </w:p>
    <w:p w:rsidR="004E13A5" w:rsidRDefault="00681463">
      <w:pPr>
        <w:pStyle w:val="BodyText"/>
        <w:spacing w:before="0"/>
      </w:pPr>
      <w:r>
        <w:t>[24 CFR 982.451(b)(4)].</w:t>
      </w:r>
    </w:p>
    <w:p w:rsidR="004E13A5" w:rsidRDefault="00681463">
      <w:pPr>
        <w:pStyle w:val="BodyText"/>
        <w:spacing w:before="120"/>
      </w:pPr>
      <w:r>
        <w:t>The owner may not charge the tenant extra amounts for items customarily included in rent in the locality, or provided at no additional cost to unsubsidized tenants in the premises [24 CFR 982.510(c)].</w:t>
      </w:r>
    </w:p>
    <w:p w:rsidR="004E13A5" w:rsidRDefault="004E13A5">
      <w:pPr>
        <w:pStyle w:val="BodyText"/>
        <w:spacing w:before="0"/>
        <w:ind w:left="0"/>
        <w:rPr>
          <w:sz w:val="26"/>
        </w:rPr>
      </w:pPr>
    </w:p>
    <w:p w:rsidR="004E13A5" w:rsidRDefault="00681463">
      <w:pPr>
        <w:pStyle w:val="BodyText"/>
        <w:spacing w:before="216"/>
        <w:ind w:left="820"/>
      </w:pPr>
      <w:r>
        <w:rPr>
          <w:u w:val="single"/>
        </w:rPr>
        <w:t>PHA Policy</w:t>
      </w:r>
    </w:p>
    <w:p w:rsidR="004E13A5" w:rsidRDefault="00681463">
      <w:pPr>
        <w:pStyle w:val="BodyText"/>
        <w:ind w:left="820" w:right="150"/>
      </w:pPr>
      <w:r>
        <w:t>The PHA permits owners and families to execute separate, non-lease agreements for services, appliances (other than range and refrigerator) and other items that are not included in the lease.</w:t>
      </w:r>
    </w:p>
    <w:p w:rsidR="004E13A5" w:rsidRDefault="00681463">
      <w:pPr>
        <w:pStyle w:val="BodyText"/>
        <w:spacing w:before="120"/>
        <w:ind w:left="820" w:right="82"/>
      </w:pPr>
      <w:r>
        <w:t>Any items, appliances, or other services that are customarily provided to unassisted families as part of the dwelling lease with those families, or are permanently installed in the dwelling unit must be included in the dwelling lease for the assisted family. These items, appliances or services cannot be placed under a separate non-lease agreement between the owner and family. Side payments for additional rent, or for items, appliances or services customarily provided to unassisted families as part of the dwelling lease for those families, are prohibited.</w:t>
      </w:r>
    </w:p>
    <w:p w:rsidR="004E13A5" w:rsidRDefault="00681463">
      <w:pPr>
        <w:pStyle w:val="BodyText"/>
        <w:ind w:left="820" w:right="164"/>
      </w:pPr>
      <w:r>
        <w:t xml:space="preserve">Any items, appliances, or other services that are </w:t>
      </w:r>
      <w:r>
        <w:rPr>
          <w:u w:val="single"/>
        </w:rPr>
        <w:t xml:space="preserve">not </w:t>
      </w:r>
      <w:r>
        <w:t xml:space="preserve">customarily provided to unassisted families as part of the dwelling lease with those families, are </w:t>
      </w:r>
      <w:r>
        <w:rPr>
          <w:u w:val="single"/>
        </w:rPr>
        <w:t xml:space="preserve">not </w:t>
      </w:r>
      <w:r>
        <w:t xml:space="preserve">permanently installed in the dwelling unit and where the family has the sole option of </w:t>
      </w:r>
      <w:r>
        <w:rPr>
          <w:u w:val="single"/>
        </w:rPr>
        <w:t xml:space="preserve">not </w:t>
      </w:r>
      <w:r>
        <w:t>utilizing the item, appliance or service, may be included in a separate non-lease agreement between the owner and the family.</w:t>
      </w:r>
    </w:p>
    <w:p w:rsidR="004E13A5" w:rsidRDefault="00681463">
      <w:pPr>
        <w:pStyle w:val="BodyText"/>
        <w:ind w:left="820" w:right="296"/>
      </w:pPr>
      <w:r>
        <w:t>The family is not liable and cannot be held responsible under the terms of the assisted dwelling lease for any charges pursuant to a separate non-lease agreement between the owner and the family. Non-payment of any charges pursuant to a separate non-lease agreement between the owner and the family cannot be a cause for eviction or termination of tenancy under the terms of the assisted dwelling lease.</w:t>
      </w:r>
    </w:p>
    <w:p w:rsidR="004E13A5" w:rsidRDefault="00681463">
      <w:pPr>
        <w:pStyle w:val="BodyText"/>
        <w:ind w:left="820" w:right="423"/>
      </w:pPr>
      <w:r>
        <w:t>Separate non-lease agreements that involve additional items, appliances or other services may be considered amenities offered by the owner and may be taken into consideration when determining the reasonableness of the rent for the property.</w:t>
      </w:r>
    </w:p>
    <w:p w:rsidR="004E13A5" w:rsidRDefault="00681463">
      <w:pPr>
        <w:pStyle w:val="Heading4"/>
        <w:spacing w:before="119"/>
      </w:pPr>
      <w:bookmarkStart w:id="91" w:name="_TOC_250334"/>
      <w:bookmarkEnd w:id="91"/>
      <w:r>
        <w:t>PHA Review of Lease</w:t>
      </w:r>
    </w:p>
    <w:p w:rsidR="004E13A5" w:rsidRDefault="00681463">
      <w:pPr>
        <w:pStyle w:val="BodyText"/>
      </w:pPr>
      <w:r>
        <w:t>The PHA will review the dwelling lease for compliance with all applicable requirements.</w:t>
      </w:r>
    </w:p>
    <w:p w:rsidR="004E13A5" w:rsidRDefault="00681463">
      <w:pPr>
        <w:pStyle w:val="BodyText"/>
        <w:spacing w:before="120"/>
        <w:ind w:left="820"/>
      </w:pPr>
      <w:r>
        <w:rPr>
          <w:u w:val="single"/>
        </w:rPr>
        <w:t>PHA Policy</w:t>
      </w:r>
    </w:p>
    <w:p w:rsidR="004E13A5" w:rsidRDefault="00681463">
      <w:pPr>
        <w:pStyle w:val="BodyText"/>
        <w:ind w:left="820" w:right="109"/>
      </w:pPr>
      <w:r>
        <w:t>If the dwelling lease is incomplete or incorrect, the PHA will notify the family and the owner of the deficiencies. Missing and corrected lease information will only be accepted as hard copies, in-person, by mail, by email, or by fax. The PHA will not accept missing and corrected information over the phone.</w:t>
      </w:r>
    </w:p>
    <w:p w:rsidR="004E13A5" w:rsidRDefault="00681463">
      <w:pPr>
        <w:pStyle w:val="BodyText"/>
        <w:ind w:left="820"/>
      </w:pPr>
      <w:r>
        <w:t>Because the initial leasing process is time-sensitive, the PHA will attempt to communicate with the owner and family by phone, fax, or email. The PHA will use mail when the parties can’t be reached by phone, fax, or email.</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116"/>
      </w:pPr>
      <w:r>
        <w:lastRenderedPageBreak/>
        <w:t>The PHA is permitted, but is not required, to review the lease to determine if the lease complies with State and local law and is permitted to decline to approve the tenancy if the PHA determines that the lease does not comply with State or local law [24 CFR 982.308(c)].</w:t>
      </w:r>
    </w:p>
    <w:p w:rsidR="004E13A5" w:rsidRDefault="00681463">
      <w:pPr>
        <w:pStyle w:val="BodyText"/>
        <w:spacing w:before="120"/>
        <w:ind w:left="820"/>
      </w:pPr>
      <w:r>
        <w:rPr>
          <w:u w:val="single"/>
        </w:rPr>
        <w:t>PHA Policy</w:t>
      </w:r>
    </w:p>
    <w:p w:rsidR="004E13A5" w:rsidRDefault="00681463">
      <w:pPr>
        <w:pStyle w:val="BodyText"/>
        <w:spacing w:before="120"/>
        <w:ind w:left="820"/>
      </w:pPr>
      <w:r>
        <w:t xml:space="preserve">The PHA will </w:t>
      </w:r>
      <w:r>
        <w:rPr>
          <w:u w:val="single"/>
        </w:rPr>
        <w:t xml:space="preserve">not </w:t>
      </w:r>
      <w:r>
        <w:t>review the owner’s lease for compliance with state/local law.</w:t>
      </w: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9"/>
        <w:ind w:left="0"/>
        <w:rPr>
          <w:sz w:val="22"/>
        </w:rPr>
      </w:pPr>
    </w:p>
    <w:p w:rsidR="004E13A5" w:rsidRDefault="00681463">
      <w:pPr>
        <w:pStyle w:val="Heading4"/>
        <w:spacing w:before="90"/>
      </w:pPr>
      <w:bookmarkStart w:id="92" w:name="_TOC_250333"/>
      <w:bookmarkEnd w:id="92"/>
      <w:r>
        <w:t>9-I.F. TENANCY APPROVAL [24 CFR 982.305]</w:t>
      </w:r>
    </w:p>
    <w:p w:rsidR="004E13A5" w:rsidRDefault="00681463">
      <w:pPr>
        <w:pStyle w:val="BodyText"/>
        <w:spacing w:before="120"/>
      </w:pPr>
      <w:r>
        <w:t>After receiving the family's Request for Tenancy Approval, with proposed dwelling lease, the PHA must promptly notify the family and owner whether the assisted tenancy is approved.</w:t>
      </w:r>
    </w:p>
    <w:p w:rsidR="004E13A5" w:rsidRDefault="00681463">
      <w:pPr>
        <w:pStyle w:val="BodyText"/>
        <w:spacing w:before="120"/>
      </w:pPr>
      <w:r>
        <w:t>Prior to approving the assisted tenancy and execution of a HAP contract, the PHA must ensure that all required actions and determinations, discussed in Part I of this chapter have been completed.</w:t>
      </w:r>
    </w:p>
    <w:p w:rsidR="004E13A5" w:rsidRDefault="00681463">
      <w:pPr>
        <w:pStyle w:val="BodyText"/>
        <w:ind w:right="175"/>
      </w:pPr>
      <w:r>
        <w:t>These actions include ensuring that the unit is eligible; the unit has been inspected by the PHA and meets the Housing Quality Standards (</w:t>
      </w:r>
      <w:r w:rsidR="002C4221">
        <w:t>NSPIRE</w:t>
      </w:r>
      <w:r>
        <w:t>); the lease offered by the owner is approvable and includes the required Tenancy Addendum; the rent to be charged by the owner for the unit must is reasonable; where the family is initially leasing a unit and the gross rent of the unit exceeds the applicable payment standard for the family, the share of rent to be paid by the family does not exceed 40 percent of the family’s monthly adjusted income [24 CFR 982.305(a)]; the owner is an eligible owner, not disapproved by the PHA, with no conflicts of interest [24 CFR 982.306]; the family and the owner have executed the lease, including the Tenancy Addendum, and the lead- based paint disclosure information [24 CFR 982.305(b)].</w:t>
      </w:r>
    </w:p>
    <w:p w:rsidR="004E13A5" w:rsidRDefault="00681463">
      <w:pPr>
        <w:pStyle w:val="BodyText"/>
        <w:ind w:left="820"/>
      </w:pPr>
      <w:r>
        <w:rPr>
          <w:u w:val="single"/>
        </w:rPr>
        <w:t>PHA Policy</w:t>
      </w:r>
    </w:p>
    <w:p w:rsidR="004E13A5" w:rsidRDefault="00681463">
      <w:pPr>
        <w:pStyle w:val="BodyText"/>
        <w:spacing w:before="120"/>
        <w:ind w:left="820"/>
      </w:pPr>
      <w:r>
        <w:t>The PHA will complete its determination within 10 business days of receiving all required information.</w:t>
      </w:r>
    </w:p>
    <w:p w:rsidR="004E13A5" w:rsidRDefault="00681463">
      <w:pPr>
        <w:pStyle w:val="BodyText"/>
        <w:spacing w:before="120"/>
        <w:ind w:left="820" w:right="162"/>
      </w:pPr>
      <w:r>
        <w:t>If the terms of the RTA/proposed lease are changed for any reason, including but not limited to negotiation with the PHA, the PHA will obtain corrected copies of the RTA and proposed lease, signed by the family and the owner.</w:t>
      </w:r>
    </w:p>
    <w:p w:rsidR="004E13A5" w:rsidRDefault="00681463">
      <w:pPr>
        <w:pStyle w:val="BodyText"/>
        <w:spacing w:before="120"/>
        <w:ind w:left="1540" w:right="322"/>
      </w:pPr>
      <w:r>
        <w:t>Corrections to the RTA/proposed lease will only be accepted as hard copies, in- person, by mail, by email, or by fax. The PHA will not accept corrections over the phone.</w:t>
      </w:r>
    </w:p>
    <w:p w:rsidR="004E13A5" w:rsidRDefault="00681463">
      <w:pPr>
        <w:pStyle w:val="BodyText"/>
        <w:spacing w:before="120"/>
        <w:ind w:left="820" w:right="322"/>
        <w:jc w:val="both"/>
      </w:pPr>
      <w:r>
        <w:t>If the PHA determines that the tenancy cannot be approved for any reason, the owner and the family will be notified in writing and given the opportunity to address any reasons for disapproval. The PHA will instruct the owner and family of the steps that are necessary to obtain approval of the tenancy.</w:t>
      </w:r>
    </w:p>
    <w:p w:rsidR="004E13A5" w:rsidRDefault="00681463">
      <w:pPr>
        <w:pStyle w:val="BodyText"/>
        <w:spacing w:before="120"/>
        <w:ind w:left="1540" w:right="289"/>
      </w:pPr>
      <w:r>
        <w:t>Where the tenancy is not approvable because the unit is not approvable, the family must continue to search for eligible housing within the timeframe of the issued voucher.</w:t>
      </w:r>
    </w:p>
    <w:p w:rsidR="004E13A5" w:rsidRDefault="00681463">
      <w:pPr>
        <w:pStyle w:val="BodyText"/>
        <w:spacing w:before="120"/>
        <w:ind w:left="1540"/>
      </w:pPr>
      <w:r>
        <w:t>If the tenancy is not approvable due to rent affordability or rent reasonableness, the applicant may attempt to negotiate the rent with the owner. If a new, approvable rent is negotiated, the tenancy will be approved. If the owner is not willing to negotiate</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1540" w:right="348"/>
      </w:pPr>
      <w:r>
        <w:lastRenderedPageBreak/>
        <w:t>an approvable rent, the family must continue to search for eligible housing within the timeframe of the issued voucher.</w:t>
      </w:r>
    </w:p>
    <w:p w:rsidR="004E13A5" w:rsidRDefault="004E13A5">
      <w:pPr>
        <w:pStyle w:val="BodyText"/>
        <w:spacing w:before="10"/>
        <w:ind w:left="0"/>
        <w:rPr>
          <w:sz w:val="20"/>
        </w:rPr>
      </w:pPr>
    </w:p>
    <w:p w:rsidR="004E13A5" w:rsidRDefault="00681463">
      <w:pPr>
        <w:pStyle w:val="Heading4"/>
      </w:pPr>
      <w:bookmarkStart w:id="93" w:name="_TOC_250332"/>
      <w:bookmarkEnd w:id="93"/>
      <w:r>
        <w:t>9-I.G. HAP CONTRACT EXECUTION [24 CFR 982.305]</w:t>
      </w:r>
    </w:p>
    <w:p w:rsidR="004E13A5" w:rsidRDefault="00681463">
      <w:pPr>
        <w:pStyle w:val="BodyText"/>
      </w:pPr>
      <w:r>
        <w:t>The HAP contract is a written agreement between the PHA and the owner of the dwelling unit. Under the HAP contract, the PHA agrees to make housing assistance payments to the owner on behalf of the family, and the owner agrees to comply with all program requirements as stated in the HAP contract.</w:t>
      </w:r>
    </w:p>
    <w:p w:rsidR="004E13A5" w:rsidRDefault="00681463">
      <w:pPr>
        <w:pStyle w:val="BodyText"/>
      </w:pPr>
      <w:r>
        <w:t>The HAP contract form is prescribed by HUD.</w:t>
      </w:r>
    </w:p>
    <w:p w:rsidR="004E13A5" w:rsidRDefault="00681463">
      <w:pPr>
        <w:pStyle w:val="BodyText"/>
        <w:ind w:right="189"/>
      </w:pPr>
      <w:r>
        <w:t>If the PHA has given approval for the family of the assisted tenancy, the owner and the PHA must execute the HAP contract.</w:t>
      </w:r>
    </w:p>
    <w:p w:rsidR="004E13A5" w:rsidRDefault="00681463">
      <w:pPr>
        <w:pStyle w:val="BodyText"/>
      </w:pPr>
      <w:r>
        <w:t>The term of the HAP contract must be the same as the term of the lease [24 CFR 982.451(a)(2)].</w:t>
      </w:r>
    </w:p>
    <w:p w:rsidR="004E13A5" w:rsidRDefault="00681463">
      <w:pPr>
        <w:pStyle w:val="BodyText"/>
        <w:spacing w:before="120"/>
      </w:pPr>
      <w:r>
        <w:t>The PHA is permitted to execute a HAP contract even if the funding currently available does not extend for the full term of the HAP contract.</w:t>
      </w:r>
    </w:p>
    <w:p w:rsidR="004E13A5" w:rsidRDefault="00681463">
      <w:pPr>
        <w:pStyle w:val="BodyText"/>
        <w:ind w:right="136"/>
      </w:pPr>
      <w:r>
        <w:t xml:space="preserve">The PHA must make a best effort to ensure that the HAP contract is executed before the beginning of the lease term. Regardless, the HAP contract </w:t>
      </w:r>
      <w:r>
        <w:rPr>
          <w:u w:val="single"/>
        </w:rPr>
        <w:t xml:space="preserve">must </w:t>
      </w:r>
      <w:r>
        <w:t>be executed no later than 60 calendar days from the beginning of the lease term.</w:t>
      </w:r>
    </w:p>
    <w:p w:rsidR="004E13A5" w:rsidRDefault="00681463">
      <w:pPr>
        <w:pStyle w:val="BodyText"/>
        <w:ind w:right="101"/>
      </w:pPr>
      <w:r>
        <w:t>The PHA may not pay any housing assistance payment to the owner until the HAP contract has been executed. If the HAP contract is executed during the period of 60 calendar days from the beginning of the lease term, the PHA will pay housing assistance payments after execution of the HAP contract (in accordance with the terms of the HAP contract), to cover the portion of the lease term before execution of the HAP contract (a maximum of 60 days).</w:t>
      </w:r>
    </w:p>
    <w:p w:rsidR="004E13A5" w:rsidRDefault="00681463">
      <w:pPr>
        <w:pStyle w:val="BodyText"/>
        <w:ind w:right="129"/>
      </w:pPr>
      <w:r>
        <w:t>Any HAP contract executed after the 60-day period is void, and the PHA may not pay any housing assistance payment to the owner.</w:t>
      </w:r>
    </w:p>
    <w:p w:rsidR="004E13A5" w:rsidRDefault="00681463">
      <w:pPr>
        <w:pStyle w:val="BodyText"/>
        <w:ind w:left="820"/>
      </w:pPr>
      <w:r>
        <w:rPr>
          <w:u w:val="single"/>
        </w:rPr>
        <w:t>PHA Policy</w:t>
      </w:r>
    </w:p>
    <w:p w:rsidR="004E13A5" w:rsidRDefault="00681463">
      <w:pPr>
        <w:pStyle w:val="BodyText"/>
        <w:ind w:left="820" w:right="262"/>
      </w:pPr>
      <w:r>
        <w:t>Owners who have not previously participated in the HCV program must attend a meeting with the PHA in which the terms of the Tenancy Addendum and the HAP contract will be explained. The PHA may waive this requirement on a case-by-case basis, if it determines that the owner is sufficiently familiar with the requirements and responsibilities under the HCV program.</w:t>
      </w:r>
    </w:p>
    <w:p w:rsidR="004E13A5" w:rsidRDefault="00681463">
      <w:pPr>
        <w:pStyle w:val="BodyText"/>
        <w:ind w:left="820" w:right="668"/>
        <w:jc w:val="both"/>
      </w:pPr>
      <w:r>
        <w:t>The owner and the assisted family will execute the dwelling lease and the owner must provide a copy to the PHA. The PHA will ensure that both the owner and the assisted family receive copies of the dwelling lease.</w:t>
      </w:r>
    </w:p>
    <w:p w:rsidR="004E13A5" w:rsidRDefault="00681463">
      <w:pPr>
        <w:pStyle w:val="BodyText"/>
        <w:ind w:left="820" w:right="95"/>
      </w:pPr>
      <w:r>
        <w:t>The owner and the PHA will execute the HAP contract. The PHA will not execute the HAP contract until the owner has submitted IRS form W-9. The PHA will ensure that the owner receives a copy of the executed HAP contract.</w:t>
      </w:r>
    </w:p>
    <w:p w:rsidR="004E13A5" w:rsidRDefault="00681463">
      <w:pPr>
        <w:pStyle w:val="BodyText"/>
        <w:ind w:left="820" w:right="230"/>
      </w:pPr>
      <w:r>
        <w:t>As required under VAWA 2013, once the HAP contract and lease have been executed and the family has been admitted to the program, the PHA will notify families of their rights under VAWA by providing all families with a copy of the domestic violence certification form (HUD-5382) as well as the VAWA notice of occupancy rights (form HUD-5380).</w:t>
      </w:r>
    </w:p>
    <w:p w:rsidR="004E13A5" w:rsidRDefault="00681463">
      <w:pPr>
        <w:pStyle w:val="BodyText"/>
      </w:pPr>
      <w:r>
        <w:t>See Chapter 13 for a discussion of the HAP contract and contract provisions.</w:t>
      </w:r>
    </w:p>
    <w:p w:rsidR="004E13A5" w:rsidRDefault="004E13A5">
      <w:pPr>
        <w:sectPr w:rsidR="004E13A5">
          <w:pgSz w:w="12240" w:h="15840"/>
          <w:pgMar w:top="1000" w:right="1280" w:bottom="1240" w:left="1220" w:header="0" w:footer="1023" w:gutter="0"/>
          <w:cols w:space="720"/>
        </w:sectPr>
      </w:pPr>
    </w:p>
    <w:p w:rsidR="004E13A5" w:rsidRDefault="00681463">
      <w:pPr>
        <w:pStyle w:val="Heading4"/>
        <w:spacing w:before="79"/>
      </w:pPr>
      <w:bookmarkStart w:id="94" w:name="_TOC_250331"/>
      <w:bookmarkEnd w:id="94"/>
      <w:r>
        <w:lastRenderedPageBreak/>
        <w:t>9-I.H. CHANGES IN LEASE OR RENT [24 CFR 982.308]</w:t>
      </w:r>
    </w:p>
    <w:p w:rsidR="004E13A5" w:rsidRDefault="00681463">
      <w:pPr>
        <w:pStyle w:val="BodyText"/>
        <w:spacing w:before="120"/>
        <w:ind w:right="183"/>
      </w:pPr>
      <w:r>
        <w:t>If the tenant and the owner agree to any changes in the lease, such changes must be in writing, and the owner must immediately give the PHA a copy of such changes. The lease, including any changes, must remain in accordance with the requirements of this chapter.</w:t>
      </w:r>
    </w:p>
    <w:p w:rsidR="004E13A5" w:rsidRDefault="00681463">
      <w:pPr>
        <w:pStyle w:val="BodyText"/>
        <w:ind w:right="190"/>
      </w:pPr>
      <w:r>
        <w:t>Generally, PHA approval of tenancy and execution of a new HAP contract are not required for changes in the lease. However, under certain circumstances, the execution of a new lease and HAP contract are required. These circumstances include:</w:t>
      </w:r>
    </w:p>
    <w:p w:rsidR="004E13A5" w:rsidRDefault="00681463">
      <w:pPr>
        <w:pStyle w:val="ListParagraph"/>
        <w:numPr>
          <w:ilvl w:val="3"/>
          <w:numId w:val="55"/>
        </w:numPr>
        <w:tabs>
          <w:tab w:val="left" w:pos="1900"/>
          <w:tab w:val="left" w:pos="1901"/>
        </w:tabs>
        <w:ind w:right="522"/>
        <w:rPr>
          <w:sz w:val="24"/>
        </w:rPr>
      </w:pPr>
      <w:r>
        <w:rPr>
          <w:sz w:val="24"/>
        </w:rPr>
        <w:t>Changes in lease requirements governing tenant or owner responsibilities</w:t>
      </w:r>
      <w:r>
        <w:rPr>
          <w:spacing w:val="-13"/>
          <w:sz w:val="24"/>
        </w:rPr>
        <w:t xml:space="preserve"> </w:t>
      </w:r>
      <w:r>
        <w:rPr>
          <w:sz w:val="24"/>
        </w:rPr>
        <w:t>for utilities or</w:t>
      </w:r>
      <w:r>
        <w:rPr>
          <w:spacing w:val="-7"/>
          <w:sz w:val="24"/>
        </w:rPr>
        <w:t xml:space="preserve"> </w:t>
      </w:r>
      <w:r>
        <w:rPr>
          <w:sz w:val="24"/>
        </w:rPr>
        <w:t>appliances</w:t>
      </w:r>
    </w:p>
    <w:p w:rsidR="004E13A5" w:rsidRDefault="00681463">
      <w:pPr>
        <w:pStyle w:val="ListParagraph"/>
        <w:numPr>
          <w:ilvl w:val="3"/>
          <w:numId w:val="55"/>
        </w:numPr>
        <w:tabs>
          <w:tab w:val="left" w:pos="1900"/>
          <w:tab w:val="left" w:pos="1901"/>
        </w:tabs>
        <w:rPr>
          <w:sz w:val="24"/>
        </w:rPr>
      </w:pPr>
      <w:r>
        <w:rPr>
          <w:sz w:val="24"/>
        </w:rPr>
        <w:t>Changes in lease provisions governing the term of the</w:t>
      </w:r>
      <w:r>
        <w:rPr>
          <w:spacing w:val="-10"/>
          <w:sz w:val="24"/>
        </w:rPr>
        <w:t xml:space="preserve"> </w:t>
      </w:r>
      <w:r>
        <w:rPr>
          <w:sz w:val="24"/>
        </w:rPr>
        <w:t>lease</w:t>
      </w:r>
    </w:p>
    <w:p w:rsidR="004E13A5" w:rsidRDefault="00681463">
      <w:pPr>
        <w:pStyle w:val="ListParagraph"/>
        <w:numPr>
          <w:ilvl w:val="3"/>
          <w:numId w:val="55"/>
        </w:numPr>
        <w:tabs>
          <w:tab w:val="left" w:pos="1900"/>
          <w:tab w:val="left" w:pos="1901"/>
        </w:tabs>
        <w:ind w:right="789"/>
        <w:rPr>
          <w:sz w:val="24"/>
        </w:rPr>
      </w:pPr>
      <w:r>
        <w:rPr>
          <w:sz w:val="24"/>
        </w:rPr>
        <w:t>The family moves to a new unit, even if the unit is in the same building</w:t>
      </w:r>
      <w:r>
        <w:rPr>
          <w:spacing w:val="-12"/>
          <w:sz w:val="24"/>
        </w:rPr>
        <w:t xml:space="preserve"> </w:t>
      </w:r>
      <w:r>
        <w:rPr>
          <w:sz w:val="24"/>
        </w:rPr>
        <w:t>or complex</w:t>
      </w:r>
    </w:p>
    <w:p w:rsidR="004E13A5" w:rsidRDefault="00681463">
      <w:pPr>
        <w:pStyle w:val="BodyText"/>
        <w:spacing w:before="120"/>
        <w:ind w:right="89"/>
      </w:pPr>
      <w:r>
        <w:t>In these cases, if the HCV assistance is to continue, the family must submit a new Request for Tenancy Approval (RTA) along with a new dwelling lease containing the proposed changes. A new tenancy must then be approved in accordance with this chapter.</w:t>
      </w:r>
    </w:p>
    <w:p w:rsidR="004E13A5" w:rsidRDefault="00681463">
      <w:pPr>
        <w:pStyle w:val="BodyText"/>
        <w:ind w:right="183"/>
      </w:pPr>
      <w:r>
        <w:t xml:space="preserve">Where the owner is changing the amount of the rent to owner, the owner must notify the PHA at least 60 days before any such changes go into effect [24 CFR 982.308(g)(4)]. The PHA will agree to such an increase only if the amount of the rent to owner is considered reasonable according to the rent reasonableness standards discussed in Chapter 8. If the requested rent is </w:t>
      </w:r>
      <w:r>
        <w:rPr>
          <w:u w:val="single"/>
        </w:rPr>
        <w:t xml:space="preserve">not </w:t>
      </w:r>
      <w:r>
        <w:t>found to be reasonable, the owner must either reduce the requested rent increase, or terminate the tenancy in accordance with the terms of the lease.</w:t>
      </w:r>
    </w:p>
    <w:p w:rsidR="004E13A5" w:rsidRDefault="00681463">
      <w:pPr>
        <w:pStyle w:val="BodyText"/>
      </w:pPr>
      <w:r>
        <w:t>No rent increase is permitted during the initial term of the lease [24 CFR 982.309(a)(3)].</w:t>
      </w:r>
    </w:p>
    <w:p w:rsidR="004E13A5" w:rsidRDefault="00681463">
      <w:pPr>
        <w:pStyle w:val="BodyText"/>
        <w:ind w:left="820"/>
      </w:pPr>
      <w:r>
        <w:rPr>
          <w:u w:val="single"/>
        </w:rPr>
        <w:t>PHA Policy</w:t>
      </w:r>
    </w:p>
    <w:p w:rsidR="004E13A5" w:rsidRDefault="00681463">
      <w:pPr>
        <w:pStyle w:val="BodyText"/>
        <w:ind w:left="820" w:right="183"/>
      </w:pPr>
      <w:r>
        <w:t>Where the owner is requesting a rent increase, the PHA will determine whether the requested increase is reasonable within 10 business days of receiving the request from the owner. The owner will be notified of the determination in writing.</w:t>
      </w:r>
    </w:p>
    <w:p w:rsidR="004E13A5" w:rsidRDefault="00681463">
      <w:pPr>
        <w:pStyle w:val="BodyText"/>
        <w:ind w:left="820" w:right="162"/>
      </w:pPr>
      <w:r>
        <w:t>Rent increases will go into effect on the first of the month following the 60-day period after the owner notifies the PHA of the rent change or on the date specified by the owner, whichever is later.</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ind w:left="201" w:right="202"/>
        <w:jc w:val="center"/>
      </w:pPr>
      <w:bookmarkStart w:id="95" w:name="_TOC_250330"/>
      <w:bookmarkEnd w:id="95"/>
      <w:r>
        <w:lastRenderedPageBreak/>
        <w:t>Chapter 10</w:t>
      </w:r>
    </w:p>
    <w:p w:rsidR="004E13A5" w:rsidRDefault="00681463">
      <w:pPr>
        <w:spacing w:before="6" w:line="510" w:lineRule="atLeast"/>
        <w:ind w:left="100" w:firstLine="1202"/>
        <w:rPr>
          <w:b/>
          <w:sz w:val="24"/>
        </w:rPr>
      </w:pPr>
      <w:r>
        <w:rPr>
          <w:b/>
          <w:sz w:val="24"/>
        </w:rPr>
        <w:t>MOVING WITH CONTINUED ASSISTANCE AND PORTABILITY INTRODUCTION</w:t>
      </w:r>
    </w:p>
    <w:p w:rsidR="004E13A5" w:rsidRDefault="00681463">
      <w:pPr>
        <w:pStyle w:val="BodyText"/>
        <w:ind w:right="183"/>
      </w:pPr>
      <w:r>
        <w:t>Freedom of housing choice is a hallmark of the housing choice voucher (HCV) program. In general, HUD regulations impose few restrictions on where families may live or move with HCV assistance. This chapter sets forth HUD regulations and PHA policies governing moves within or outside the PHA’s jurisdiction in two parts:</w:t>
      </w:r>
    </w:p>
    <w:p w:rsidR="004E13A5" w:rsidRDefault="00681463">
      <w:pPr>
        <w:pStyle w:val="BodyText"/>
        <w:ind w:left="820" w:right="119"/>
      </w:pPr>
      <w:r>
        <w:rPr>
          <w:u w:val="single"/>
        </w:rPr>
        <w:t xml:space="preserve">Part </w:t>
      </w:r>
      <w:r>
        <w:rPr>
          <w:spacing w:val="-3"/>
          <w:u w:val="single"/>
        </w:rPr>
        <w:t xml:space="preserve">I: </w:t>
      </w:r>
      <w:r>
        <w:rPr>
          <w:u w:val="single"/>
        </w:rPr>
        <w:t>Moving with Continued Assistance</w:t>
      </w:r>
      <w:r>
        <w:t>. This part covers the general rules that apply to all moves by a family assisted under the PHA’s HCV program, whether the family moves</w:t>
      </w:r>
      <w:r>
        <w:rPr>
          <w:spacing w:val="-18"/>
        </w:rPr>
        <w:t xml:space="preserve"> </w:t>
      </w:r>
      <w:r>
        <w:t>to another unit within the PHA’s jurisdiction or to a unit outside the PHA’s jurisdiction under portability.</w:t>
      </w:r>
    </w:p>
    <w:p w:rsidR="004E13A5" w:rsidRDefault="00681463">
      <w:pPr>
        <w:pStyle w:val="BodyText"/>
        <w:spacing w:before="120"/>
        <w:ind w:left="820" w:right="235"/>
      </w:pPr>
      <w:r>
        <w:rPr>
          <w:u w:val="single"/>
        </w:rPr>
        <w:t>Part II: Portability</w:t>
      </w:r>
      <w:r>
        <w:t>. This part covers the special rules that apply to moves by a family under portability, whether the family moves out of or into the PHA’s jurisdiction. This part also covers the special responsibilities that the PHA has under portability regulations and procedures.</w:t>
      </w:r>
    </w:p>
    <w:p w:rsidR="004E13A5" w:rsidRDefault="004E13A5">
      <w:pPr>
        <w:pStyle w:val="BodyText"/>
        <w:spacing w:before="0"/>
        <w:ind w:left="0"/>
        <w:rPr>
          <w:sz w:val="13"/>
        </w:rPr>
      </w:pPr>
    </w:p>
    <w:p w:rsidR="004E13A5" w:rsidRDefault="00681463">
      <w:pPr>
        <w:pStyle w:val="Heading4"/>
        <w:spacing w:before="90"/>
        <w:ind w:left="1989"/>
      </w:pPr>
      <w:bookmarkStart w:id="96" w:name="_TOC_250329"/>
      <w:bookmarkEnd w:id="96"/>
      <w:r>
        <w:t>PART I: MOVING WITH CONTINUED ASSISTANCE</w:t>
      </w:r>
    </w:p>
    <w:p w:rsidR="004E13A5" w:rsidRDefault="004E13A5">
      <w:pPr>
        <w:pStyle w:val="BodyText"/>
        <w:spacing w:before="9"/>
        <w:ind w:left="0"/>
        <w:rPr>
          <w:b/>
          <w:sz w:val="20"/>
        </w:rPr>
      </w:pPr>
    </w:p>
    <w:p w:rsidR="004E13A5" w:rsidRDefault="00681463">
      <w:pPr>
        <w:pStyle w:val="Heading4"/>
        <w:spacing w:before="1"/>
      </w:pPr>
      <w:bookmarkStart w:id="97" w:name="_TOC_250328"/>
      <w:bookmarkEnd w:id="97"/>
      <w:r>
        <w:t>10-I.A. ALLOWABLE MOVES</w:t>
      </w:r>
    </w:p>
    <w:p w:rsidR="004E13A5" w:rsidRDefault="00681463">
      <w:pPr>
        <w:pStyle w:val="BodyText"/>
        <w:spacing w:before="120"/>
        <w:ind w:right="222"/>
      </w:pPr>
      <w:r>
        <w:t>HUD lists six regulatory conditions under which an assisted family is allowed to move to a new unit with continued assistance. Permission to move is subject to the restrictions set forth in section 10-I.B.</w:t>
      </w:r>
    </w:p>
    <w:p w:rsidR="004E13A5" w:rsidRDefault="00681463">
      <w:pPr>
        <w:pStyle w:val="BodyText"/>
        <w:spacing w:before="120"/>
        <w:ind w:left="460" w:right="299" w:hanging="360"/>
        <w:jc w:val="both"/>
      </w:pPr>
      <w:r>
        <w:rPr>
          <w:rFonts w:ascii="Symbol" w:hAnsi="Symbol"/>
        </w:rPr>
        <w:t></w:t>
      </w:r>
      <w:r>
        <w:t xml:space="preserve"> The family has a right to terminate the lease on notice to the owner (for the owner’s breach or otherwise) and has given a notice of termination to the owner in accordance with the lease [24 CFR 982.354(b)(3)]. If the family terminates the lease on notice to the owner, the family must give the PHA a copy of the notice at the same time [24 CFR 982.354(d)(1)].</w:t>
      </w:r>
    </w:p>
    <w:p w:rsidR="004E13A5" w:rsidRDefault="00681463">
      <w:pPr>
        <w:pStyle w:val="BodyText"/>
        <w:tabs>
          <w:tab w:val="left" w:pos="460"/>
        </w:tabs>
        <w:ind w:left="460" w:right="341" w:hanging="360"/>
      </w:pPr>
      <w:r>
        <w:rPr>
          <w:rFonts w:ascii="Symbol" w:hAnsi="Symbol"/>
        </w:rPr>
        <w:t></w:t>
      </w:r>
      <w:r>
        <w:tab/>
        <w:t>The lease for the family’s unit has been terminated by mutual agreement of the owner</w:t>
      </w:r>
      <w:r>
        <w:rPr>
          <w:spacing w:val="-15"/>
        </w:rPr>
        <w:t xml:space="preserve"> </w:t>
      </w:r>
      <w:r>
        <w:t>and</w:t>
      </w:r>
      <w:r>
        <w:rPr>
          <w:spacing w:val="-1"/>
        </w:rPr>
        <w:t xml:space="preserve"> </w:t>
      </w:r>
      <w:r>
        <w:t>the family [24 CFR</w:t>
      </w:r>
      <w:r>
        <w:rPr>
          <w:spacing w:val="-9"/>
        </w:rPr>
        <w:t xml:space="preserve"> </w:t>
      </w:r>
      <w:r>
        <w:t>982.354(b)(1)(ii)].</w:t>
      </w:r>
    </w:p>
    <w:p w:rsidR="004E13A5" w:rsidRDefault="00681463">
      <w:pPr>
        <w:pStyle w:val="BodyText"/>
        <w:ind w:left="820"/>
      </w:pPr>
      <w:r>
        <w:rPr>
          <w:u w:val="single"/>
        </w:rPr>
        <w:t>PHA Policy</w:t>
      </w:r>
    </w:p>
    <w:p w:rsidR="004E13A5" w:rsidRDefault="00681463">
      <w:pPr>
        <w:pStyle w:val="BodyText"/>
        <w:ind w:left="820" w:right="343"/>
      </w:pPr>
      <w:r>
        <w:t>If the family and the owner mutually agree to terminate the lease for the family’s unit, the family must give the PHA a copy of the termination agreement.</w:t>
      </w:r>
    </w:p>
    <w:p w:rsidR="004E13A5" w:rsidRDefault="00681463">
      <w:pPr>
        <w:pStyle w:val="BodyText"/>
        <w:tabs>
          <w:tab w:val="left" w:pos="460"/>
        </w:tabs>
        <w:ind w:left="460" w:right="119" w:hanging="360"/>
      </w:pPr>
      <w:r>
        <w:rPr>
          <w:rFonts w:ascii="Symbol" w:hAnsi="Symbol"/>
        </w:rPr>
        <w:t></w:t>
      </w:r>
      <w:r>
        <w:tab/>
        <w:t>The owner has given the family a notice to vacate, has commenced an action to</w:t>
      </w:r>
      <w:r>
        <w:rPr>
          <w:spacing w:val="-16"/>
        </w:rPr>
        <w:t xml:space="preserve"> </w:t>
      </w:r>
      <w:r>
        <w:t>evict</w:t>
      </w:r>
      <w:r>
        <w:rPr>
          <w:spacing w:val="-1"/>
        </w:rPr>
        <w:t xml:space="preserve"> </w:t>
      </w:r>
      <w:r>
        <w:t>the family, or has obtained a court judgment or other process allowing the owner to evict the family [24 CFR 982.354(b)(2)]. The family must give the PHA a copy of any owner eviction notice [24 CFR</w:t>
      </w:r>
      <w:r>
        <w:rPr>
          <w:spacing w:val="-5"/>
        </w:rPr>
        <w:t xml:space="preserve"> </w:t>
      </w:r>
      <w:r>
        <w:t>982.551(g)].</w:t>
      </w:r>
    </w:p>
    <w:p w:rsidR="004E13A5" w:rsidRDefault="00681463">
      <w:pPr>
        <w:pStyle w:val="BodyText"/>
        <w:tabs>
          <w:tab w:val="left" w:pos="460"/>
        </w:tabs>
        <w:ind w:left="460" w:right="149" w:hanging="360"/>
      </w:pPr>
      <w:r>
        <w:rPr>
          <w:rFonts w:ascii="Symbol" w:hAnsi="Symbol"/>
        </w:rPr>
        <w:t></w:t>
      </w:r>
      <w:r>
        <w:tab/>
        <w:t>The family or a member of the family is or has been the victim of domestic</w:t>
      </w:r>
      <w:r>
        <w:rPr>
          <w:spacing w:val="-14"/>
        </w:rPr>
        <w:t xml:space="preserve"> </w:t>
      </w:r>
      <w:r>
        <w:t>violence, dating violence, sexual assault, or stalking and the move is needed to protect the health or safety of</w:t>
      </w:r>
      <w:r>
        <w:rPr>
          <w:spacing w:val="-15"/>
        </w:rPr>
        <w:t xml:space="preserve"> </w:t>
      </w:r>
      <w:r>
        <w:t>the family or family member [24 CFR 982.354(b)(4)]. This condition applies even when the family has moved out of its unit in violation of the lease, with or without prior notification to the PHA, if the family or family member who is the victim reasonably believed that theythey were imminently threatened by harm from further violence if they remained in the unit [24</w:t>
      </w:r>
      <w:r>
        <w:rPr>
          <w:spacing w:val="-10"/>
        </w:rPr>
        <w:t xml:space="preserve"> </w:t>
      </w:r>
      <w:r>
        <w:t>CFR</w:t>
      </w:r>
    </w:p>
    <w:p w:rsidR="004E13A5" w:rsidRDefault="004E13A5">
      <w:pPr>
        <w:sectPr w:rsidR="004E13A5">
          <w:pgSz w:w="12240" w:h="15840"/>
          <w:pgMar w:top="1240" w:right="1220" w:bottom="1240" w:left="1220" w:header="0" w:footer="1023" w:gutter="0"/>
          <w:cols w:space="720"/>
        </w:sectPr>
      </w:pPr>
    </w:p>
    <w:p w:rsidR="004E13A5" w:rsidRDefault="00681463">
      <w:pPr>
        <w:pStyle w:val="BodyText"/>
        <w:spacing w:before="79"/>
        <w:ind w:left="460" w:right="116"/>
      </w:pPr>
      <w:r>
        <w:lastRenderedPageBreak/>
        <w:t>982.354(b)(4), 24 CFR 982.353(b)]. The PHA must adopt an emergency transfer plan as required by regulations at 24 CFR 5.2007(e).</w:t>
      </w:r>
    </w:p>
    <w:p w:rsidR="004E13A5" w:rsidRDefault="00681463">
      <w:pPr>
        <w:pStyle w:val="BodyText"/>
        <w:spacing w:before="120"/>
        <w:ind w:left="820"/>
      </w:pPr>
      <w:r>
        <w:rPr>
          <w:u w:val="single"/>
        </w:rPr>
        <w:t>PHA Policy</w:t>
      </w:r>
    </w:p>
    <w:p w:rsidR="004E13A5" w:rsidRDefault="00681463">
      <w:pPr>
        <w:pStyle w:val="BodyText"/>
        <w:ind w:left="820" w:right="122"/>
      </w:pPr>
      <w:r>
        <w:t>If a family requests permission to move with continued assistance or for an external</w:t>
      </w:r>
      <w:r>
        <w:rPr>
          <w:spacing w:val="-21"/>
        </w:rPr>
        <w:t xml:space="preserve"> </w:t>
      </w:r>
      <w:r>
        <w:t>transfer to another covered housing program operated by the PHA based on a claim that the move is necessary to protect the health or safety of a family member who is or has been the victim of domestic violence, dating violence, sexual assault, or stalking, the PHA will request that the resident request the emergency transfer using form HUD-5383, and the PHA will request documentation in accordance with section 16-IX.D of this</w:t>
      </w:r>
      <w:r>
        <w:rPr>
          <w:spacing w:val="-11"/>
        </w:rPr>
        <w:t xml:space="preserve"> </w:t>
      </w:r>
      <w:r>
        <w:t>plan.</w:t>
      </w:r>
    </w:p>
    <w:p w:rsidR="004E13A5" w:rsidRDefault="00681463">
      <w:pPr>
        <w:pStyle w:val="BodyText"/>
        <w:ind w:left="820"/>
      </w:pPr>
      <w:r>
        <w:t>The PHA reserves the right to waive the documentation requirement if it determines that a statement or other corroborating evidence from the family or family member will suffice. In such cases the PHA will document the waiver in the family’s file.</w:t>
      </w:r>
    </w:p>
    <w:p w:rsidR="004E13A5" w:rsidRDefault="00681463">
      <w:pPr>
        <w:pStyle w:val="BodyText"/>
        <w:spacing w:before="120"/>
        <w:ind w:left="820" w:right="163"/>
      </w:pPr>
      <w:r>
        <w:t>The PHA may choose to provide a voucher to facilitate an emergency transfer of the victim without first terminating the assistance of the perpetrator.</w:t>
      </w:r>
    </w:p>
    <w:p w:rsidR="004E13A5" w:rsidRDefault="00681463">
      <w:pPr>
        <w:pStyle w:val="BodyText"/>
        <w:ind w:left="820"/>
      </w:pPr>
      <w:r>
        <w:t>Before granting an emergency transfer, the PHA will ensure the victim is eligible to receive continued assistance based on the citizenship or immigration status of the victim.</w:t>
      </w:r>
    </w:p>
    <w:p w:rsidR="004E13A5" w:rsidRDefault="00681463">
      <w:pPr>
        <w:pStyle w:val="BodyText"/>
        <w:ind w:left="820" w:right="168"/>
      </w:pPr>
      <w:r>
        <w:t>The PHA has adopted an emergency transfer plan, which is included as Exhibit 16-3 to this plan and discusses external transfer to other covered housing programs.</w:t>
      </w:r>
    </w:p>
    <w:p w:rsidR="004E13A5" w:rsidRDefault="00681463">
      <w:pPr>
        <w:pStyle w:val="BodyText"/>
        <w:tabs>
          <w:tab w:val="left" w:pos="460"/>
        </w:tabs>
        <w:ind w:left="460" w:right="108" w:hanging="360"/>
      </w:pPr>
      <w:r>
        <w:rPr>
          <w:rFonts w:ascii="Symbol" w:hAnsi="Symbol"/>
        </w:rPr>
        <w:t></w:t>
      </w:r>
      <w:r>
        <w:tab/>
        <w:t>The PHA has terminated the HAP contract for the family’s unit for the owner’s breach</w:t>
      </w:r>
      <w:r>
        <w:rPr>
          <w:spacing w:val="-14"/>
        </w:rPr>
        <w:t xml:space="preserve"> </w:t>
      </w:r>
      <w:r>
        <w:t>[24</w:t>
      </w:r>
      <w:r>
        <w:rPr>
          <w:spacing w:val="-1"/>
        </w:rPr>
        <w:t xml:space="preserve"> </w:t>
      </w:r>
      <w:r>
        <w:t>CFR 982.354(b)(1)(i)].</w:t>
      </w:r>
    </w:p>
    <w:p w:rsidR="004E13A5" w:rsidRDefault="00681463">
      <w:pPr>
        <w:pStyle w:val="BodyText"/>
        <w:tabs>
          <w:tab w:val="left" w:pos="460"/>
        </w:tabs>
        <w:ind w:left="460" w:right="116" w:hanging="360"/>
      </w:pPr>
      <w:r>
        <w:rPr>
          <w:rFonts w:ascii="Symbol" w:hAnsi="Symbol"/>
        </w:rPr>
        <w:t></w:t>
      </w:r>
      <w:r>
        <w:tab/>
        <w:t xml:space="preserve">The PHA determines that the family’s current unit does not meet the </w:t>
      </w:r>
      <w:r w:rsidR="002C4221">
        <w:t>NSPIRE</w:t>
      </w:r>
      <w:r>
        <w:rPr>
          <w:spacing w:val="-15"/>
        </w:rPr>
        <w:t xml:space="preserve"> </w:t>
      </w:r>
      <w:r>
        <w:t>space</w:t>
      </w:r>
      <w:r>
        <w:rPr>
          <w:spacing w:val="-2"/>
        </w:rPr>
        <w:t xml:space="preserve"> </w:t>
      </w:r>
      <w:r>
        <w:t>standards</w:t>
      </w:r>
      <w:r>
        <w:rPr>
          <w:w w:val="99"/>
        </w:rPr>
        <w:t xml:space="preserve"> </w:t>
      </w:r>
      <w:r>
        <w:t>because of an increase in family size or a change in family composition. In such cases, the</w:t>
      </w:r>
      <w:r>
        <w:rPr>
          <w:spacing w:val="-19"/>
        </w:rPr>
        <w:t xml:space="preserve"> </w:t>
      </w:r>
      <w:r>
        <w:t>PHA must issue the family a new voucher, and the family and PHA must try to find an acceptable unit as soon as possible. If an acceptable unit is available for the family, the PHA must terminate the HAP contract for the family’s old unit in accordance with the HAP contract terms and must notify both the family and the owner of the termination. The HAP contract terminates at the end of the calendar month that follows the calendar month in which the PHA gives notice to the owner. [24 CFR 982.403(a) and</w:t>
      </w:r>
      <w:r>
        <w:rPr>
          <w:spacing w:val="-9"/>
        </w:rPr>
        <w:t xml:space="preserve"> </w:t>
      </w:r>
      <w:r>
        <w:t>(c)]</w:t>
      </w:r>
    </w:p>
    <w:p w:rsidR="004E13A5" w:rsidRDefault="004E13A5">
      <w:pPr>
        <w:pStyle w:val="BodyText"/>
        <w:spacing w:before="9"/>
        <w:ind w:left="0"/>
        <w:rPr>
          <w:sz w:val="20"/>
        </w:rPr>
      </w:pPr>
    </w:p>
    <w:p w:rsidR="004E13A5" w:rsidRDefault="00681463">
      <w:pPr>
        <w:pStyle w:val="Heading4"/>
      </w:pPr>
      <w:bookmarkStart w:id="98" w:name="_TOC_250327"/>
      <w:bookmarkEnd w:id="98"/>
      <w:r>
        <w:t>10-I.B. RESTRICTIONS ON MOVES</w:t>
      </w:r>
    </w:p>
    <w:p w:rsidR="004E13A5" w:rsidRDefault="00681463">
      <w:pPr>
        <w:pStyle w:val="BodyText"/>
      </w:pPr>
      <w:r>
        <w:t>A family’s right to move is generally contingent upon the family’s compliance with program requirements [24 CFR 982.1(b)(2)]. HUD specifies two conditions under which a PHA may deny a family permission to move and two ways in which a PHA may restrict moves by a family.</w:t>
      </w:r>
    </w:p>
    <w:p w:rsidR="004E13A5" w:rsidRDefault="00681463">
      <w:pPr>
        <w:pStyle w:val="Heading4"/>
        <w:spacing w:before="119"/>
      </w:pPr>
      <w:bookmarkStart w:id="99" w:name="_TOC_250326"/>
      <w:bookmarkEnd w:id="99"/>
      <w:r>
        <w:t>Denial of Moves</w:t>
      </w:r>
    </w:p>
    <w:p w:rsidR="004E13A5" w:rsidRDefault="00681463">
      <w:pPr>
        <w:pStyle w:val="BodyText"/>
        <w:spacing w:before="120"/>
        <w:ind w:right="901"/>
      </w:pPr>
      <w:r>
        <w:t>HUD regulations permit the PHA to deny a family permission to move under the following conditions:</w:t>
      </w:r>
    </w:p>
    <w:p w:rsidR="004E13A5" w:rsidRDefault="00681463">
      <w:pPr>
        <w:pStyle w:val="Heading5"/>
        <w:spacing w:before="120"/>
      </w:pPr>
      <w:r>
        <w:t>Insufficient Funding</w:t>
      </w:r>
    </w:p>
    <w:p w:rsidR="004E13A5" w:rsidRDefault="00681463">
      <w:pPr>
        <w:pStyle w:val="BodyText"/>
        <w:spacing w:before="120"/>
      </w:pPr>
      <w:r>
        <w:t>The PHA may deny a family permission to move either within or outside the PHA’s jurisdiction if the PHA does not have sufficient funding for continued assistance [24 CFR 982.354(e)(1)].</w:t>
      </w:r>
    </w:p>
    <w:p w:rsidR="004E13A5" w:rsidRDefault="00681463">
      <w:pPr>
        <w:pStyle w:val="BodyText"/>
        <w:spacing w:before="0"/>
        <w:ind w:right="122"/>
      </w:pPr>
      <w:r>
        <w:t>However, Notice PIH 2016-09 significantly restricts the ability of PHAs to deny permission to move due to insufficient funding and places further requirements on PHAs regarding moves denied due to lack of funding. The requirements found in this notice are mandatory.</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The PHA will deny a family permission to move on grounds that the PHA does not have sufficient funding for continued assistance if (a) the move is initiated by the family, not the owner or the PHA; (b) the PHA can demonstrate that the move will, in fact, result in higher subsidy costs; (c) the PHA can demonstrate, in accordance with the policies in Part VIII of Chapter 16, that it does not have sufficient funding in its annual budget to accommodate the higher subsidy costs; and (d) for portability moves, the receiving PHA is not absorbing the voucher.</w:t>
      </w:r>
    </w:p>
    <w:p w:rsidR="004E13A5" w:rsidRDefault="00681463">
      <w:pPr>
        <w:pStyle w:val="BodyText"/>
        <w:ind w:left="820" w:right="104"/>
      </w:pPr>
      <w:r>
        <w:t xml:space="preserve">If the PHA does not have sufficient funding for continued assistance, but the family must move from their unit (e.g., the unit failed </w:t>
      </w:r>
      <w:r w:rsidR="002C4221">
        <w:t>NSPIRE</w:t>
      </w:r>
      <w:r>
        <w:t>), the family may move to a higher cost unit if the move is within the PHA’s jurisdiction. The PHA, however, will not allow the family to move under portability in this situation if the family wishes to move to a higher cost</w:t>
      </w:r>
      <w:r>
        <w:rPr>
          <w:spacing w:val="-18"/>
        </w:rPr>
        <w:t xml:space="preserve"> </w:t>
      </w:r>
      <w:r>
        <w:t>area.</w:t>
      </w:r>
    </w:p>
    <w:p w:rsidR="004E13A5" w:rsidRDefault="00681463">
      <w:pPr>
        <w:pStyle w:val="BodyText"/>
        <w:ind w:left="820" w:right="136"/>
      </w:pPr>
      <w:r>
        <w:t>For both moves within the PHA’s jurisdiction and outside under portability, the PHA will not deny a move due to insufficient funding if the PHA previously approved the move and subsequently experienced a funding shortfall if the family cannot remain in their current unit. The PHA will rescind the voucher in this situation if the family will be allowed to remain in their current unit.</w:t>
      </w:r>
    </w:p>
    <w:p w:rsidR="004E13A5" w:rsidRDefault="00681463">
      <w:pPr>
        <w:pStyle w:val="BodyText"/>
        <w:ind w:left="820" w:right="88"/>
      </w:pPr>
      <w:r>
        <w:t>The PHA will create a list of families whose moves have been denied due to insufficient funding. The PHA will keep the family’s request open indefinitely, and when funds become available, the families on this list will take precedence over families on the waiting list. The PHA will use the same procedures for notifying families with open requests to move when funds become available as it uses for notifying families on the waiting list (see section 4- III.D).</w:t>
      </w:r>
    </w:p>
    <w:p w:rsidR="004E13A5" w:rsidRDefault="00681463">
      <w:pPr>
        <w:pStyle w:val="BodyText"/>
        <w:ind w:left="820" w:right="415"/>
      </w:pPr>
      <w:r>
        <w:t>The PHA will inform the family of its policy regarding moves denied due to insufficient funding in a letter to the family at the time the move is denied.</w:t>
      </w:r>
    </w:p>
    <w:p w:rsidR="004E13A5" w:rsidRDefault="00681463">
      <w:pPr>
        <w:pStyle w:val="Heading5"/>
        <w:spacing w:before="120"/>
      </w:pPr>
      <w:r>
        <w:t>Grounds for Denial or Termination of Assistance</w:t>
      </w:r>
    </w:p>
    <w:p w:rsidR="004E13A5" w:rsidRDefault="00681463">
      <w:pPr>
        <w:pStyle w:val="BodyText"/>
        <w:spacing w:before="120"/>
      </w:pPr>
      <w:r>
        <w:t>The PHA may deny a family permission to move if it has grounds for denying or terminating the family’s assistance [24 CFR 982.354(e)(2)].</w:t>
      </w:r>
    </w:p>
    <w:p w:rsidR="004E13A5" w:rsidRDefault="00681463">
      <w:pPr>
        <w:pStyle w:val="BodyText"/>
        <w:spacing w:before="120"/>
        <w:ind w:left="820"/>
      </w:pPr>
      <w:r>
        <w:rPr>
          <w:u w:val="single"/>
        </w:rPr>
        <w:t>PHA Policy</w:t>
      </w:r>
    </w:p>
    <w:p w:rsidR="004E13A5" w:rsidRDefault="00681463">
      <w:pPr>
        <w:pStyle w:val="BodyText"/>
        <w:spacing w:before="120"/>
        <w:ind w:left="820" w:right="96"/>
      </w:pPr>
      <w:r>
        <w:t>If the PHA has grounds for denying or terminating a family’s assistance, the PHA will act on those grounds in accordance with the regulations and policies set forth in Chapters 3 and 12, respectively. In general, it will not deny a family permission to move for this reason; however, it retains the discretion to do so under special circumstances.</w:t>
      </w:r>
    </w:p>
    <w:p w:rsidR="004E13A5" w:rsidRDefault="00681463">
      <w:pPr>
        <w:pStyle w:val="Heading4"/>
        <w:spacing w:before="120"/>
      </w:pPr>
      <w:r>
        <w:t>Restrictions on Elective Moves [24 CFR 982.354(c)]</w:t>
      </w:r>
    </w:p>
    <w:p w:rsidR="004E13A5" w:rsidRDefault="00681463">
      <w:pPr>
        <w:pStyle w:val="BodyText"/>
        <w:spacing w:before="120"/>
        <w:ind w:right="162"/>
      </w:pPr>
      <w:r>
        <w:t>HUD regulations permit the PHA to prohibit any elective move by a participant family during the family’s initial lease term. They also permit the PHA to prohibit more than one elective move by a participant family during any 12-month period. However, such prohibitions, if adopted, do not apply when the family or a member of the family is or has been the victim of domestic violence, dating violence, sexual assault, or stalking and the move is needed to protect the health or safety of the family or family member. (For the policy on documentation of abuse, see section 10-I.A.) In addition, the PHA may not establish a policy permitting moves only at reexamination [Notice PIH 2016-09].</w:t>
      </w:r>
    </w:p>
    <w:p w:rsidR="004E13A5" w:rsidRDefault="004E13A5">
      <w:pPr>
        <w:sectPr w:rsidR="004E13A5">
          <w:pgSz w:w="12240" w:h="15840"/>
          <w:pgMar w:top="1000" w:right="1260" w:bottom="1240" w:left="1220" w:header="0" w:footer="1023" w:gutter="0"/>
          <w:cols w:space="720"/>
        </w:sectPr>
      </w:pPr>
    </w:p>
    <w:p w:rsidR="004E13A5" w:rsidRDefault="00681463">
      <w:pPr>
        <w:pStyle w:val="BodyText"/>
        <w:spacing w:before="75"/>
        <w:ind w:left="820"/>
      </w:pPr>
      <w:r>
        <w:rPr>
          <w:u w:val="single"/>
        </w:rPr>
        <w:lastRenderedPageBreak/>
        <w:t>PHA Policy</w:t>
      </w:r>
    </w:p>
    <w:p w:rsidR="004E13A5" w:rsidRDefault="00681463">
      <w:pPr>
        <w:pStyle w:val="BodyText"/>
        <w:ind w:left="820"/>
      </w:pPr>
      <w:r>
        <w:t>The PHA will deny a family permission to make an elective move during the family’s initial lease term. This policy applies to moves within the PHA’s jurisdiction or outside it under portability.</w:t>
      </w:r>
    </w:p>
    <w:p w:rsidR="004E13A5" w:rsidRDefault="00681463">
      <w:pPr>
        <w:pStyle w:val="BodyText"/>
        <w:ind w:left="820" w:right="328"/>
      </w:pPr>
      <w:r>
        <w:t>The PHA will also deny a family permission to make more than one elective move during any 12-month period. This policy applies to all assisted families residing in the PHA’s jurisdiction.</w:t>
      </w:r>
    </w:p>
    <w:p w:rsidR="004E13A5" w:rsidRDefault="00681463">
      <w:pPr>
        <w:pStyle w:val="BodyText"/>
        <w:ind w:left="820" w:right="177"/>
        <w:jc w:val="both"/>
      </w:pPr>
      <w:r>
        <w:t>The PHA will consider exceptions to these policies for the following reasons: to protect the health or safety of a family member (e.g., lead-based paint hazards, domestic violence, and witness protection programs), to accommodate a change in family circumstances (e.g., new employment, school attendance in a distant area), or to address an emergency situation</w:t>
      </w:r>
      <w:r>
        <w:rPr>
          <w:spacing w:val="-14"/>
        </w:rPr>
        <w:t xml:space="preserve"> </w:t>
      </w:r>
      <w:r>
        <w:t>over which a family has no</w:t>
      </w:r>
      <w:r>
        <w:rPr>
          <w:spacing w:val="-2"/>
        </w:rPr>
        <w:t xml:space="preserve"> </w:t>
      </w:r>
      <w:r>
        <w:t>control.</w:t>
      </w:r>
    </w:p>
    <w:p w:rsidR="004E13A5" w:rsidRDefault="00681463">
      <w:pPr>
        <w:pStyle w:val="BodyText"/>
        <w:ind w:left="820" w:right="641"/>
      </w:pPr>
      <w:r>
        <w:t>In addition, the PHA will allow exceptions to these policies for purposes of reasonable accommodation of a family member who is a person with disabilities (see Chapter 2).</w:t>
      </w:r>
    </w:p>
    <w:p w:rsidR="004E13A5" w:rsidRDefault="004E13A5">
      <w:pPr>
        <w:pStyle w:val="BodyText"/>
        <w:spacing w:before="9"/>
        <w:ind w:left="0"/>
        <w:rPr>
          <w:sz w:val="20"/>
        </w:rPr>
      </w:pPr>
    </w:p>
    <w:p w:rsidR="004E13A5" w:rsidRDefault="00681463">
      <w:pPr>
        <w:pStyle w:val="Heading4"/>
      </w:pPr>
      <w:bookmarkStart w:id="100" w:name="_TOC_250325"/>
      <w:bookmarkEnd w:id="100"/>
      <w:r>
        <w:t>10-I.C. MOVING PROCESS</w:t>
      </w:r>
    </w:p>
    <w:p w:rsidR="004E13A5" w:rsidRDefault="00681463">
      <w:pPr>
        <w:pStyle w:val="Heading4"/>
        <w:spacing w:before="119"/>
      </w:pPr>
      <w:bookmarkStart w:id="101" w:name="_TOC_250324"/>
      <w:bookmarkEnd w:id="101"/>
      <w:r>
        <w:t>Notification</w:t>
      </w:r>
    </w:p>
    <w:p w:rsidR="004E13A5" w:rsidRDefault="00681463">
      <w:pPr>
        <w:pStyle w:val="BodyText"/>
        <w:ind w:right="134"/>
      </w:pPr>
      <w:r>
        <w:t>If a family wishes to move to a new unit, the family must notify the PHA and the owner before moving out of the old unit or terminating the lease on notice to the owner [24 CFR 982.354(d)(2)]. If the family wishes to move to a unit outside the PHA’s jurisdiction under portability, the notice to the PHA must specify the area where the family wishes to move [24 CFR 982.354(d)(2)]. The notices must be in writing [24 CFR 982.5].</w:t>
      </w:r>
    </w:p>
    <w:p w:rsidR="004E13A5" w:rsidRDefault="00681463">
      <w:pPr>
        <w:pStyle w:val="Heading4"/>
        <w:spacing w:before="120"/>
      </w:pPr>
      <w:bookmarkStart w:id="102" w:name="_TOC_250323"/>
      <w:bookmarkEnd w:id="102"/>
      <w:r>
        <w:t>Approval</w:t>
      </w:r>
    </w:p>
    <w:p w:rsidR="004E13A5" w:rsidRDefault="00681463">
      <w:pPr>
        <w:pStyle w:val="BodyText"/>
        <w:spacing w:before="120"/>
        <w:ind w:left="820"/>
      </w:pPr>
      <w:r>
        <w:rPr>
          <w:u w:val="single"/>
        </w:rPr>
        <w:t>PHA Policy</w:t>
      </w:r>
    </w:p>
    <w:p w:rsidR="004E13A5" w:rsidRDefault="00681463">
      <w:pPr>
        <w:pStyle w:val="BodyText"/>
        <w:spacing w:before="120"/>
        <w:ind w:left="820" w:right="229"/>
      </w:pPr>
      <w:r>
        <w:t>Upon receipt of a family’s notification that it wishes to move, the PHA will determine whether the move is approvable in accordance with the regulations and policies set forth in sections 10-I.A and 10-I.B. The PHA will notify the family in writing of its determination within 10 business days following receipt of the family’s notification.</w:t>
      </w:r>
    </w:p>
    <w:p w:rsidR="004E13A5" w:rsidRDefault="00681463">
      <w:pPr>
        <w:pStyle w:val="Heading4"/>
        <w:spacing w:before="120"/>
      </w:pPr>
      <w:bookmarkStart w:id="103" w:name="_TOC_250322"/>
      <w:bookmarkEnd w:id="103"/>
      <w:r>
        <w:t>Reexamination of Family Income and Composition</w:t>
      </w:r>
    </w:p>
    <w:p w:rsidR="004E13A5" w:rsidRDefault="00681463">
      <w:pPr>
        <w:pStyle w:val="BodyText"/>
        <w:spacing w:before="120"/>
        <w:ind w:left="820"/>
      </w:pPr>
      <w:r>
        <w:rPr>
          <w:u w:val="single"/>
        </w:rPr>
        <w:t>PHA Policy</w:t>
      </w:r>
    </w:p>
    <w:p w:rsidR="004E13A5" w:rsidRDefault="00681463">
      <w:pPr>
        <w:pStyle w:val="BodyText"/>
        <w:spacing w:before="120"/>
        <w:ind w:left="820" w:right="176"/>
      </w:pPr>
      <w:r>
        <w:t>For families approved to move to a new unit within the PHA’s jurisdiction, the PHA will perform a new annual reexamination in accordance with the policies set forth in Chapter 11 of this plan.</w:t>
      </w:r>
    </w:p>
    <w:p w:rsidR="004E13A5" w:rsidRDefault="00681463">
      <w:pPr>
        <w:pStyle w:val="BodyText"/>
        <w:spacing w:before="120"/>
        <w:ind w:left="820" w:right="228"/>
      </w:pPr>
      <w:r>
        <w:t>For families moving into or families approved to move out of the PHA’s jurisdiction under portability, the PHA will follow the policies set forth in Part II of this chapter.</w:t>
      </w:r>
    </w:p>
    <w:p w:rsidR="004E13A5" w:rsidRDefault="00681463">
      <w:pPr>
        <w:pStyle w:val="Heading4"/>
        <w:spacing w:before="119"/>
      </w:pPr>
      <w:bookmarkStart w:id="104" w:name="_TOC_250321"/>
      <w:bookmarkEnd w:id="104"/>
      <w:r>
        <w:t>Voucher Issuance and Briefing</w:t>
      </w:r>
    </w:p>
    <w:p w:rsidR="004E13A5" w:rsidRDefault="00681463">
      <w:pPr>
        <w:pStyle w:val="BodyText"/>
        <w:ind w:left="820"/>
      </w:pPr>
      <w:r>
        <w:rPr>
          <w:u w:val="single"/>
        </w:rPr>
        <w:t>PHA Policy</w:t>
      </w:r>
    </w:p>
    <w:p w:rsidR="004E13A5" w:rsidRDefault="00681463">
      <w:pPr>
        <w:pStyle w:val="BodyText"/>
        <w:ind w:left="820" w:right="162"/>
      </w:pPr>
      <w:r>
        <w:t>For families approved to move to a new unit within the PHA’s jurisdiction, the PHA will issue a new voucher within 10 business days of the PHA’s written approval to move. No briefing is required for these families. The PHA will follow the policies set forth in Chapter</w:t>
      </w:r>
    </w:p>
    <w:p w:rsidR="004E13A5" w:rsidRDefault="004E13A5">
      <w:pPr>
        <w:sectPr w:rsidR="004E13A5">
          <w:pgSz w:w="12240" w:h="15840"/>
          <w:pgMar w:top="1400" w:right="1220" w:bottom="1240" w:left="1220" w:header="0" w:footer="1023" w:gutter="0"/>
          <w:cols w:space="720"/>
        </w:sectPr>
      </w:pPr>
    </w:p>
    <w:p w:rsidR="004E13A5" w:rsidRDefault="00681463">
      <w:pPr>
        <w:pStyle w:val="BodyText"/>
        <w:spacing w:before="79"/>
        <w:ind w:left="820" w:right="242"/>
      </w:pPr>
      <w:r>
        <w:lastRenderedPageBreak/>
        <w:t>5 on voucher term, extension, and expiration. If a family does not locate a new unit within the term of the voucher and any extensions, the family may remain in its current unit with continued voucher assistance if the owner agrees and the PHA approves. Otherwise, the family will lose its assistance.</w:t>
      </w:r>
    </w:p>
    <w:p w:rsidR="004E13A5" w:rsidRDefault="00681463">
      <w:pPr>
        <w:pStyle w:val="BodyText"/>
        <w:spacing w:before="120"/>
        <w:ind w:left="820" w:right="168"/>
      </w:pPr>
      <w:r>
        <w:t>For families moving into or families approved to move out of the PHA’s jurisdiction under portability, the PHA will follow the policies set forth in Part II of this chapter.</w:t>
      </w:r>
    </w:p>
    <w:p w:rsidR="004E13A5" w:rsidRDefault="00681463">
      <w:pPr>
        <w:pStyle w:val="Heading4"/>
        <w:spacing w:before="120"/>
      </w:pPr>
      <w:bookmarkStart w:id="105" w:name="_TOC_250320"/>
      <w:bookmarkEnd w:id="105"/>
      <w:r>
        <w:t>Housing Assistance Payments [24 CFR 982.311(d)]</w:t>
      </w:r>
    </w:p>
    <w:p w:rsidR="004E13A5" w:rsidRDefault="00681463">
      <w:pPr>
        <w:pStyle w:val="BodyText"/>
        <w:spacing w:before="120"/>
        <w:ind w:right="101"/>
      </w:pPr>
      <w:r>
        <w:t xml:space="preserve">When a family moves out of an assisted unit, the PHA may not make any housing assistance payment to the owner for any month </w:t>
      </w:r>
      <w:r>
        <w:rPr>
          <w:b/>
        </w:rPr>
        <w:t xml:space="preserve">after </w:t>
      </w:r>
      <w:r>
        <w:t>the month the family moves out. The owner may keep the housing assistance payment for the month when the family moves out of the unit.</w:t>
      </w:r>
    </w:p>
    <w:p w:rsidR="004E13A5" w:rsidRDefault="00681463">
      <w:pPr>
        <w:pStyle w:val="BodyText"/>
        <w:spacing w:before="120"/>
        <w:ind w:left="820"/>
      </w:pPr>
      <w:r>
        <w:rPr>
          <w:u w:val="single"/>
        </w:rPr>
        <w:t>PHA Policy</w:t>
      </w:r>
    </w:p>
    <w:p w:rsidR="004E13A5" w:rsidRDefault="00681463">
      <w:pPr>
        <w:pStyle w:val="BodyText"/>
        <w:spacing w:before="120"/>
        <w:ind w:left="820" w:right="116"/>
      </w:pPr>
      <w:r>
        <w:rPr>
          <w:u w:val="single"/>
        </w:rPr>
        <w:t>The PHA will allow an owner to keep the housing assistance payment for the month the family moves out of the unit if the family leaves without notice, such as skipping out of the unit, death, move to facility for additional care, etc. In situations when the tenant has given a 30-day notice to vacate to the owner, the owner will only be allowed to keep the portion of the housing assistance payment through the day stated on the vacate notice.</w:t>
      </w:r>
    </w:p>
    <w:p w:rsidR="004E13A5" w:rsidRDefault="00681463">
      <w:pPr>
        <w:pStyle w:val="BodyText"/>
        <w:spacing w:before="120"/>
        <w:ind w:right="82"/>
      </w:pPr>
      <w:r>
        <w:t>If a participant family moves from an assisted unit with continued tenant-based assistance, the term of the assisted lease for the new assisted unit may begin during the month the family moves out of the first assisted unit. Overlap of the last housing assistance payment (for the month when the family moves out of the old unit) and the first assistance payment for the new unit, is not considered to constitute a duplicative housing subsidy.</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allow for housing assistance payments to overlap for up to seven (7) days.</w:t>
      </w:r>
    </w:p>
    <w:p w:rsidR="004E13A5" w:rsidRDefault="00681463">
      <w:pPr>
        <w:pStyle w:val="Heading4"/>
        <w:spacing w:before="120"/>
      </w:pPr>
      <w:bookmarkStart w:id="106" w:name="_TOC_250319"/>
      <w:bookmarkEnd w:id="106"/>
      <w:r>
        <w:t>Zero HAP Families Who Wish to Move [24 CFR 982.455]</w:t>
      </w:r>
    </w:p>
    <w:p w:rsidR="004E13A5" w:rsidRDefault="00681463">
      <w:pPr>
        <w:pStyle w:val="BodyText"/>
        <w:ind w:right="101"/>
      </w:pPr>
      <w:r>
        <w:t>A participant who is not receiving any subsidy, but whose HAP contract is still in force, may request a voucher to move to a different unit. The PHA must issue a voucher to move unless it has grounds to deny assistance under the program regulations. However, if the PHA determines no subsidy would be paid at the new unit, the PHA may refuse to enter into a HAP contract on behalf of the family.</w:t>
      </w:r>
    </w:p>
    <w:p w:rsidR="004E13A5" w:rsidRDefault="00681463">
      <w:pPr>
        <w:pStyle w:val="BodyText"/>
        <w:ind w:left="820"/>
      </w:pPr>
      <w:r>
        <w:rPr>
          <w:u w:val="single"/>
        </w:rPr>
        <w:t>PHA Policy</w:t>
      </w:r>
    </w:p>
    <w:p w:rsidR="004E13A5" w:rsidRDefault="00681463">
      <w:pPr>
        <w:pStyle w:val="BodyText"/>
        <w:ind w:left="820"/>
      </w:pPr>
      <w:r>
        <w:t>If a zero HAP family requests to move to a new unit, the family may request a voucher to move. However, if no subsidy will be paid at the unit to which the family requests to move, the PHA will not enter into a HAP contract on behalf of the family for the new unit.</w:t>
      </w:r>
    </w:p>
    <w:p w:rsidR="004E13A5" w:rsidRDefault="004E13A5">
      <w:pPr>
        <w:pStyle w:val="BodyText"/>
        <w:spacing w:before="9"/>
        <w:ind w:left="0"/>
        <w:rPr>
          <w:sz w:val="20"/>
        </w:rPr>
      </w:pPr>
    </w:p>
    <w:p w:rsidR="004E13A5" w:rsidRDefault="00681463">
      <w:pPr>
        <w:pStyle w:val="Heading4"/>
        <w:spacing w:before="1"/>
        <w:ind w:left="1168" w:right="1107"/>
        <w:jc w:val="center"/>
      </w:pPr>
      <w:bookmarkStart w:id="107" w:name="_TOC_250318"/>
      <w:bookmarkEnd w:id="107"/>
      <w:r>
        <w:t>PART II: PORTABILITY</w:t>
      </w:r>
    </w:p>
    <w:p w:rsidR="004E13A5" w:rsidRDefault="004E13A5">
      <w:pPr>
        <w:pStyle w:val="BodyText"/>
        <w:spacing w:before="0"/>
        <w:ind w:left="0"/>
        <w:rPr>
          <w:b/>
          <w:sz w:val="13"/>
        </w:rPr>
      </w:pPr>
    </w:p>
    <w:p w:rsidR="004E13A5" w:rsidRDefault="00681463">
      <w:pPr>
        <w:pStyle w:val="Heading4"/>
        <w:spacing w:before="90"/>
      </w:pPr>
      <w:bookmarkStart w:id="108" w:name="_TOC_250317"/>
      <w:bookmarkEnd w:id="108"/>
      <w:r>
        <w:t>10-II.A. OVERVIEW</w:t>
      </w:r>
    </w:p>
    <w:p w:rsidR="004E13A5" w:rsidRDefault="00681463">
      <w:pPr>
        <w:pStyle w:val="BodyText"/>
        <w:ind w:right="315"/>
      </w:pPr>
      <w:r>
        <w:t>Within the limitations of the regulations and this plan, a participant family or an applicant family that has been issued a voucher has the right to use tenant-based voucher assistance to lease a unit anywhere in the United States providing that the unit is located within the jurisdiction of a PHA administering a tenant-based voucher program [24 CFR 982.353(b)]. The process by which a family obtains a voucher from one PHA and uses it to lease a unit in the jurisdiction of another</w:t>
      </w:r>
    </w:p>
    <w:p w:rsidR="004E13A5" w:rsidRDefault="004E13A5">
      <w:pPr>
        <w:sectPr w:rsidR="004E13A5">
          <w:pgSz w:w="12240" w:h="15840"/>
          <w:pgMar w:top="1000" w:right="1280" w:bottom="1240" w:left="1220" w:header="0" w:footer="1023" w:gutter="0"/>
          <w:cols w:space="720"/>
        </w:sectPr>
      </w:pPr>
    </w:p>
    <w:p w:rsidR="004E13A5" w:rsidRDefault="00681463">
      <w:pPr>
        <w:pStyle w:val="BodyText"/>
        <w:spacing w:before="79"/>
        <w:ind w:right="187"/>
        <w:rPr>
          <w:b/>
        </w:rPr>
      </w:pPr>
      <w:r>
        <w:lastRenderedPageBreak/>
        <w:t xml:space="preserve">PHA is known as portability. The PHA that issues the voucher is called the </w:t>
      </w:r>
      <w:r>
        <w:rPr>
          <w:b/>
        </w:rPr>
        <w:t xml:space="preserve">initial PHA. </w:t>
      </w:r>
      <w:r>
        <w:t xml:space="preserve">The PHA that has jurisdiction in the area to which the family wants to move is called the </w:t>
      </w:r>
      <w:r>
        <w:rPr>
          <w:b/>
        </w:rPr>
        <w:t>receiving PHA.</w:t>
      </w:r>
    </w:p>
    <w:p w:rsidR="004E13A5" w:rsidRDefault="00681463">
      <w:pPr>
        <w:pStyle w:val="BodyText"/>
        <w:spacing w:before="120"/>
        <w:ind w:right="82"/>
      </w:pPr>
      <w:r>
        <w:t>The receiving PHA has the option of administering the family’s voucher for the initial PHA or absorbing the family into its own program. Under the first option, the receiving PHA provides all housing services for the family and bills the initial PHA for the family’s housing assistance payments and the fees for administering the family’s voucher. Under the second option, the receiving PHA pays for the family’s assistance with its own program funds, and the initial PHA has no further relationship with the family. The initial PHA must contact the receiving PHA via email or other confirmed delivery method to determine whether the receiving PHA will administer or absorb the initial PHA’s voucher. Based on the receiving PHA’s response, the initial PHA must determine whether they will approve or deny the portability request [Notice PIH 2016-09].</w:t>
      </w:r>
    </w:p>
    <w:p w:rsidR="004E13A5" w:rsidRDefault="00681463">
      <w:pPr>
        <w:pStyle w:val="BodyText"/>
        <w:ind w:right="262"/>
      </w:pPr>
      <w:r>
        <w:t>PHAs commonly act as both the initial and receiving PHA because families may move into or out of their jurisdiction under portability. Each role involves different responsibilities. The PHA will follow the rules and policies in section 10-II.B when it is acting as the initial PHA for a family. It will follow the rules and policies in section 10-II.C when it is acting as the receiving PHA for a family.</w:t>
      </w:r>
    </w:p>
    <w:p w:rsidR="004E13A5" w:rsidRDefault="00681463">
      <w:pPr>
        <w:pStyle w:val="BodyText"/>
        <w:ind w:right="349"/>
      </w:pPr>
      <w:r>
        <w:t>In administrating portability, the initial PHA and the receiving PHA must comply with financial procedures required by HUD, including the use of HUD-required forms [24 CFR 982.355(e)(5)].</w:t>
      </w:r>
    </w:p>
    <w:p w:rsidR="004E13A5" w:rsidRDefault="00681463">
      <w:pPr>
        <w:pStyle w:val="BodyText"/>
        <w:ind w:right="116"/>
      </w:pPr>
      <w:r>
        <w:t>PHAs must also comply with billing and payment deadlines. HUD may reduce an administrative fee to an initial or receiving PHA if the PHA does not comply with HUD portability requirements [24 CFR 982.355(e)(7)].</w:t>
      </w:r>
    </w:p>
    <w:p w:rsidR="004E13A5" w:rsidRDefault="004E13A5">
      <w:pPr>
        <w:pStyle w:val="BodyText"/>
        <w:spacing w:before="9"/>
        <w:ind w:left="0"/>
        <w:rPr>
          <w:sz w:val="20"/>
        </w:rPr>
      </w:pPr>
    </w:p>
    <w:p w:rsidR="004E13A5" w:rsidRDefault="00681463">
      <w:pPr>
        <w:pStyle w:val="Heading4"/>
      </w:pPr>
      <w:bookmarkStart w:id="109" w:name="_TOC_250316"/>
      <w:bookmarkEnd w:id="109"/>
      <w:r>
        <w:t>10-II.B. INITIAL PHA ROLE</w:t>
      </w:r>
    </w:p>
    <w:p w:rsidR="004E13A5" w:rsidRDefault="00681463">
      <w:pPr>
        <w:pStyle w:val="Heading4"/>
        <w:spacing w:before="119"/>
      </w:pPr>
      <w:bookmarkStart w:id="110" w:name="_TOC_250315"/>
      <w:bookmarkEnd w:id="110"/>
      <w:r>
        <w:t>Allowable Moves under Portability</w:t>
      </w:r>
    </w:p>
    <w:p w:rsidR="004E13A5" w:rsidRDefault="00681463">
      <w:pPr>
        <w:pStyle w:val="BodyText"/>
        <w:ind w:right="136"/>
      </w:pPr>
      <w:r>
        <w:t>A family may move with voucher assistance only to an area where there is at least one PHA administering a voucher program [24 CFR 982.353(b)]. If there is more than one PHA in the area, the initial PHA provides the family with contact information for the receiving PHAs that serve the area, and the family selects the receiving PHA. The family must inform the initial PHA which receiving PHA it has selected. If the family prefers not to select the receiving PHA, the initial PHA will select the receiving PHA on behalf of the family [24 CFR 982.255(b)].</w:t>
      </w:r>
    </w:p>
    <w:p w:rsidR="004E13A5" w:rsidRDefault="00681463">
      <w:pPr>
        <w:pStyle w:val="BodyText"/>
        <w:ind w:right="116"/>
      </w:pPr>
      <w:r>
        <w:t>Applicant families that have been issued vouchers as well as participant families may qualify to lease a unit outside the PHA’s jurisdiction under portability. HUD regulations and PHA policy determine whether a family qualifies.</w:t>
      </w:r>
    </w:p>
    <w:p w:rsidR="004E13A5" w:rsidRDefault="00681463">
      <w:pPr>
        <w:pStyle w:val="Heading5"/>
      </w:pPr>
      <w:r>
        <w:t>Applicant Families</w:t>
      </w:r>
    </w:p>
    <w:p w:rsidR="004E13A5" w:rsidRDefault="00681463">
      <w:pPr>
        <w:pStyle w:val="BodyText"/>
        <w:ind w:right="107"/>
      </w:pPr>
      <w:r>
        <w:t>Under HUD regulations, most applicant families qualify to lease a unit outside the PHA’s jurisdiction under portability. However, HUD gives the PHA discretion to deny a portability move by an applicant family for the same two reasons that it may deny any move by a participant family: insufficient funding and grounds for denial or termination of assistance. If a PHA intends to deny a family permission to move under portability due to insufficient funding, the PHA must notify HUD within 10 business days of the determination to deny the move [24 CFR 982.355(e)].</w:t>
      </w:r>
    </w:p>
    <w:p w:rsidR="004E13A5" w:rsidRDefault="00681463">
      <w:pPr>
        <w:pStyle w:val="BodyText"/>
        <w:ind w:left="820"/>
      </w:pPr>
      <w:r>
        <w:rPr>
          <w:u w:val="single"/>
        </w:rPr>
        <w:t>PHA Policy</w:t>
      </w:r>
    </w:p>
    <w:p w:rsidR="004E13A5" w:rsidRDefault="00681463">
      <w:pPr>
        <w:pStyle w:val="BodyText"/>
        <w:ind w:left="820" w:right="235"/>
      </w:pPr>
      <w:r>
        <w:t>In determining whether or not to deny an applicant family permission to move under portability because the PHA lacks sufficient funding or has grounds for denying assistance to the family, the initial PHA will follow the policies established in section 10-I.B of this</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820" w:right="455"/>
      </w:pPr>
      <w:r>
        <w:lastRenderedPageBreak/>
        <w:t>chapter. If the PHA does deny the move due to insufficient funding, the PHA will notify HUD in writing within 10 business days of the PHA’s determination to deny the move.</w:t>
      </w:r>
    </w:p>
    <w:p w:rsidR="004E13A5" w:rsidRDefault="00681463">
      <w:pPr>
        <w:pStyle w:val="BodyText"/>
        <w:spacing w:before="120"/>
        <w:ind w:right="295"/>
      </w:pPr>
      <w:r>
        <w:t>In addition, the initial PHA may establish a policy denying the right to portability to nonresident applicants during the first 12 months after they are admitted to the program [24 CFR 982.353(c)].</w:t>
      </w:r>
    </w:p>
    <w:p w:rsidR="004E13A5" w:rsidRDefault="00681463">
      <w:pPr>
        <w:pStyle w:val="BodyText"/>
        <w:ind w:left="820"/>
      </w:pPr>
      <w:r>
        <w:rPr>
          <w:u w:val="single"/>
        </w:rPr>
        <w:t>PHA Policy</w:t>
      </w:r>
    </w:p>
    <w:p w:rsidR="004E13A5" w:rsidRDefault="00681463">
      <w:pPr>
        <w:pStyle w:val="BodyText"/>
        <w:ind w:left="820" w:right="655"/>
      </w:pPr>
      <w:r>
        <w:t>If neither the head of household nor the spouse/co-head of an applicant family had a domicile (legal residence) in the initial PHA’s jurisdiction at the time that the family’s initial application for assistance was submitted, the family must lease a unit within the initial PHA’s jurisdiction for at least 12 months before requesting portability.</w:t>
      </w:r>
    </w:p>
    <w:p w:rsidR="004E13A5" w:rsidRDefault="00681463">
      <w:pPr>
        <w:pStyle w:val="BodyText"/>
        <w:ind w:left="820"/>
      </w:pPr>
      <w:r>
        <w:t>The PHA will consider exceptions to this policy for purposes of reasonable accommodation (see Chapter 2) or reasons related to domestic violence, dating violence, sexual assault, or stalking.</w:t>
      </w:r>
    </w:p>
    <w:p w:rsidR="004E13A5" w:rsidRDefault="00681463">
      <w:pPr>
        <w:pStyle w:val="Heading5"/>
        <w:spacing w:before="120"/>
      </w:pPr>
      <w:r>
        <w:t>Participant Families</w:t>
      </w:r>
    </w:p>
    <w:p w:rsidR="004E13A5" w:rsidRDefault="00681463">
      <w:pPr>
        <w:pStyle w:val="BodyText"/>
        <w:spacing w:before="120"/>
        <w:ind w:right="141"/>
      </w:pPr>
      <w:r>
        <w:t>The initial PHA must not provide portable assistance for a participant if a family has moved out of its assisted unit in violation of the lease [24 CFR 982.353(b)]. The Violence against Women Act of 2013 (VAWA) creates an exception to this prohibition for families who are otherwise in compliance with program obligations but have moved to protect the health or safety of a family member who is or has been a victim of domestic violence, dating violence, sexual assault, or stalking and who reasonably believed they were imminently threatened by harm from further violence if they remained in the unit [24 CFR 982.353(b)].</w:t>
      </w:r>
    </w:p>
    <w:p w:rsidR="004E13A5" w:rsidRDefault="00681463">
      <w:pPr>
        <w:pStyle w:val="BodyText"/>
        <w:spacing w:before="120"/>
        <w:ind w:left="820"/>
      </w:pPr>
      <w:r>
        <w:rPr>
          <w:u w:val="single"/>
        </w:rPr>
        <w:t>PHA Policy</w:t>
      </w:r>
    </w:p>
    <w:p w:rsidR="004E13A5" w:rsidRDefault="00681463">
      <w:pPr>
        <w:pStyle w:val="BodyText"/>
        <w:spacing w:before="120"/>
        <w:ind w:left="820" w:right="89"/>
      </w:pPr>
      <w:r>
        <w:t>The PHA will determine whether a participant family may move out of the PHA’s jurisdiction with continued assistance in accordance with the regulations and policies set forth here and in sections 10-I.A and 10-I.B of this chapter. The PHA will notify the family of its determination in accordance with the approval policy set forth in section 10-I.C of this chapter.</w:t>
      </w:r>
    </w:p>
    <w:p w:rsidR="004E13A5" w:rsidRDefault="00681463">
      <w:pPr>
        <w:pStyle w:val="Heading4"/>
        <w:spacing w:before="120"/>
      </w:pPr>
      <w:bookmarkStart w:id="111" w:name="_TOC_250314"/>
      <w:bookmarkEnd w:id="111"/>
      <w:r>
        <w:t>Determining Income Eligibility</w:t>
      </w:r>
    </w:p>
    <w:p w:rsidR="004E13A5" w:rsidRDefault="00681463">
      <w:pPr>
        <w:pStyle w:val="Heading5"/>
        <w:spacing w:before="120"/>
      </w:pPr>
      <w:r>
        <w:t>Applicant Families</w:t>
      </w:r>
    </w:p>
    <w:p w:rsidR="004E13A5" w:rsidRDefault="00681463">
      <w:pPr>
        <w:pStyle w:val="BodyText"/>
        <w:spacing w:before="120"/>
        <w:ind w:right="502"/>
      </w:pPr>
      <w:r>
        <w:t>An applicant family may lease a unit in a particular area under portability only if the family is income eligible for admission to the voucher program in that area [24 CFR 982.353(d)(3)]. The family must specify the area to which the family wishes to move [24 CFR 982.355 (c)(1)].</w:t>
      </w:r>
    </w:p>
    <w:p w:rsidR="004E13A5" w:rsidRDefault="00681463">
      <w:pPr>
        <w:pStyle w:val="BodyText"/>
        <w:spacing w:before="120"/>
        <w:ind w:right="116"/>
      </w:pPr>
      <w:r>
        <w:t>The initial PHA is responsible for determining whether the family is income eligible in the area to which the family wishes to move [24 CFR 982.353(d)(1), 24 CFR 982.355(9)]. If the applicant family is not income eligible in that area, the PHA must inform the family that it may not move there and receive voucher assistance [Notice PIH 6-09].</w:t>
      </w:r>
    </w:p>
    <w:p w:rsidR="004E13A5" w:rsidRDefault="00681463">
      <w:pPr>
        <w:pStyle w:val="Heading5"/>
        <w:spacing w:before="120"/>
      </w:pPr>
      <w:r>
        <w:t>Participant Families</w:t>
      </w:r>
    </w:p>
    <w:p w:rsidR="004E13A5" w:rsidRDefault="00681463">
      <w:pPr>
        <w:pStyle w:val="BodyText"/>
        <w:spacing w:before="120"/>
        <w:ind w:right="529"/>
      </w:pPr>
      <w:r>
        <w:t>The income eligibility of a participant family is not re-determined if the family moves to a new jurisdiction under portability [24 CFR 982.353(d)(2)].</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pPr>
      <w:bookmarkStart w:id="112" w:name="_TOC_250313"/>
      <w:bookmarkEnd w:id="112"/>
      <w:r>
        <w:lastRenderedPageBreak/>
        <w:t>Reexamination of Family Income and Composition</w:t>
      </w:r>
    </w:p>
    <w:p w:rsidR="004E13A5" w:rsidRDefault="00681463">
      <w:pPr>
        <w:pStyle w:val="BodyText"/>
        <w:spacing w:before="120"/>
      </w:pPr>
      <w:r>
        <w:t>No new reexamination of family income and composition is required for an applicant family.</w:t>
      </w:r>
    </w:p>
    <w:p w:rsidR="004E13A5" w:rsidRDefault="004E13A5">
      <w:pPr>
        <w:pStyle w:val="BodyText"/>
        <w:spacing w:before="0"/>
        <w:ind w:left="0"/>
        <w:rPr>
          <w:sz w:val="26"/>
        </w:rPr>
      </w:pPr>
    </w:p>
    <w:p w:rsidR="004E13A5" w:rsidRDefault="00681463">
      <w:pPr>
        <w:pStyle w:val="BodyText"/>
        <w:spacing w:before="216"/>
        <w:ind w:left="820"/>
      </w:pPr>
      <w:r>
        <w:rPr>
          <w:u w:val="single"/>
        </w:rPr>
        <w:t>PHA Policy</w:t>
      </w:r>
    </w:p>
    <w:p w:rsidR="004E13A5" w:rsidRDefault="00681463">
      <w:pPr>
        <w:pStyle w:val="BodyText"/>
        <w:ind w:left="820"/>
      </w:pPr>
      <w:r>
        <w:t>For a participant family approved to move out of its jurisdiction under portability, the PHA generally will conduct a reexamination of family income and composition only if the family’s annual reexamination must be completed on or before the initial billing deadline specified on form HUD-52665, Family Portability Information.</w:t>
      </w:r>
    </w:p>
    <w:p w:rsidR="004E13A5" w:rsidRDefault="00681463">
      <w:pPr>
        <w:pStyle w:val="BodyText"/>
        <w:ind w:left="820"/>
      </w:pPr>
      <w:r>
        <w:t>The PHA will make any exceptions to this policy necessary to remain in compliance with HUD regulations.</w:t>
      </w:r>
    </w:p>
    <w:p w:rsidR="004E13A5" w:rsidRDefault="00681463">
      <w:pPr>
        <w:pStyle w:val="Heading4"/>
        <w:spacing w:before="119"/>
      </w:pPr>
      <w:bookmarkStart w:id="113" w:name="_TOC_250312"/>
      <w:bookmarkEnd w:id="113"/>
      <w:r>
        <w:t>Briefing</w:t>
      </w:r>
    </w:p>
    <w:p w:rsidR="004E13A5" w:rsidRDefault="00681463">
      <w:pPr>
        <w:pStyle w:val="BodyText"/>
        <w:spacing w:before="120"/>
        <w:ind w:right="249"/>
      </w:pPr>
      <w:r>
        <w:t>The regulations and policies on briefings set forth in Chapter 5 of this plan require the PHA to provide information on portability to all applicant families that qualify to lease a unit outside the PHA’s jurisdiction under the portability procedures. Therefore, no special briefing is required for these families.</w:t>
      </w:r>
    </w:p>
    <w:p w:rsidR="004E13A5" w:rsidRDefault="00681463">
      <w:pPr>
        <w:pStyle w:val="BodyText"/>
        <w:ind w:left="820"/>
      </w:pPr>
      <w:r>
        <w:rPr>
          <w:u w:val="single"/>
        </w:rPr>
        <w:t>PHA Policy</w:t>
      </w:r>
    </w:p>
    <w:p w:rsidR="004E13A5" w:rsidRDefault="00681463">
      <w:pPr>
        <w:pStyle w:val="BodyText"/>
        <w:ind w:left="820" w:right="328"/>
      </w:pPr>
      <w:r>
        <w:t>No formal briefing will be required for a participant family wishing to move outside the PHA’s jurisdiction under portability. However, the PHA will provide the family with the same oral and written explanation of portability that it provides to applicant families selected for admission to the program (see Chapter 5).</w:t>
      </w:r>
    </w:p>
    <w:p w:rsidR="004E13A5" w:rsidRDefault="00681463">
      <w:pPr>
        <w:pStyle w:val="BodyText"/>
        <w:ind w:left="820" w:right="122"/>
      </w:pPr>
      <w:r>
        <w:t>The PHA will provide the name, address, and phone of the contact for the PHAs in the jurisdiction to which they wish to move. If there is more than one PHA with jurisdiction over the area to which the family wishes to move, the PHA will advise the family that the family selects the receiving PHA and notify the initial PHA of which receiving PHA was selected. The PHA will provide the family with contact information for all of the receiving PHAs that serve the area. The PHA will not provide any additional information about receiving PHAs in the area. The PHA will further inform them family that if the family prefers not to select the receiving PHA, the initial PHA will select the receiving PHA on behalf of the family. In this case, the PHA will not provide the family with information for all receiving PHAs in the area.</w:t>
      </w:r>
    </w:p>
    <w:p w:rsidR="004E13A5" w:rsidRDefault="00681463">
      <w:pPr>
        <w:pStyle w:val="BodyText"/>
        <w:ind w:left="820"/>
      </w:pPr>
      <w:r>
        <w:t>The PHA will advise the family that they will be under the receiving PHA’s policies and procedures, including screening, subsidy standards, voucher extension policies, and payments standards.</w:t>
      </w:r>
    </w:p>
    <w:p w:rsidR="004E13A5" w:rsidRDefault="00681463">
      <w:pPr>
        <w:pStyle w:val="Heading4"/>
        <w:spacing w:before="119"/>
      </w:pPr>
      <w:bookmarkStart w:id="114" w:name="_TOC_250311"/>
      <w:bookmarkEnd w:id="114"/>
      <w:r>
        <w:t>Voucher Issuance and Term</w:t>
      </w:r>
    </w:p>
    <w:p w:rsidR="004E13A5" w:rsidRDefault="00681463">
      <w:pPr>
        <w:pStyle w:val="BodyText"/>
        <w:spacing w:before="120"/>
        <w:ind w:right="122"/>
      </w:pPr>
      <w:r>
        <w:t>An applicant family has no right to portability until after the family has been issued a voucher [24 CFR 982.353(b)]. In issuing vouchers to applicant families, the PHA will follow the regulations and procedures set forth in Chapter 5.</w:t>
      </w:r>
    </w:p>
    <w:p w:rsidR="004E13A5" w:rsidRDefault="00681463">
      <w:pPr>
        <w:pStyle w:val="BodyText"/>
        <w:spacing w:before="120"/>
        <w:ind w:left="820"/>
      </w:pPr>
      <w:r>
        <w:rPr>
          <w:u w:val="single"/>
        </w:rPr>
        <w:t>PHA Policy</w:t>
      </w:r>
    </w:p>
    <w:p w:rsidR="004E13A5" w:rsidRDefault="00681463">
      <w:pPr>
        <w:pStyle w:val="BodyText"/>
        <w:spacing w:before="120"/>
        <w:ind w:left="820"/>
      </w:pPr>
      <w:r>
        <w:t>For participating families approved to move under portability, the PHA will issue a new voucher within 10 business days of the PHA’s written approval to move.</w:t>
      </w:r>
    </w:p>
    <w:p w:rsidR="004E13A5" w:rsidRDefault="00681463">
      <w:pPr>
        <w:pStyle w:val="BodyText"/>
        <w:spacing w:before="120"/>
        <w:ind w:left="820"/>
      </w:pPr>
      <w:r>
        <w:t>The initial term of the voucher will be 60 days.</w:t>
      </w:r>
    </w:p>
    <w:p w:rsidR="004E13A5" w:rsidRDefault="004E13A5">
      <w:pPr>
        <w:sectPr w:rsidR="004E13A5">
          <w:pgSz w:w="12240" w:h="15840"/>
          <w:pgMar w:top="1000" w:right="1320" w:bottom="1240" w:left="1220" w:header="0" w:footer="1023" w:gutter="0"/>
          <w:cols w:space="720"/>
        </w:sectPr>
      </w:pPr>
    </w:p>
    <w:p w:rsidR="004E13A5" w:rsidRDefault="00681463">
      <w:pPr>
        <w:pStyle w:val="Heading4"/>
        <w:spacing w:before="79"/>
      </w:pPr>
      <w:bookmarkStart w:id="115" w:name="_TOC_250310"/>
      <w:bookmarkEnd w:id="115"/>
      <w:r>
        <w:lastRenderedPageBreak/>
        <w:t>Voucher Extensions and Expiration</w:t>
      </w:r>
    </w:p>
    <w:p w:rsidR="004E13A5" w:rsidRDefault="00681463">
      <w:pPr>
        <w:pStyle w:val="BodyText"/>
        <w:spacing w:before="120"/>
        <w:ind w:left="820"/>
      </w:pPr>
      <w:r>
        <w:rPr>
          <w:u w:val="single"/>
        </w:rPr>
        <w:t>PHA Policy</w:t>
      </w:r>
    </w:p>
    <w:p w:rsidR="004E13A5" w:rsidRDefault="00681463">
      <w:pPr>
        <w:pStyle w:val="BodyText"/>
        <w:ind w:left="820" w:right="183"/>
      </w:pPr>
      <w:r>
        <w:t xml:space="preserve">The initial PHA will approve </w:t>
      </w:r>
      <w:r>
        <w:rPr>
          <w:b/>
        </w:rPr>
        <w:t xml:space="preserve">no </w:t>
      </w:r>
      <w:r>
        <w:t>extensions to a voucher issued to an applicant or participant family porting out of the PHA’s jurisdiction except under the following circumstances: (a) the initial term of the voucher will expire before the portable family will be issued a voucher by the receiving PHA, (b) the family decides to return to the initial PHA’s jurisdiction and search for a unit there, or (c) the family decides to search for a unit in a third PHA’s jurisdiction. In such cases, the policies on voucher extensions set forth in Chapter 5, section 5-II.E, of this plan will apply, including the requirement that the family apply for an extension in writing prior to the expiration of the initial voucher term.</w:t>
      </w:r>
    </w:p>
    <w:p w:rsidR="004E13A5" w:rsidRDefault="00681463">
      <w:pPr>
        <w:pStyle w:val="BodyText"/>
        <w:ind w:left="820" w:right="128"/>
      </w:pPr>
      <w:r>
        <w:t>To receive or continue receiving assistance under the initial PHA’s voucher program, a family that moves to another PHA’s jurisdiction under portability must be under HAP contract in the receiving PHA’s jurisdiction within 60 days following the expiration date of the initial PHA’s voucher term (including any extensions). (See below under “Initial Billing Deadline” for one exception to this policy.)</w:t>
      </w:r>
    </w:p>
    <w:p w:rsidR="004E13A5" w:rsidRDefault="00681463">
      <w:pPr>
        <w:pStyle w:val="Heading4"/>
        <w:spacing w:before="119"/>
      </w:pPr>
      <w:bookmarkStart w:id="116" w:name="_TOC_250309"/>
      <w:bookmarkEnd w:id="116"/>
      <w:r>
        <w:t>Preapproval Contact with the Receiving PHA</w:t>
      </w:r>
    </w:p>
    <w:p w:rsidR="004E13A5" w:rsidRDefault="00681463">
      <w:pPr>
        <w:pStyle w:val="BodyText"/>
        <w:ind w:right="369"/>
        <w:jc w:val="both"/>
      </w:pPr>
      <w:r>
        <w:t>Prior to approving a family’s request to move under portability, the initial PHA must contact the receiving PHA via email or other confirmed delivery method to determine whether the receiving PHA will administer or absorb the family’s voucher. Based on the receiving PHA’s response,</w:t>
      </w:r>
      <w:r>
        <w:rPr>
          <w:spacing w:val="-16"/>
        </w:rPr>
        <w:t xml:space="preserve"> </w:t>
      </w:r>
      <w:r>
        <w:t>the initial PHA must determine whether it will approve or deny the move [24 CFR</w:t>
      </w:r>
      <w:r>
        <w:rPr>
          <w:spacing w:val="-14"/>
        </w:rPr>
        <w:t xml:space="preserve"> </w:t>
      </w:r>
      <w:r>
        <w:t>982.355(c)(3)].</w:t>
      </w:r>
    </w:p>
    <w:p w:rsidR="004E13A5" w:rsidRDefault="00681463">
      <w:pPr>
        <w:pStyle w:val="BodyText"/>
        <w:ind w:left="820"/>
      </w:pPr>
      <w:r>
        <w:rPr>
          <w:u w:val="single"/>
        </w:rPr>
        <w:t>PHA Policy</w:t>
      </w:r>
    </w:p>
    <w:p w:rsidR="004E13A5" w:rsidRDefault="00681463">
      <w:pPr>
        <w:pStyle w:val="BodyText"/>
        <w:ind w:left="820" w:right="82"/>
      </w:pPr>
      <w:r>
        <w:t>The PHA will use email, when possible, to contact the receiving PHA regarding whether the receiving PHA will administer or absorb the family’s voucher.</w:t>
      </w:r>
    </w:p>
    <w:p w:rsidR="004E13A5" w:rsidRDefault="00681463">
      <w:pPr>
        <w:pStyle w:val="Heading4"/>
        <w:spacing w:before="120"/>
      </w:pPr>
      <w:bookmarkStart w:id="117" w:name="_TOC_250308"/>
      <w:bookmarkEnd w:id="117"/>
      <w:r>
        <w:t>Initial Notification to the Receiving PHA</w:t>
      </w:r>
    </w:p>
    <w:p w:rsidR="004E13A5" w:rsidRDefault="00681463">
      <w:pPr>
        <w:pStyle w:val="BodyText"/>
        <w:spacing w:before="120"/>
        <w:ind w:right="181"/>
      </w:pPr>
      <w:r>
        <w:t>After approving a family’s request to move under portability, the initial PHA must promptly notify the receiving PHA via email or other confirmed delivery method to expect the family [24 CFR 982.355(c)(3), 24 CFR 982.355(c)(7)]. The initial PHA must also advise the family how to contact and request assistance from the receiving PHA [24 CFR 982.355(c)(6)].</w:t>
      </w:r>
    </w:p>
    <w:p w:rsidR="004E13A5" w:rsidRDefault="00681463">
      <w:pPr>
        <w:pStyle w:val="BodyText"/>
        <w:spacing w:before="120"/>
        <w:ind w:left="820"/>
      </w:pPr>
      <w:r>
        <w:rPr>
          <w:u w:val="single"/>
        </w:rPr>
        <w:t>PHA Policy</w:t>
      </w:r>
    </w:p>
    <w:p w:rsidR="004E13A5" w:rsidRDefault="00681463">
      <w:pPr>
        <w:pStyle w:val="BodyText"/>
        <w:spacing w:before="120"/>
        <w:ind w:left="820" w:right="110"/>
      </w:pPr>
      <w:r>
        <w:t>Because the portability process is time-sensitive, the PHA will notify the receiving PHA by phone, fax, or email to expect the family. The initial PHA will also ask the receiving PHA to provide any information the family may need upon arrival, including the name, fax,</w:t>
      </w:r>
      <w:r>
        <w:rPr>
          <w:spacing w:val="-15"/>
        </w:rPr>
        <w:t xml:space="preserve"> </w:t>
      </w:r>
      <w:r>
        <w:t>email address, and telephone number of the staff person responsible for business with incoming portable families and procedures related to appointments for voucher issuance. The PHA will pass this information along to the family. The PHA will also ask for the name, address, telephone number, fax and email of the person responsible for processing the billing information.</w:t>
      </w:r>
    </w:p>
    <w:p w:rsidR="004E13A5" w:rsidRDefault="00681463">
      <w:pPr>
        <w:pStyle w:val="Heading4"/>
        <w:spacing w:before="120"/>
      </w:pPr>
      <w:bookmarkStart w:id="118" w:name="_TOC_250307"/>
      <w:bookmarkEnd w:id="118"/>
      <w:r>
        <w:t>Sending Documentation to the Receiving PHA</w:t>
      </w:r>
    </w:p>
    <w:p w:rsidR="004E13A5" w:rsidRDefault="00681463">
      <w:pPr>
        <w:pStyle w:val="BodyText"/>
        <w:spacing w:before="120"/>
      </w:pPr>
      <w:r>
        <w:t>The initial PHA is required to send the receiving PHA the following documents:</w:t>
      </w:r>
    </w:p>
    <w:p w:rsidR="004E13A5" w:rsidRDefault="00681463">
      <w:pPr>
        <w:pStyle w:val="BodyText"/>
        <w:tabs>
          <w:tab w:val="left" w:pos="460"/>
        </w:tabs>
        <w:ind w:left="460" w:right="2414" w:hanging="360"/>
      </w:pPr>
      <w:r>
        <w:rPr>
          <w:rFonts w:ascii="Symbol" w:hAnsi="Symbol"/>
        </w:rPr>
        <w:t></w:t>
      </w:r>
      <w:r>
        <w:tab/>
        <w:t>Form HUD-52665, Family Portability Information, with Part I</w:t>
      </w:r>
      <w:r>
        <w:rPr>
          <w:spacing w:val="-14"/>
        </w:rPr>
        <w:t xml:space="preserve"> </w:t>
      </w:r>
      <w:r>
        <w:t>filled</w:t>
      </w:r>
      <w:r>
        <w:rPr>
          <w:spacing w:val="-1"/>
        </w:rPr>
        <w:t xml:space="preserve"> </w:t>
      </w:r>
      <w:r>
        <w:t>out [Notice PIH</w:t>
      </w:r>
      <w:r>
        <w:rPr>
          <w:spacing w:val="-7"/>
        </w:rPr>
        <w:t xml:space="preserve"> </w:t>
      </w:r>
      <w:r>
        <w:t>2016-09]</w:t>
      </w:r>
    </w:p>
    <w:p w:rsidR="004E13A5" w:rsidRDefault="00681463">
      <w:pPr>
        <w:pStyle w:val="BodyText"/>
        <w:tabs>
          <w:tab w:val="left" w:pos="460"/>
        </w:tabs>
      </w:pPr>
      <w:r>
        <w:rPr>
          <w:rFonts w:ascii="Symbol" w:hAnsi="Symbol"/>
        </w:rPr>
        <w:t></w:t>
      </w:r>
      <w:r>
        <w:tab/>
        <w:t>A copy of the family’s voucher [Notice PIH</w:t>
      </w:r>
      <w:r>
        <w:rPr>
          <w:spacing w:val="-10"/>
        </w:rPr>
        <w:t xml:space="preserve"> </w:t>
      </w:r>
      <w:r>
        <w:t>2016-09]</w:t>
      </w:r>
    </w:p>
    <w:p w:rsidR="004E13A5" w:rsidRDefault="004E13A5">
      <w:pPr>
        <w:sectPr w:rsidR="004E13A5">
          <w:pgSz w:w="12240" w:h="15840"/>
          <w:pgMar w:top="1000" w:right="1220" w:bottom="1240" w:left="1220" w:header="0" w:footer="1023" w:gutter="0"/>
          <w:cols w:space="720"/>
        </w:sectPr>
      </w:pPr>
    </w:p>
    <w:p w:rsidR="004E13A5" w:rsidRDefault="00681463">
      <w:pPr>
        <w:pStyle w:val="BodyText"/>
        <w:tabs>
          <w:tab w:val="left" w:pos="460"/>
        </w:tabs>
        <w:spacing w:before="78"/>
        <w:ind w:left="460" w:right="350" w:hanging="360"/>
      </w:pPr>
      <w:r>
        <w:rPr>
          <w:rFonts w:ascii="Symbol" w:hAnsi="Symbol"/>
        </w:rPr>
        <w:lastRenderedPageBreak/>
        <w:t></w:t>
      </w:r>
      <w:r>
        <w:tab/>
        <w:t>A copy of the family’s most recent form HUD-50058, Family Report, or, if necessary</w:t>
      </w:r>
      <w:r>
        <w:rPr>
          <w:spacing w:val="-16"/>
        </w:rPr>
        <w:t xml:space="preserve"> </w:t>
      </w:r>
      <w:r>
        <w:t>in the case of an applicant family, family and income information in a format similar to that of</w:t>
      </w:r>
      <w:r>
        <w:rPr>
          <w:spacing w:val="-16"/>
        </w:rPr>
        <w:t xml:space="preserve"> </w:t>
      </w:r>
      <w:r>
        <w:t>form HUD-50058 [24 CFR 982.355(c)(74), Notice PIH</w:t>
      </w:r>
      <w:r>
        <w:rPr>
          <w:spacing w:val="-11"/>
        </w:rPr>
        <w:t xml:space="preserve"> </w:t>
      </w:r>
      <w:r>
        <w:t>2016-09]</w:t>
      </w:r>
    </w:p>
    <w:p w:rsidR="004E13A5" w:rsidRDefault="00681463">
      <w:pPr>
        <w:pStyle w:val="BodyText"/>
        <w:tabs>
          <w:tab w:val="left" w:pos="460"/>
        </w:tabs>
        <w:ind w:left="460" w:right="441" w:hanging="360"/>
      </w:pPr>
      <w:r>
        <w:rPr>
          <w:rFonts w:ascii="Symbol" w:hAnsi="Symbol"/>
        </w:rPr>
        <w:t></w:t>
      </w:r>
      <w:r>
        <w:tab/>
        <w:t>Copies of the income verifications backing up the form HUD-50058, including a copy</w:t>
      </w:r>
      <w:r>
        <w:rPr>
          <w:spacing w:val="-13"/>
        </w:rPr>
        <w:t xml:space="preserve"> </w:t>
      </w:r>
      <w:r>
        <w:t>of</w:t>
      </w:r>
      <w:r>
        <w:rPr>
          <w:spacing w:val="-1"/>
        </w:rPr>
        <w:t xml:space="preserve"> </w:t>
      </w:r>
      <w:r>
        <w:t>the</w:t>
      </w:r>
      <w:r>
        <w:rPr>
          <w:w w:val="99"/>
        </w:rPr>
        <w:t xml:space="preserve"> </w:t>
      </w:r>
      <w:r>
        <w:t>family’s current EIV data [24 CFR 982.355(c)(74), Notice PIH</w:t>
      </w:r>
      <w:r>
        <w:rPr>
          <w:spacing w:val="-15"/>
        </w:rPr>
        <w:t xml:space="preserve"> </w:t>
      </w:r>
      <w:r>
        <w:t>2016-09]</w:t>
      </w:r>
    </w:p>
    <w:p w:rsidR="004E13A5" w:rsidRDefault="00681463">
      <w:pPr>
        <w:pStyle w:val="BodyText"/>
        <w:spacing w:before="120"/>
        <w:ind w:left="820"/>
      </w:pPr>
      <w:r>
        <w:rPr>
          <w:u w:val="single"/>
        </w:rPr>
        <w:t>PHA Policy</w:t>
      </w:r>
    </w:p>
    <w:p w:rsidR="004E13A5" w:rsidRDefault="00681463">
      <w:pPr>
        <w:pStyle w:val="BodyText"/>
        <w:spacing w:before="120"/>
        <w:ind w:left="820" w:right="1027"/>
      </w:pPr>
      <w:r>
        <w:t>In addition to these documents, the PHA will provide the following information, if available, to the receiving PHA:</w:t>
      </w:r>
    </w:p>
    <w:p w:rsidR="004E13A5" w:rsidRDefault="00681463">
      <w:pPr>
        <w:pStyle w:val="BodyText"/>
        <w:spacing w:before="120"/>
        <w:ind w:left="1540"/>
      </w:pPr>
      <w:r>
        <w:t>Social security numbers (SSNs)</w:t>
      </w:r>
    </w:p>
    <w:p w:rsidR="004E13A5" w:rsidRDefault="00681463">
      <w:pPr>
        <w:pStyle w:val="BodyText"/>
        <w:spacing w:before="120"/>
        <w:ind w:left="1540" w:right="183"/>
      </w:pPr>
      <w:r>
        <w:t>Documentation of SSNs for all nonexempt household members whose SSNs have not been verified through the EIV system</w:t>
      </w:r>
    </w:p>
    <w:p w:rsidR="004E13A5" w:rsidRDefault="00681463">
      <w:pPr>
        <w:pStyle w:val="BodyText"/>
        <w:spacing w:before="120"/>
        <w:ind w:left="1540"/>
      </w:pPr>
      <w:r>
        <w:t>Documentation of legal identity</w:t>
      </w:r>
    </w:p>
    <w:p w:rsidR="004E13A5" w:rsidRDefault="00681463">
      <w:pPr>
        <w:pStyle w:val="BodyText"/>
        <w:ind w:left="1540"/>
      </w:pPr>
      <w:r>
        <w:t>Documentation of citizenship or eligible immigration status</w:t>
      </w:r>
    </w:p>
    <w:p w:rsidR="004E13A5" w:rsidRDefault="00681463">
      <w:pPr>
        <w:pStyle w:val="BodyText"/>
        <w:spacing w:line="343" w:lineRule="auto"/>
        <w:ind w:left="1540"/>
      </w:pPr>
      <w:r>
        <w:t>Documentation of participation in the earned income disallowance (EID) benefit Documentation of participation in a family self-sufficiency (FSS) program</w:t>
      </w:r>
    </w:p>
    <w:p w:rsidR="004E13A5" w:rsidRDefault="00681463">
      <w:pPr>
        <w:pStyle w:val="BodyText"/>
        <w:spacing w:before="5"/>
        <w:ind w:left="820" w:right="848"/>
      </w:pPr>
      <w:r>
        <w:t>The PHA will notify the family in writing regarding any information provided to the receiving PHA [HCV GB, p. 13-3].</w:t>
      </w:r>
    </w:p>
    <w:p w:rsidR="004E13A5" w:rsidRDefault="00681463">
      <w:pPr>
        <w:pStyle w:val="Heading4"/>
        <w:spacing w:before="120"/>
      </w:pPr>
      <w:r>
        <w:t>Initial Billing Deadline [Notice PIH 2016-09]</w:t>
      </w:r>
    </w:p>
    <w:p w:rsidR="004E13A5" w:rsidRDefault="00681463">
      <w:pPr>
        <w:pStyle w:val="BodyText"/>
        <w:spacing w:before="120"/>
        <w:ind w:right="194"/>
      </w:pPr>
      <w:r>
        <w:t>The deadline for submission of initial billing is 90 following the expiration date of the voucher issued to the family by the initial PHA. In cases where suspension of the voucher delays the initial billing submission, the receiving PHA must notify the initial PHA of delayed billing before the billing deadline and document the delay is due to the suspension. In this case, the initial PHA must extend the billing deadline by 30 days.</w:t>
      </w:r>
    </w:p>
    <w:p w:rsidR="004E13A5" w:rsidRDefault="00681463">
      <w:pPr>
        <w:pStyle w:val="BodyText"/>
        <w:spacing w:before="120"/>
        <w:ind w:right="241"/>
      </w:pPr>
      <w:r>
        <w:t>If the initial PHA does not receive a billing notice by the deadline and does not intend to honor a late billing submission, it must notify the receiving PHA in writing. The initial PHA may report to HUD the receiving PHA’s failure to comply with the deadline.</w:t>
      </w:r>
    </w:p>
    <w:p w:rsidR="004E13A5" w:rsidRDefault="00681463">
      <w:pPr>
        <w:pStyle w:val="BodyText"/>
        <w:spacing w:before="120"/>
        <w:ind w:left="820"/>
      </w:pPr>
      <w:r>
        <w:rPr>
          <w:u w:val="single"/>
        </w:rPr>
        <w:t>PHA Policy</w:t>
      </w:r>
    </w:p>
    <w:p w:rsidR="004E13A5" w:rsidRDefault="00681463">
      <w:pPr>
        <w:pStyle w:val="BodyText"/>
        <w:spacing w:before="120"/>
        <w:ind w:left="820" w:right="68"/>
      </w:pPr>
      <w:r>
        <w:t>The initial PHA’s decision as to whether to accept late billing will be based on internal PHA factors, including the initial PHA’s leasing or funding status. If the PHA has not received an initial billing notice from the receiving PHA within the billing deadline and does not intend to honor the late billing, it will contact the receiving PHA to inform that it will not honor a late billing submission and will return any subsequent billings that it receives on behalf of the family. In this case, the PHA will send the receiving PHA a written confirmation of its decision by mail.</w:t>
      </w:r>
    </w:p>
    <w:p w:rsidR="004E13A5" w:rsidRDefault="00681463">
      <w:pPr>
        <w:pStyle w:val="BodyText"/>
        <w:spacing w:before="120"/>
        <w:ind w:left="820" w:right="168"/>
      </w:pPr>
      <w:r>
        <w:t>Among other considerations as to whether to accept late billing will be The PHA will allow an exception to this policy if the family includes a person with disabilities and the late billing is a result of a reasonable accommodation granted to the family by the receiving PHA.</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pPr>
      <w:r>
        <w:lastRenderedPageBreak/>
        <w:t>Monthly Billing Payments [24 CFR 982.355(e), Notice PIH 2016-09]</w:t>
      </w:r>
    </w:p>
    <w:p w:rsidR="004E13A5" w:rsidRDefault="00681463">
      <w:pPr>
        <w:pStyle w:val="BodyText"/>
        <w:spacing w:before="120"/>
        <w:ind w:right="112"/>
      </w:pPr>
      <w:r>
        <w:t>If the receiving PHA is administering the family’s voucher, the receiving PHA bills the initial PHA for housing assistance payments and administrative fees. When reimbursing for administrative fees, the initial PHA must promptly reimburse the receiving PHA for the lesser of 80 percent of the initial PHA ongoing administrative fee or 100 percent of the receiving PHA’s ongoing administrative fee for each program unit under contract on the first day of the month for which the receiving PHA is billing the initial PHA under portability. If the administrative fees are prorated for the HCV program, the proration will apply to the amount of the administrative fee for which the receiving PHA may bill [24 CFR</w:t>
      </w:r>
      <w:r>
        <w:rPr>
          <w:spacing w:val="-11"/>
        </w:rPr>
        <w:t xml:space="preserve"> </w:t>
      </w:r>
      <w:r>
        <w:t>982.355(e)(2)].</w:t>
      </w:r>
    </w:p>
    <w:p w:rsidR="004E13A5" w:rsidRDefault="00681463">
      <w:pPr>
        <w:pStyle w:val="BodyText"/>
        <w:ind w:right="402"/>
      </w:pPr>
      <w:r>
        <w:t xml:space="preserve">The initial PHA is responsible for making billing payments in a timely manner. The first billing amount is due within 30 calendar days after the initial PHA receives Part II of form HUD-52665 from the receiving PHA. Subsequent payments must be </w:t>
      </w:r>
      <w:r>
        <w:rPr>
          <w:b/>
        </w:rPr>
        <w:t xml:space="preserve">received </w:t>
      </w:r>
      <w:r>
        <w:t>by the receiving PHA no later than the fifth business day of each month. The payments must be provided in a form and manner that the receiving PHA is able and willing to accept.</w:t>
      </w:r>
    </w:p>
    <w:p w:rsidR="004E13A5" w:rsidRDefault="00681463">
      <w:pPr>
        <w:pStyle w:val="BodyText"/>
        <w:ind w:right="183"/>
      </w:pPr>
      <w:r>
        <w:t>The initial PHA may not terminate or delay making payments under existing portability billing arrangements as a result of over leasing or funding shortfalls. The PHA must manage its tenant- based program in a manner that ensures that it has the financial ability to provide assistance for families that move out of its jurisdiction under portability and are not absorbed by receiving PHAs as well as for families that remain within its jurisdiction.</w:t>
      </w:r>
    </w:p>
    <w:p w:rsidR="004E13A5" w:rsidRDefault="00681463">
      <w:pPr>
        <w:pStyle w:val="BodyText"/>
        <w:ind w:left="820"/>
      </w:pPr>
      <w:r>
        <w:rPr>
          <w:u w:val="single"/>
        </w:rPr>
        <w:t>PHA Policy</w:t>
      </w:r>
    </w:p>
    <w:p w:rsidR="004E13A5" w:rsidRDefault="00681463">
      <w:pPr>
        <w:pStyle w:val="BodyText"/>
        <w:ind w:left="820" w:right="196"/>
      </w:pPr>
      <w:r>
        <w:t>The initial PHA will utilize direct deposit to ensure that the payment is received by the deadline unless the receiving PHA notifies the initial PHA that direct deposit is not acceptable to them. If the initial PHA extends the term of the voucher, the receiving PHA’s voucher will expire 30 calendar days from the new expiration date of the initial PHA’s voucher.</w:t>
      </w:r>
    </w:p>
    <w:p w:rsidR="004E13A5" w:rsidRDefault="00681463">
      <w:pPr>
        <w:pStyle w:val="Heading4"/>
        <w:spacing w:before="120"/>
      </w:pPr>
      <w:bookmarkStart w:id="119" w:name="_TOC_250306"/>
      <w:bookmarkEnd w:id="119"/>
      <w:r>
        <w:t>Annual Updates of Form HUD-50058</w:t>
      </w:r>
    </w:p>
    <w:p w:rsidR="004E13A5" w:rsidRDefault="00681463">
      <w:pPr>
        <w:pStyle w:val="BodyText"/>
        <w:spacing w:before="120"/>
        <w:ind w:right="83"/>
      </w:pPr>
      <w:r>
        <w:t>If the initial PHA is being billed on behalf of a portable family, it should receive an updated form HUD-50058 each year from the receiving PHA. If the initial PHA fails to receive an updated 50058 by the family’s annual reexamination date, the initial PHA should contact the receiving PHA to verify the status of the family. The initial PHA must continue paying the receiving PHA based on the last HUD-50058 received, unless instructed otherwise by HUD. The initial PHA may seek absorption of the vouchers by following steps outlined in Notice PIH 2016-09.</w:t>
      </w:r>
    </w:p>
    <w:p w:rsidR="004E13A5" w:rsidRDefault="00681463">
      <w:pPr>
        <w:pStyle w:val="Heading4"/>
        <w:spacing w:before="120"/>
      </w:pPr>
      <w:bookmarkStart w:id="120" w:name="_TOC_250305"/>
      <w:bookmarkEnd w:id="120"/>
      <w:r>
        <w:t>Denial or Termination of Assistance [24 CFR 982.355(c)(9)]</w:t>
      </w:r>
    </w:p>
    <w:p w:rsidR="004E13A5" w:rsidRDefault="00681463">
      <w:pPr>
        <w:pStyle w:val="BodyText"/>
        <w:spacing w:before="120"/>
        <w:ind w:right="108"/>
      </w:pPr>
      <w:r>
        <w:t>At any time, either the initial PHA or the receiving PHA may make a determination to deny or terminate assistance with the family in accordance with 24 CFR 982.552 and 24 CFR 982.553. (For PHA policies on denial and termination, see Chapters 3 and 12, respectively.)</w:t>
      </w:r>
    </w:p>
    <w:p w:rsidR="004E13A5" w:rsidRDefault="004E13A5">
      <w:pPr>
        <w:pStyle w:val="BodyText"/>
        <w:spacing w:before="10"/>
        <w:ind w:left="0"/>
        <w:rPr>
          <w:sz w:val="20"/>
        </w:rPr>
      </w:pPr>
    </w:p>
    <w:p w:rsidR="004E13A5" w:rsidRDefault="00681463">
      <w:pPr>
        <w:pStyle w:val="Heading4"/>
      </w:pPr>
      <w:bookmarkStart w:id="121" w:name="_TOC_250304"/>
      <w:bookmarkEnd w:id="121"/>
      <w:r>
        <w:t>10-II.C. RECEIVING PHA ROLE</w:t>
      </w:r>
    </w:p>
    <w:p w:rsidR="004E13A5" w:rsidRDefault="00681463">
      <w:pPr>
        <w:pStyle w:val="BodyText"/>
        <w:spacing w:before="120"/>
        <w:ind w:right="100"/>
      </w:pPr>
      <w:r>
        <w:t>If a family has a right to lease a unit in the receiving PHA’s jurisdiction under portability, the receiving PHA must provide assistance for the family [24 CFR 982.355(10)]. HUD may determine in certain instances that a PHA is not required to accept incoming portable families, such as a PHA in a declared disaster area. However, the PHA must have approval in writing from HUD before refusing any incoming portable families [24 CFR 982.355(b)].</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175"/>
      </w:pPr>
      <w:r>
        <w:lastRenderedPageBreak/>
        <w:t>Administration of the voucher must be in accordance with the receiving PHA’s policies. This requirement also applies to policies of Moving to Work agencies. The receiving PHA procedures and preferences for selection among eligible applicants do not apply to the family, and the receiving PHA waiting list is not used [24 CFR 982.355(c)(10)].The family’s unit, or voucher, size is determined in accordance with the subsidy standards of the receiving PHA [24 CFR 982.355(c)(12)], and the receiving PHA’s policies on extensions of the voucher term apply [24 CFR 982.355(c)(14)].</w:t>
      </w:r>
    </w:p>
    <w:p w:rsidR="004E13A5" w:rsidRDefault="00681463">
      <w:pPr>
        <w:pStyle w:val="Heading4"/>
        <w:spacing w:before="139"/>
      </w:pPr>
      <w:r>
        <w:t>Responding to Initial PHA’s Request [24 CFR 982.355(c)]</w:t>
      </w:r>
    </w:p>
    <w:p w:rsidR="004E13A5" w:rsidRDefault="00681463">
      <w:pPr>
        <w:pStyle w:val="BodyText"/>
        <w:spacing w:before="120"/>
        <w:ind w:right="102"/>
      </w:pPr>
      <w:r>
        <w:t xml:space="preserve">The receiving PHA must respond via email or other confirmed delivery method to the initial PHA’s inquiry to determine whether the family’s voucher will be billed or absorbed </w:t>
      </w:r>
      <w:r>
        <w:rPr>
          <w:b/>
        </w:rPr>
        <w:t xml:space="preserve">[24 CFR 982.355(c)(3)]. </w:t>
      </w:r>
      <w:r>
        <w:t>If the receiving PHA informs the initial PHA that it will be absorbing the voucher, the receiving PHA cannot reverse its decision at a later date without consent of the initial PHA (24 CFR 982.355(c)(4).</w:t>
      </w:r>
    </w:p>
    <w:p w:rsidR="004E13A5" w:rsidRDefault="00681463">
      <w:pPr>
        <w:pStyle w:val="BodyText"/>
        <w:spacing w:before="120"/>
        <w:ind w:left="820"/>
      </w:pPr>
      <w:r>
        <w:rPr>
          <w:u w:val="single"/>
        </w:rPr>
        <w:t>PHA Policy</w:t>
      </w:r>
    </w:p>
    <w:p w:rsidR="004E13A5" w:rsidRDefault="00681463">
      <w:pPr>
        <w:pStyle w:val="BodyText"/>
        <w:ind w:left="820" w:right="167"/>
      </w:pPr>
      <w:r>
        <w:t>The PHA will use email, when possible, to notify the initial PHA whether it will administer or absorb the family’s voucher.</w:t>
      </w:r>
    </w:p>
    <w:p w:rsidR="004E13A5" w:rsidRDefault="00681463">
      <w:pPr>
        <w:pStyle w:val="Heading4"/>
        <w:spacing w:before="119"/>
      </w:pPr>
      <w:bookmarkStart w:id="122" w:name="_TOC_250303"/>
      <w:bookmarkEnd w:id="122"/>
      <w:r>
        <w:t>Initial Contact with Family</w:t>
      </w:r>
    </w:p>
    <w:p w:rsidR="004E13A5" w:rsidRDefault="00681463">
      <w:pPr>
        <w:pStyle w:val="BodyText"/>
      </w:pPr>
      <w:r>
        <w:t>When a family moves into the PHA’s jurisdiction under portability, the family is responsible for promptly contacting the PHA and complying with the PHA’s procedures for incoming portable families. The family’s failure to comply may result in denial or termination of the receiving PHA’s voucher [24 CFR 982.355(c)(8)].</w:t>
      </w:r>
    </w:p>
    <w:p w:rsidR="004E13A5" w:rsidRDefault="00681463">
      <w:pPr>
        <w:pStyle w:val="BodyText"/>
        <w:ind w:right="117"/>
      </w:pPr>
      <w:r>
        <w:t>If the voucher issued to the family by the initial PHA has expired, the receiving PHA must contact the initial PHA to determine if it will extend the voucher [24 CFR 982.355(c)(13)]. An informal hearing is not required hen a voucher has expired without the family leasing a unit. If for any reason the receiving PHA refuses to process or provide assistance to a family under the portability procedures, the family must be given the opportunity for an informal review or hearing [Notice</w:t>
      </w:r>
      <w:r>
        <w:rPr>
          <w:spacing w:val="-17"/>
        </w:rPr>
        <w:t xml:space="preserve"> </w:t>
      </w:r>
      <w:r>
        <w:t>PIH 2016-09]. (For more on this topic, see later under “Denial or Termination of</w:t>
      </w:r>
      <w:r>
        <w:rPr>
          <w:spacing w:val="-11"/>
        </w:rPr>
        <w:t xml:space="preserve"> </w:t>
      </w:r>
      <w:r>
        <w:t>Assistance.”)</w:t>
      </w:r>
    </w:p>
    <w:p w:rsidR="004E13A5" w:rsidRDefault="00681463">
      <w:pPr>
        <w:pStyle w:val="Heading4"/>
        <w:spacing w:before="119"/>
      </w:pPr>
      <w:bookmarkStart w:id="123" w:name="_TOC_250302"/>
      <w:bookmarkEnd w:id="123"/>
      <w:r>
        <w:t>Briefing</w:t>
      </w:r>
    </w:p>
    <w:p w:rsidR="004E13A5" w:rsidRDefault="00681463">
      <w:pPr>
        <w:pStyle w:val="BodyText"/>
      </w:pPr>
      <w:r>
        <w:t>HUD allows the receiving PHA to require a briefing for an incoming portable family as long as the requirement does not unduly delay the family’s search [Notice PIH 2016-09].</w:t>
      </w:r>
    </w:p>
    <w:p w:rsidR="004E13A5" w:rsidRDefault="00681463">
      <w:pPr>
        <w:pStyle w:val="BodyText"/>
        <w:ind w:left="820"/>
      </w:pPr>
      <w:r>
        <w:rPr>
          <w:u w:val="single"/>
        </w:rPr>
        <w:t>PHA Policy</w:t>
      </w:r>
    </w:p>
    <w:p w:rsidR="004E13A5" w:rsidRDefault="00681463">
      <w:pPr>
        <w:pStyle w:val="BodyText"/>
        <w:ind w:left="820" w:right="100"/>
      </w:pPr>
      <w:r>
        <w:t>The PHA will not require the family to attend a briefing. The PHA will provide the family with a briefing packet (as described in Chapter 5) and, in an individual briefing, will orally inform the family about the PHA’s payment and subsidy standards, procedures for requesting approval of a unit, the unit inspection process, and the leasing process. The PHA will suggest that the family attend a full briefing at a later date.</w:t>
      </w:r>
    </w:p>
    <w:p w:rsidR="004E13A5" w:rsidRDefault="00681463">
      <w:pPr>
        <w:pStyle w:val="Heading4"/>
        <w:spacing w:before="119"/>
      </w:pPr>
      <w:bookmarkStart w:id="124" w:name="_TOC_250301"/>
      <w:bookmarkEnd w:id="124"/>
      <w:r>
        <w:t>Income Eligibility and Reexamination</w:t>
      </w:r>
    </w:p>
    <w:p w:rsidR="004E13A5" w:rsidRDefault="00681463">
      <w:pPr>
        <w:pStyle w:val="BodyText"/>
        <w:ind w:right="182"/>
      </w:pPr>
      <w:r>
        <w:t>The receiving PHA does not re-determine eligibility for a portable family that was already receiving assistance in the initial PHA’s voucher program [24 CFR 982.355(c)(9)]. If the receiving PHA opts to conduct a new reexamination for a current participant family, the receiving PHA may not delay issuing the family a voucher or otherwise delay approval of a unit [24 CFR 982.355(c)(11)].</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135"/>
      </w:pPr>
      <w:r>
        <w:t>For any family moving into its jurisdiction under portability, the PHA will conduct a new reexamination of family income and composition. However, the PHA will not delay issuing the family a voucher for this reason. Nor will the PHA delay approving a unit for the family until the reexamination process is complete unless the family is an applicant and the PHA cannot otherwise confirm that the family is income eligible for admission to the program in the area where the unit is located.</w:t>
      </w:r>
    </w:p>
    <w:p w:rsidR="004E13A5" w:rsidRDefault="00681463">
      <w:pPr>
        <w:pStyle w:val="BodyText"/>
        <w:ind w:left="820" w:right="100"/>
      </w:pPr>
      <w:r>
        <w:t>In conducting its own reexamination, the PHA will rely upon any verifications provided by the initial PHA to the extent that they (a) accurately reflect the family’s current circumstances and (b) were obtained within the last 120 days. Any new information may be verified by documents provided by the family and adjusted, if necessary, when third party verification is received.</w:t>
      </w:r>
    </w:p>
    <w:p w:rsidR="004E13A5" w:rsidRDefault="00681463">
      <w:pPr>
        <w:pStyle w:val="Heading4"/>
        <w:spacing w:before="119"/>
      </w:pPr>
      <w:bookmarkStart w:id="125" w:name="_TOC_250300"/>
      <w:bookmarkEnd w:id="125"/>
      <w:r>
        <w:t>Voucher Issuance</w:t>
      </w:r>
    </w:p>
    <w:p w:rsidR="004E13A5" w:rsidRDefault="00681463">
      <w:pPr>
        <w:pStyle w:val="BodyText"/>
        <w:spacing w:before="120"/>
        <w:ind w:right="255"/>
      </w:pPr>
      <w:r>
        <w:t>When a family moves into its jurisdiction under portability, the receiving PHA is required to issue the family a voucher [24 CFR 982.355(c)(13)]. The family must submit a request for tenancy approval to the receiving PHA during the term of the receiving PHA’s voucher [24 CFR 982.355(c)(15)].</w:t>
      </w:r>
    </w:p>
    <w:p w:rsidR="004E13A5" w:rsidRDefault="00681463">
      <w:pPr>
        <w:pStyle w:val="Heading5"/>
      </w:pPr>
      <w:r>
        <w:t>Timing of Voucher Issuance</w:t>
      </w:r>
    </w:p>
    <w:p w:rsidR="004E13A5" w:rsidRDefault="00681463">
      <w:pPr>
        <w:pStyle w:val="BodyText"/>
        <w:ind w:right="142"/>
      </w:pPr>
      <w:r>
        <w:t>HUD expects the receiving PHA to issue the voucher within two weeks after receiving the family’s paperwork from the initial PHA if the information is in order, the family has contacted the receiving PHA, and the family complies with the receiving PHA’s procedures [Notice PIH 2016- 09].</w:t>
      </w:r>
    </w:p>
    <w:p w:rsidR="004E13A5" w:rsidRDefault="00681463">
      <w:pPr>
        <w:pStyle w:val="BodyText"/>
        <w:ind w:left="820"/>
      </w:pPr>
      <w:r>
        <w:rPr>
          <w:u w:val="single"/>
        </w:rPr>
        <w:t>PHA Policy</w:t>
      </w:r>
    </w:p>
    <w:p w:rsidR="004E13A5" w:rsidRDefault="00681463">
      <w:pPr>
        <w:pStyle w:val="BodyText"/>
        <w:ind w:left="820" w:right="129"/>
      </w:pPr>
      <w:r>
        <w:t>When a family ports into its jurisdiction, the PHA will issue the family a voucher based on the paperwork provided by the initial PHA unless the family’s paperwork from the initial PHA is incomplete, the family’s voucher from the initial PHA has expired or the family does not comply with the PHA’s procedures. The PHA will update the family’s information when verification has been completed.</w:t>
      </w:r>
    </w:p>
    <w:p w:rsidR="004E13A5" w:rsidRDefault="00681463">
      <w:pPr>
        <w:pStyle w:val="Heading5"/>
      </w:pPr>
      <w:r>
        <w:t>Voucher Term</w:t>
      </w:r>
    </w:p>
    <w:p w:rsidR="004E13A5" w:rsidRDefault="00681463">
      <w:pPr>
        <w:pStyle w:val="BodyText"/>
        <w:ind w:right="508"/>
      </w:pPr>
      <w:r>
        <w:t>The term of the receiving PHA’s voucher may not expire before 30 calendar days from the expiration of the initial PHA’s voucher [24 CFR 982.355(c)(13)]. If the initial PHA extends the term of the voucher, the receiving PHA’s voucher may not expire before 30 days from the new expiration date of the initial PHA’s voucher [Notice PIH 2016-09]</w:t>
      </w:r>
    </w:p>
    <w:p w:rsidR="004E13A5" w:rsidRDefault="00681463">
      <w:pPr>
        <w:pStyle w:val="BodyText"/>
        <w:ind w:left="820"/>
      </w:pPr>
      <w:r>
        <w:rPr>
          <w:u w:val="single"/>
        </w:rPr>
        <w:t>PHA Policy</w:t>
      </w:r>
    </w:p>
    <w:p w:rsidR="004E13A5" w:rsidRDefault="00681463">
      <w:pPr>
        <w:pStyle w:val="BodyText"/>
        <w:spacing w:before="120"/>
        <w:ind w:left="820" w:right="336"/>
      </w:pPr>
      <w:r>
        <w:t>The receiving PHA’s voucher will expire 30 calendar days from the expiration date of the initial PHA’s voucher. If the initial PHA extends the term of the voucher, the receiving PHA’s voucher will expire 30 calendar days from the new expiration date of the initial PHA’s voucher.</w:t>
      </w:r>
    </w:p>
    <w:p w:rsidR="004E13A5" w:rsidRDefault="00681463">
      <w:pPr>
        <w:pStyle w:val="Heading5"/>
      </w:pPr>
      <w:r>
        <w:t>Voucher Extensions [24 CFR 982.355(c)(14), Notice 2016-09]</w:t>
      </w:r>
    </w:p>
    <w:p w:rsidR="004E13A5" w:rsidRDefault="00681463">
      <w:pPr>
        <w:pStyle w:val="BodyText"/>
      </w:pPr>
      <w:r>
        <w:t>Once the receiving PHA issues the portable family a voucher, the receiving PHA’s policies on extensions of the voucher term apply. The receiving PHA must inform the initial PHA of any extension granted to the term of the voucher. It must also bear in mind the billing deadline provided</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pPr>
      <w:r>
        <w:lastRenderedPageBreak/>
        <w:t>by the initial PHA. Unless willing and able to absorb the family, the receiving PHA should ensure that any voucher expiration date would leave sufficient time to process a request for tenancy approval, execute a HAP contract, and deliver the initial billing to the initial PHA.</w:t>
      </w:r>
    </w:p>
    <w:p w:rsidR="004E13A5" w:rsidRDefault="00681463">
      <w:pPr>
        <w:pStyle w:val="BodyText"/>
        <w:spacing w:before="120"/>
        <w:ind w:left="820"/>
      </w:pPr>
      <w:r>
        <w:rPr>
          <w:u w:val="single"/>
        </w:rPr>
        <w:t>PHA Policy</w:t>
      </w:r>
    </w:p>
    <w:p w:rsidR="004E13A5" w:rsidRDefault="00681463">
      <w:pPr>
        <w:pStyle w:val="BodyText"/>
        <w:spacing w:before="120"/>
        <w:ind w:left="820" w:right="361"/>
      </w:pPr>
      <w:r>
        <w:t>The PHA generally will not extend the term of the voucher that it issues to an incoming portable family unless the PHA plans to absorb the family into its own program, in which case it will follow the policies on voucher extension set forth in section 5-II.E.</w:t>
      </w:r>
    </w:p>
    <w:p w:rsidR="004E13A5" w:rsidRDefault="00681463">
      <w:pPr>
        <w:pStyle w:val="BodyText"/>
        <w:spacing w:before="120"/>
        <w:ind w:left="820" w:right="629"/>
      </w:pPr>
      <w:r>
        <w:t>The PHA will consider an exception to this policy as a reasonable accommodation to a person with disabilities (see Chapter 2).</w:t>
      </w:r>
    </w:p>
    <w:p w:rsidR="004E13A5" w:rsidRDefault="00681463">
      <w:pPr>
        <w:pStyle w:val="Heading5"/>
        <w:spacing w:before="120"/>
      </w:pPr>
      <w:r>
        <w:t>Voucher Suspensions [24 CFR 982.303, 24 CFR 982.355(c)(15)]</w:t>
      </w:r>
    </w:p>
    <w:p w:rsidR="004E13A5" w:rsidRDefault="00681463">
      <w:pPr>
        <w:pStyle w:val="BodyText"/>
        <w:spacing w:before="120"/>
        <w:ind w:right="322"/>
      </w:pPr>
      <w:r>
        <w:t>If the family submits a request for tenancy approval during the term of the receiving PHA’s voucher, the PHA must suspend the term of that voucher. The term of the voucher stops from the date that the family submits a request for PHA approval of the tenancy until the date the PHA notifies the family in writing whether the request has been approved or denied [24 CFR 982.4(b)] (see Section 5-II.E).</w:t>
      </w:r>
    </w:p>
    <w:p w:rsidR="004E13A5" w:rsidRDefault="00681463">
      <w:pPr>
        <w:pStyle w:val="Heading4"/>
        <w:spacing w:before="120"/>
      </w:pPr>
      <w:bookmarkStart w:id="126" w:name="_TOC_250299"/>
      <w:bookmarkEnd w:id="126"/>
      <w:r>
        <w:t>Notifying the Initial PHA</w:t>
      </w:r>
    </w:p>
    <w:p w:rsidR="004E13A5" w:rsidRDefault="00681463">
      <w:pPr>
        <w:pStyle w:val="BodyText"/>
        <w:spacing w:before="120"/>
        <w:ind w:right="155"/>
      </w:pPr>
      <w:r>
        <w:t>The receiving PHA must promptly notify the initial PHA if the family has leased an eligible unit under the program or if the family fails to submit a request for tenancy approval for an eligible unit within the term of the receiving PHA’s voucher [24 CFR 982.355(c)(16)]. The receiving PHA is required to use Part II of form HUD-52665, Family Portability Information, for this purpose [Notice PIH 2016-09]. (For more on this topic and the deadline for notification, see below under “Administering a Portable Family’s Voucher.”)</w:t>
      </w:r>
    </w:p>
    <w:p w:rsidR="004E13A5" w:rsidRDefault="00681463">
      <w:pPr>
        <w:pStyle w:val="BodyText"/>
        <w:spacing w:before="120"/>
        <w:ind w:right="95"/>
      </w:pPr>
      <w:r>
        <w:t>If an incoming portable family ultimately decides not to lease in the jurisdiction of the receiving PHA but instead wishes to return to the initial PHA’s jurisdiction or to search in another jurisdiction, the receiving PHA must refer the family back to the initial PHA. In such a case the voucher of record for the family is once again the voucher originally issued by the initial PHA. Any extension of search time provided by the receiving PHA’s voucher is only valid for the family’s search in the receiving PHA’s jurisdiction [Notice PIH 2016-09].</w:t>
      </w:r>
    </w:p>
    <w:p w:rsidR="004E13A5" w:rsidRDefault="00681463">
      <w:pPr>
        <w:pStyle w:val="Heading4"/>
        <w:spacing w:before="120"/>
      </w:pPr>
      <w:bookmarkStart w:id="127" w:name="_TOC_250298"/>
      <w:bookmarkEnd w:id="127"/>
      <w:r>
        <w:t>Administering a Portable Family’s Voucher</w:t>
      </w:r>
    </w:p>
    <w:p w:rsidR="004E13A5" w:rsidRDefault="00681463">
      <w:pPr>
        <w:pStyle w:val="Heading5"/>
        <w:spacing w:before="120"/>
      </w:pPr>
      <w:r>
        <w:t>Portability Billing [24 CFR 982.355(e)]</w:t>
      </w:r>
    </w:p>
    <w:p w:rsidR="004E13A5" w:rsidRDefault="00681463">
      <w:pPr>
        <w:pStyle w:val="BodyText"/>
        <w:spacing w:before="120"/>
        <w:ind w:right="134"/>
      </w:pPr>
      <w:r>
        <w:t>To cover assistance for a portable family that was not absorbed, the receiving PHA bills the initial PHA for housing assistance payments and administrative fees. The amount of the housing assistance payment for a portable family in the receiving PHA’s program is determined in the same manner as for other families in the receiving PHA’s program.</w:t>
      </w:r>
    </w:p>
    <w:p w:rsidR="004E13A5" w:rsidRDefault="00681463">
      <w:pPr>
        <w:pStyle w:val="BodyText"/>
        <w:spacing w:before="120"/>
        <w:ind w:right="183"/>
      </w:pPr>
      <w:r>
        <w:t>The receiving PHA may bill the initial PHA for the lesser of 80 percent of the initial PHA’s ongoing administrative fee or 100 percent of the receiving PHA’s ongoing administrative fee for each program unit under contract on the first day of the month for which the receiving PHA is billing the initial PHA under portability. If the administrative fees are prorated for the HCV program, the proration will apply to the amount of the administrative fee for which the receiving PHA may bill (i.e., the receiving PHA may bill for the lesser of 80 percent of the initial PHA’s prorated ongoing administrative fee or 100 percent of the receiving PHA’s ongoing administrative fee).</w:t>
      </w:r>
    </w:p>
    <w:p w:rsidR="004E13A5" w:rsidRDefault="00681463">
      <w:pPr>
        <w:pStyle w:val="BodyText"/>
      </w:pPr>
      <w:r>
        <w:t>If both PHAs agree, the PHAs may negotiate a different amount of reimbursement.</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81"/>
      </w:pPr>
      <w:r>
        <w:t>Unless the PHA negotiates a different amount of reimbursement with the initial PHA, the PHA will bill the initial PHA the maximum amount of administrative fees allowed, ensuring any administrative fee proration has been properly applied.</w:t>
      </w:r>
    </w:p>
    <w:p w:rsidR="004E13A5" w:rsidRDefault="00681463">
      <w:pPr>
        <w:pStyle w:val="Heading5"/>
      </w:pPr>
      <w:r>
        <w:t>Initial Billing Deadline</w:t>
      </w:r>
    </w:p>
    <w:p w:rsidR="004E13A5" w:rsidRDefault="00681463">
      <w:pPr>
        <w:pStyle w:val="BodyText"/>
        <w:ind w:right="109"/>
      </w:pPr>
      <w:r>
        <w:t>If a portable family’s search for a unit is successful and the receiving PHA intends to administer</w:t>
      </w:r>
      <w:r>
        <w:rPr>
          <w:spacing w:val="-17"/>
        </w:rPr>
        <w:t xml:space="preserve"> </w:t>
      </w:r>
      <w:r>
        <w:t xml:space="preserve">the family’s voucher, the receiving PHA must submit its initial billing notice (Part II of form HUD- 52665) in time that the notice will be </w:t>
      </w:r>
      <w:r>
        <w:rPr>
          <w:b/>
        </w:rPr>
        <w:t xml:space="preserve">received </w:t>
      </w:r>
      <w:r>
        <w:t>no later than 90 days following the expiration date of the family’s voucher issued by the initial PHA [Notice PIH 2017-09]. This deadline may be extended for 30 additional days if the delay is due to suspension of the voucher’s term (see Initial Billing Section) A copy of the family’s form HUD-50058, Family Report, completed by the receiving PHA must be attached to the initial billing notice. The receiving PHA may send these documents by mail, fax, or</w:t>
      </w:r>
      <w:r>
        <w:rPr>
          <w:spacing w:val="-3"/>
        </w:rPr>
        <w:t xml:space="preserve"> </w:t>
      </w:r>
      <w:r>
        <w:t>email.</w:t>
      </w:r>
    </w:p>
    <w:p w:rsidR="004E13A5" w:rsidRDefault="00681463">
      <w:pPr>
        <w:pStyle w:val="BodyText"/>
        <w:spacing w:before="120"/>
        <w:ind w:left="820"/>
      </w:pPr>
      <w:r>
        <w:rPr>
          <w:u w:val="single"/>
        </w:rPr>
        <w:t>PHA Policy</w:t>
      </w:r>
    </w:p>
    <w:p w:rsidR="004E13A5" w:rsidRDefault="00681463">
      <w:pPr>
        <w:pStyle w:val="BodyText"/>
        <w:ind w:left="820" w:right="221"/>
      </w:pPr>
      <w:r>
        <w:t>The PHA will send its initial billing notice by fax or email, if necessary, to meet the billing deadline but will also send the notice by regular mail.</w:t>
      </w:r>
    </w:p>
    <w:p w:rsidR="004E13A5" w:rsidRDefault="00681463">
      <w:pPr>
        <w:pStyle w:val="BodyText"/>
        <w:ind w:right="82"/>
      </w:pPr>
      <w:r>
        <w:t>If the receiving PHA fails to send the initial billing by the deadline, it is required to absorb the family into its own program unless (a) the initial PHA is willing to accept the late submission or (b) HUD requires the initial PHA to honor the late submission (e.g., because the receiving PHA is over leased) [Notice PIH 2016-09].</w:t>
      </w:r>
    </w:p>
    <w:p w:rsidR="004E13A5" w:rsidRDefault="00681463">
      <w:pPr>
        <w:pStyle w:val="Heading5"/>
      </w:pPr>
      <w:r>
        <w:t>Ongoing Notification Responsibilities [Notice PIH 2016-09, HUD-52665]</w:t>
      </w:r>
    </w:p>
    <w:p w:rsidR="004E13A5" w:rsidRDefault="00681463">
      <w:pPr>
        <w:pStyle w:val="BodyText"/>
        <w:ind w:right="183"/>
      </w:pPr>
      <w:r>
        <w:rPr>
          <w:b/>
        </w:rPr>
        <w:t xml:space="preserve">Annual Reexamination. </w:t>
      </w:r>
      <w:r>
        <w:t>The receiving PHA must send the initial PHA a copy of a portable family’s updated form HUD-50058 after each annual reexamination for the duration of time the receiving PHA is billing the initial PHA on behalf of the family, regardless of whether there is a change in the billing amount.</w:t>
      </w:r>
    </w:p>
    <w:p w:rsidR="004E13A5" w:rsidRDefault="00681463">
      <w:pPr>
        <w:pStyle w:val="BodyText"/>
        <w:ind w:left="820"/>
      </w:pPr>
      <w:r>
        <w:rPr>
          <w:u w:val="single"/>
        </w:rPr>
        <w:t>PHA Policy</w:t>
      </w:r>
    </w:p>
    <w:p w:rsidR="004E13A5" w:rsidRDefault="00681463">
      <w:pPr>
        <w:pStyle w:val="BodyText"/>
        <w:ind w:left="820" w:right="642"/>
        <w:rPr>
          <w:rFonts w:ascii="Arial"/>
        </w:rPr>
      </w:pPr>
      <w:r>
        <w:t>The PHA will send a copy of the updated HUD-50058 by regular mail no later than 10 business days after the effective date of the reexamination</w:t>
      </w:r>
      <w:r>
        <w:rPr>
          <w:rFonts w:ascii="Arial"/>
        </w:rPr>
        <w:t>.</w:t>
      </w:r>
    </w:p>
    <w:p w:rsidR="004E13A5" w:rsidRDefault="00681463">
      <w:pPr>
        <w:pStyle w:val="BodyText"/>
        <w:spacing w:before="117"/>
        <w:ind w:right="387"/>
      </w:pPr>
      <w:r>
        <w:rPr>
          <w:b/>
        </w:rPr>
        <w:t xml:space="preserve">Change in Billing Amount. </w:t>
      </w:r>
      <w:r>
        <w:t>The receiving PHA is required to notify the initial PHA, using form HUD-52665, of any change in the billing amount for the family as a result of:</w:t>
      </w:r>
    </w:p>
    <w:p w:rsidR="004E13A5" w:rsidRDefault="00681463">
      <w:pPr>
        <w:pStyle w:val="BodyText"/>
        <w:tabs>
          <w:tab w:val="left" w:pos="460"/>
        </w:tabs>
        <w:ind w:left="460" w:right="250" w:hanging="360"/>
      </w:pPr>
      <w:r>
        <w:rPr>
          <w:rFonts w:ascii="Symbol" w:hAnsi="Symbol"/>
        </w:rPr>
        <w:t></w:t>
      </w:r>
      <w:r>
        <w:tab/>
        <w:t>A change in the HAP amount (because of a reexamination, a change in the</w:t>
      </w:r>
      <w:r>
        <w:rPr>
          <w:spacing w:val="-16"/>
        </w:rPr>
        <w:t xml:space="preserve"> </w:t>
      </w:r>
      <w:r>
        <w:t>applicable</w:t>
      </w:r>
      <w:r>
        <w:rPr>
          <w:spacing w:val="-1"/>
        </w:rPr>
        <w:t xml:space="preserve"> </w:t>
      </w:r>
      <w:r>
        <w:t>payment standard, a move to another unit,</w:t>
      </w:r>
      <w:r>
        <w:rPr>
          <w:spacing w:val="-7"/>
        </w:rPr>
        <w:t xml:space="preserve"> </w:t>
      </w:r>
      <w:r>
        <w:t>etc.)</w:t>
      </w:r>
    </w:p>
    <w:p w:rsidR="004E13A5" w:rsidRDefault="00681463">
      <w:pPr>
        <w:pStyle w:val="BodyText"/>
        <w:tabs>
          <w:tab w:val="left" w:pos="460"/>
        </w:tabs>
      </w:pPr>
      <w:r>
        <w:rPr>
          <w:rFonts w:ascii="Symbol" w:hAnsi="Symbol"/>
        </w:rPr>
        <w:t></w:t>
      </w:r>
      <w:r>
        <w:tab/>
        <w:t>An abatement or subsequent resumption of the HAP</w:t>
      </w:r>
      <w:r>
        <w:rPr>
          <w:spacing w:val="-10"/>
        </w:rPr>
        <w:t xml:space="preserve"> </w:t>
      </w:r>
      <w:r>
        <w:t>payments</w:t>
      </w:r>
    </w:p>
    <w:p w:rsidR="004E13A5" w:rsidRDefault="00681463">
      <w:pPr>
        <w:pStyle w:val="BodyText"/>
        <w:tabs>
          <w:tab w:val="left" w:pos="460"/>
        </w:tabs>
      </w:pPr>
      <w:r>
        <w:rPr>
          <w:rFonts w:ascii="Symbol" w:hAnsi="Symbol"/>
        </w:rPr>
        <w:t></w:t>
      </w:r>
      <w:r>
        <w:tab/>
        <w:t>Termination of the HAP</w:t>
      </w:r>
      <w:r>
        <w:rPr>
          <w:spacing w:val="-7"/>
        </w:rPr>
        <w:t xml:space="preserve"> </w:t>
      </w:r>
      <w:r>
        <w:t>contract</w:t>
      </w:r>
    </w:p>
    <w:p w:rsidR="004E13A5" w:rsidRDefault="00681463">
      <w:pPr>
        <w:pStyle w:val="BodyText"/>
        <w:tabs>
          <w:tab w:val="left" w:pos="460"/>
        </w:tabs>
        <w:spacing w:before="121"/>
      </w:pPr>
      <w:r>
        <w:rPr>
          <w:rFonts w:ascii="Symbol" w:hAnsi="Symbol"/>
        </w:rPr>
        <w:t></w:t>
      </w:r>
      <w:r>
        <w:tab/>
        <w:t>Payment of a damage/vacancy loss claim for the</w:t>
      </w:r>
      <w:r>
        <w:rPr>
          <w:spacing w:val="-9"/>
        </w:rPr>
        <w:t xml:space="preserve"> </w:t>
      </w:r>
      <w:r>
        <w:t>family</w:t>
      </w:r>
    </w:p>
    <w:p w:rsidR="004E13A5" w:rsidRDefault="00681463">
      <w:pPr>
        <w:pStyle w:val="BodyText"/>
        <w:tabs>
          <w:tab w:val="left" w:pos="460"/>
        </w:tabs>
        <w:spacing w:before="118"/>
      </w:pPr>
      <w:r>
        <w:rPr>
          <w:rFonts w:ascii="Symbol" w:hAnsi="Symbol"/>
        </w:rPr>
        <w:t></w:t>
      </w:r>
      <w:r>
        <w:tab/>
        <w:t>Termination of the family from the</w:t>
      </w:r>
      <w:r>
        <w:rPr>
          <w:spacing w:val="-10"/>
        </w:rPr>
        <w:t xml:space="preserve"> </w:t>
      </w:r>
      <w:r>
        <w:t>program</w:t>
      </w:r>
    </w:p>
    <w:p w:rsidR="004E13A5" w:rsidRDefault="00681463">
      <w:pPr>
        <w:pStyle w:val="BodyText"/>
        <w:spacing w:before="118"/>
        <w:ind w:right="108"/>
      </w:pPr>
      <w:r>
        <w:t>The timing of the notice of the change in the billing amount should correspond with the notification to the owner and the family in order to provide the initial PHA with advance notice of the change. Under no circumstances should the notification be later than 10 business days following the effective date of the change in the billing amount. If the receiving PHA fails to send Form HUD- 52665 within 10 days of effective date of billing changes, the initial PHA is not responsible for any</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123"/>
      </w:pPr>
      <w:r>
        <w:lastRenderedPageBreak/>
        <w:t>increase prior to notification. If the change resulted in a decrease in the monthly billing amount, the initial PHA will offset future monthly payments until the difference is reconciled.</w:t>
      </w:r>
    </w:p>
    <w:p w:rsidR="004E13A5" w:rsidRDefault="00681463">
      <w:pPr>
        <w:pStyle w:val="Heading5"/>
        <w:spacing w:before="120"/>
      </w:pPr>
      <w:r>
        <w:t>Late Payments [Notice PIH 2016-09]</w:t>
      </w:r>
    </w:p>
    <w:p w:rsidR="004E13A5" w:rsidRDefault="00681463">
      <w:pPr>
        <w:pStyle w:val="BodyText"/>
      </w:pPr>
      <w:r>
        <w:t>If the initial PHA fails to make a monthly payment for a portable family by the fifth business day of the month, the receiving PHA must promptly notify the initial PHA in writing of the deficiency.</w:t>
      </w:r>
    </w:p>
    <w:p w:rsidR="004E13A5" w:rsidRDefault="00681463">
      <w:pPr>
        <w:pStyle w:val="BodyText"/>
        <w:spacing w:before="0"/>
        <w:ind w:right="116"/>
      </w:pPr>
      <w:r>
        <w:t>The notice must identify the family, the amount of the billing payment, the date the billing payment was due, and the date the billing payment was received (if it arrived late). The receiving PHA must send a copy of the notification to the Office of Public Housing (OPH) in the HUD area office with jurisdiction over the receiving PHA. If the initial PHA fails to correct the problem by the second month following the notification, the receiving PHA may request by memorandum to the director of the OPH with jurisdiction over the receiving PHA that HUD transfer the unit in question. A</w:t>
      </w:r>
      <w:r>
        <w:rPr>
          <w:spacing w:val="-15"/>
        </w:rPr>
        <w:t xml:space="preserve"> </w:t>
      </w:r>
      <w:r>
        <w:t xml:space="preserve">copy of the initial notification and any subsequent correspondence between the PHAs on the matter must be attached. The receiving PHA must send a copy of the memorandum to the initial PHA. </w:t>
      </w:r>
      <w:r>
        <w:rPr>
          <w:spacing w:val="-3"/>
        </w:rPr>
        <w:t xml:space="preserve">If </w:t>
      </w:r>
      <w:r>
        <w:t>the OPH decides to grant the transfer, the billing arrangement on behalf of the family ceases with the transfer, but the initial PHA is still responsible for any outstanding payments due to the receiving PHA.</w:t>
      </w:r>
    </w:p>
    <w:p w:rsidR="004E13A5" w:rsidRDefault="00681463">
      <w:pPr>
        <w:pStyle w:val="Heading5"/>
        <w:spacing w:before="120"/>
      </w:pPr>
      <w:r>
        <w:t>Overpayments [Notice PIH 2016-09]</w:t>
      </w:r>
    </w:p>
    <w:p w:rsidR="004E13A5" w:rsidRDefault="00681463">
      <w:pPr>
        <w:pStyle w:val="BodyText"/>
        <w:ind w:right="202"/>
      </w:pPr>
      <w:r>
        <w:t>In all cases where the receiving PHA has received billing payments for billing arrangements no longer in effect, the receiving PHA is responsible for returning the full amount of the overpayment (including the portion provided for administrative fees) to the initial PHA.</w:t>
      </w:r>
    </w:p>
    <w:p w:rsidR="004E13A5" w:rsidRDefault="00681463">
      <w:pPr>
        <w:pStyle w:val="BodyText"/>
        <w:ind w:right="890"/>
        <w:jc w:val="both"/>
      </w:pPr>
      <w:r>
        <w:t>In the event that HUD determines billing payments have continued for at least three</w:t>
      </w:r>
      <w:r>
        <w:rPr>
          <w:spacing w:val="-17"/>
        </w:rPr>
        <w:t xml:space="preserve"> </w:t>
      </w:r>
      <w:r>
        <w:t>months because the receiving PHA failed to notify the initial PHA that the billing arrangement was terminated, the receiving PHA must take the following</w:t>
      </w:r>
      <w:r>
        <w:rPr>
          <w:spacing w:val="-14"/>
        </w:rPr>
        <w:t xml:space="preserve"> </w:t>
      </w:r>
      <w:r>
        <w:t>steps:</w:t>
      </w:r>
    </w:p>
    <w:p w:rsidR="004E13A5" w:rsidRDefault="00681463">
      <w:pPr>
        <w:pStyle w:val="BodyText"/>
        <w:tabs>
          <w:tab w:val="left" w:pos="460"/>
        </w:tabs>
        <w:ind w:left="460" w:right="413" w:hanging="360"/>
      </w:pPr>
      <w:r>
        <w:rPr>
          <w:rFonts w:ascii="Symbol" w:hAnsi="Symbol"/>
        </w:rPr>
        <w:t></w:t>
      </w:r>
      <w:r>
        <w:tab/>
        <w:t>Return the full amount of the overpayment, including the portion provided</w:t>
      </w:r>
      <w:r>
        <w:rPr>
          <w:spacing w:val="-13"/>
        </w:rPr>
        <w:t xml:space="preserve"> </w:t>
      </w:r>
      <w:r>
        <w:t>for</w:t>
      </w:r>
      <w:r>
        <w:rPr>
          <w:spacing w:val="-1"/>
        </w:rPr>
        <w:t xml:space="preserve"> </w:t>
      </w:r>
      <w:r>
        <w:t>administrative</w:t>
      </w:r>
      <w:r>
        <w:rPr>
          <w:w w:val="99"/>
        </w:rPr>
        <w:t xml:space="preserve"> </w:t>
      </w:r>
      <w:r>
        <w:t>fees, to the initial</w:t>
      </w:r>
      <w:r>
        <w:rPr>
          <w:spacing w:val="-5"/>
        </w:rPr>
        <w:t xml:space="preserve"> </w:t>
      </w:r>
      <w:r>
        <w:t>PHA.</w:t>
      </w:r>
    </w:p>
    <w:p w:rsidR="004E13A5" w:rsidRDefault="00681463">
      <w:pPr>
        <w:pStyle w:val="BodyText"/>
        <w:tabs>
          <w:tab w:val="left" w:pos="460"/>
        </w:tabs>
        <w:ind w:left="460" w:right="191" w:hanging="360"/>
      </w:pPr>
      <w:r>
        <w:rPr>
          <w:rFonts w:ascii="Symbol" w:hAnsi="Symbol"/>
        </w:rPr>
        <w:t></w:t>
      </w:r>
      <w:r>
        <w:tab/>
        <w:t>Once full payment has been returned, notify the Office of Public Housing in the</w:t>
      </w:r>
      <w:r>
        <w:rPr>
          <w:spacing w:val="-16"/>
        </w:rPr>
        <w:t xml:space="preserve"> </w:t>
      </w:r>
      <w:r>
        <w:t>HUD</w:t>
      </w:r>
      <w:r>
        <w:rPr>
          <w:spacing w:val="-1"/>
        </w:rPr>
        <w:t xml:space="preserve"> </w:t>
      </w:r>
      <w:r>
        <w:t>area office with jurisdiction over the receiving PHA of the date and the amount of reimbursement</w:t>
      </w:r>
      <w:r>
        <w:rPr>
          <w:spacing w:val="-17"/>
        </w:rPr>
        <w:t xml:space="preserve"> </w:t>
      </w:r>
      <w:r>
        <w:t>to the initial</w:t>
      </w:r>
      <w:r>
        <w:rPr>
          <w:spacing w:val="-2"/>
        </w:rPr>
        <w:t xml:space="preserve"> </w:t>
      </w:r>
      <w:r>
        <w:t>PHA.</w:t>
      </w:r>
    </w:p>
    <w:p w:rsidR="004E13A5" w:rsidRDefault="00681463">
      <w:pPr>
        <w:pStyle w:val="BodyText"/>
        <w:ind w:right="242"/>
      </w:pPr>
      <w:r>
        <w:t>At HUD’s discretion, the receiving PHA will be subject to the sanctions spelled out in Notice PIH 2016-09.</w:t>
      </w:r>
    </w:p>
    <w:p w:rsidR="004E13A5" w:rsidRDefault="00681463">
      <w:pPr>
        <w:pStyle w:val="Heading5"/>
      </w:pPr>
      <w:r>
        <w:t>Denial or Termination of Assistance</w:t>
      </w:r>
    </w:p>
    <w:p w:rsidR="004E13A5" w:rsidRDefault="00681463">
      <w:pPr>
        <w:pStyle w:val="BodyText"/>
      </w:pPr>
      <w:r>
        <w:t>At any time, the receiving PHA may make a determination to deny or terminate assistance to a portable family for family action or inaction [24 CFR 982.355(c)(17)].</w:t>
      </w:r>
    </w:p>
    <w:p w:rsidR="004E13A5" w:rsidRDefault="00681463">
      <w:pPr>
        <w:pStyle w:val="BodyText"/>
        <w:ind w:right="88"/>
      </w:pPr>
      <w:r>
        <w:t>In the case of a termination, the PHA should provide adequate notice of the effective date to the initial PHA to avoid having to return a payment. In no event should the receiving PHA fail to notify the initial PHA later than 10 business days following the effective date of the termination of the billing arrangement [HUD-52665; Notice PIH 2016-09].</w:t>
      </w:r>
    </w:p>
    <w:p w:rsidR="004E13A5" w:rsidRDefault="00681463">
      <w:pPr>
        <w:pStyle w:val="BodyText"/>
        <w:ind w:left="820"/>
      </w:pPr>
      <w:r>
        <w:rPr>
          <w:u w:val="single"/>
        </w:rPr>
        <w:t>PHA Policy</w:t>
      </w:r>
    </w:p>
    <w:p w:rsidR="004E13A5" w:rsidRDefault="00681463">
      <w:pPr>
        <w:pStyle w:val="BodyText"/>
        <w:ind w:left="820" w:right="100"/>
      </w:pPr>
      <w:r>
        <w:t>If the PHA elects to deny or terminate assistance for a portable family, the PHA will notify the initial PHA within 10 business days after the informal review or hearing if the denial or termination is upheld. The PHA will base its denial or termination decision on the policies set forth in Chapter 3 or Chapter 12, respectively. The informal review or hearing will be</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right="635"/>
      </w:pPr>
      <w:r>
        <w:lastRenderedPageBreak/>
        <w:t>held in accordance with the policies in Chapter 16. The receiving PHA will furnish the initial PHA with a copy of the review or hearing decision.</w:t>
      </w:r>
    </w:p>
    <w:p w:rsidR="004E13A5" w:rsidRDefault="00681463">
      <w:pPr>
        <w:pStyle w:val="Heading4"/>
        <w:spacing w:before="120"/>
      </w:pPr>
      <w:bookmarkStart w:id="128" w:name="_TOC_250297"/>
      <w:bookmarkEnd w:id="128"/>
      <w:r>
        <w:t>Absorbing a Portable Family</w:t>
      </w:r>
    </w:p>
    <w:p w:rsidR="004E13A5" w:rsidRDefault="00681463">
      <w:pPr>
        <w:pStyle w:val="BodyText"/>
        <w:ind w:right="108"/>
      </w:pPr>
      <w:r>
        <w:t>The receiving PHA may absorb an incoming portable family into its own program when the PHA executes a HAP contract on behalf of the family or at any time thereafter providing that the PHA has funding available under its annual contributions contract (ACC) [24 CFR 982.355(d)(1), Notice PIH 2016-09].</w:t>
      </w:r>
    </w:p>
    <w:p w:rsidR="004E13A5" w:rsidRDefault="00681463">
      <w:pPr>
        <w:pStyle w:val="BodyText"/>
      </w:pPr>
      <w:r>
        <w:t>If the receiving PHA absorbs a family from the point of admission, the admission will be counted against the income targeting obligation of the receiving PHA [24 CFR 982.201(b)(2)(vii)].</w:t>
      </w:r>
    </w:p>
    <w:p w:rsidR="004E13A5" w:rsidRDefault="00681463">
      <w:pPr>
        <w:pStyle w:val="BodyText"/>
        <w:ind w:right="195"/>
      </w:pPr>
      <w:r>
        <w:t>If the receiving PHA absorbs a family after providing assistance for the family under a billing arrangement with the initial PHA, the receiving PHA must send an updated form HUD-52665 to the initial PHA no later than 10 business days following the effective date of the termination of the billing arrangement [Notice PIH 2016-09].</w:t>
      </w:r>
    </w:p>
    <w:p w:rsidR="004E13A5" w:rsidRDefault="00681463">
      <w:pPr>
        <w:pStyle w:val="BodyText"/>
        <w:ind w:left="820"/>
      </w:pPr>
      <w:r>
        <w:rPr>
          <w:u w:val="single"/>
        </w:rPr>
        <w:t>PHA Policy</w:t>
      </w:r>
    </w:p>
    <w:p w:rsidR="004E13A5" w:rsidRDefault="00681463">
      <w:pPr>
        <w:pStyle w:val="BodyText"/>
        <w:ind w:left="820"/>
      </w:pPr>
      <w:r>
        <w:t>If the PHA decides to absorb a portable family upon the execution of a HAP contract on behalf of the family, the PHA will notify the initial PHA by the initial billing deadline specified on form HUD-52665. The effective date of the HAP contract will be the effective date of the absorption.</w:t>
      </w:r>
    </w:p>
    <w:p w:rsidR="004E13A5" w:rsidRDefault="00681463">
      <w:pPr>
        <w:pStyle w:val="BodyText"/>
        <w:ind w:left="820" w:right="183"/>
      </w:pPr>
      <w:r>
        <w:t>If the PHA decides to absorb a family after that, it will provide the initial PHA with 30 days’ advance notice, but no later than 10 business days following the effective date of the termination of the billing arrangement.</w:t>
      </w:r>
    </w:p>
    <w:p w:rsidR="004E13A5" w:rsidRDefault="00681463">
      <w:pPr>
        <w:pStyle w:val="BodyText"/>
        <w:ind w:right="88"/>
      </w:pPr>
      <w:r>
        <w:t>Following the absorption of an incoming portable family, the family is assisted with funds available under the consolidated ACC for the receiving PHA’s voucher program [24 CFR 982.355(d)], and the receiving PHA becomes the initial PHA in any subsequent moves by the family under portability [24 CFR 982.355(e)(4)].</w:t>
      </w:r>
    </w:p>
    <w:p w:rsidR="004E13A5" w:rsidRDefault="004E13A5">
      <w:pPr>
        <w:sectPr w:rsidR="004E13A5">
          <w:pgSz w:w="12240" w:h="15840"/>
          <w:pgMar w:top="1000" w:right="1220" w:bottom="1240" w:left="1220" w:header="0" w:footer="1023"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14"/>
      </w:pPr>
      <w:r>
        <w:rPr>
          <w:spacing w:val="-1"/>
        </w:rPr>
        <w:t>INTRODUCTION</w:t>
      </w:r>
    </w:p>
    <w:p w:rsidR="004E13A5" w:rsidRDefault="00681463">
      <w:pPr>
        <w:pStyle w:val="Heading4"/>
        <w:spacing w:before="79" w:line="448" w:lineRule="auto"/>
        <w:ind w:right="2204" w:firstLine="549"/>
      </w:pPr>
      <w:bookmarkStart w:id="129" w:name="_TOC_250296"/>
      <w:r>
        <w:rPr>
          <w:b w:val="0"/>
        </w:rPr>
        <w:br w:type="column"/>
      </w:r>
      <w:r>
        <w:t xml:space="preserve">Chapter 11 </w:t>
      </w:r>
      <w:bookmarkEnd w:id="129"/>
      <w:r>
        <w:rPr>
          <w:w w:val="95"/>
        </w:rPr>
        <w:t>REEXAMINATIONS</w:t>
      </w:r>
    </w:p>
    <w:p w:rsidR="004E13A5" w:rsidRDefault="004E13A5">
      <w:pPr>
        <w:spacing w:line="448" w:lineRule="auto"/>
        <w:sectPr w:rsidR="004E13A5">
          <w:pgSz w:w="12240" w:h="15840"/>
          <w:pgMar w:top="1240" w:right="1220" w:bottom="1240" w:left="1220" w:header="0" w:footer="1023" w:gutter="0"/>
          <w:cols w:num="2" w:space="720" w:equalWidth="0">
            <w:col w:w="2020" w:space="1652"/>
            <w:col w:w="6128"/>
          </w:cols>
        </w:sectPr>
      </w:pPr>
    </w:p>
    <w:p w:rsidR="004E13A5" w:rsidRDefault="00681463">
      <w:pPr>
        <w:pStyle w:val="BodyText"/>
        <w:ind w:right="103"/>
      </w:pPr>
      <w:r>
        <w:t>The PHA is required to reexamine each family’s income and composition at least annually, and to adjust the family’s level of assistance accordingly. Interim reexaminations are also needed in certain situations. This chapter discusses both annual and interim reexaminations, and the recalculation of family share and subsidy that occurs as a result. HUD regulations and PHA</w:t>
      </w:r>
      <w:r>
        <w:rPr>
          <w:spacing w:val="-15"/>
        </w:rPr>
        <w:t xml:space="preserve"> </w:t>
      </w:r>
      <w:r>
        <w:t>policies concerning reexaminations are presented in three</w:t>
      </w:r>
      <w:r>
        <w:rPr>
          <w:spacing w:val="-11"/>
        </w:rPr>
        <w:t xml:space="preserve"> </w:t>
      </w:r>
      <w:r>
        <w:t>parts:</w:t>
      </w:r>
    </w:p>
    <w:p w:rsidR="004E13A5" w:rsidRDefault="00681463">
      <w:pPr>
        <w:pStyle w:val="BodyText"/>
        <w:ind w:left="820" w:right="761"/>
      </w:pPr>
      <w:r>
        <w:rPr>
          <w:u w:val="single"/>
        </w:rPr>
        <w:t>Part I: Annual Reexaminations</w:t>
      </w:r>
      <w:r>
        <w:t>. This part discusses the process for conducting annual reexaminations.</w:t>
      </w:r>
    </w:p>
    <w:p w:rsidR="004E13A5" w:rsidRDefault="00681463">
      <w:pPr>
        <w:pStyle w:val="BodyText"/>
        <w:spacing w:before="120"/>
        <w:ind w:left="820" w:right="529"/>
      </w:pPr>
      <w:r>
        <w:rPr>
          <w:u w:val="single"/>
        </w:rPr>
        <w:t>Part II: Interim Reexaminations</w:t>
      </w:r>
      <w:r>
        <w:t>. This part details the requirements for families to report changes in family income and composition between annual reexaminations.</w:t>
      </w:r>
    </w:p>
    <w:p w:rsidR="004E13A5" w:rsidRDefault="00681463">
      <w:pPr>
        <w:pStyle w:val="BodyText"/>
        <w:spacing w:before="120"/>
        <w:ind w:left="820" w:right="183"/>
      </w:pPr>
      <w:r>
        <w:rPr>
          <w:u w:val="single"/>
        </w:rPr>
        <w:t>Part III: Recalculating Family Share and Subsidy Amount</w:t>
      </w:r>
      <w:r>
        <w:t>. This part discusses the recalculation of family share and subsidy amounts based on the results of annual and interim reexaminations.</w:t>
      </w:r>
    </w:p>
    <w:p w:rsidR="00CA1DBE" w:rsidRPr="002C61C0" w:rsidRDefault="00CA1DBE" w:rsidP="00CA1DBE">
      <w:pPr>
        <w:spacing w:before="120"/>
        <w:ind w:left="720"/>
      </w:pPr>
      <w:r w:rsidRPr="002C61C0">
        <w:rPr>
          <w:u w:val="single"/>
        </w:rPr>
        <w:t xml:space="preserve">Part </w:t>
      </w:r>
      <w:r>
        <w:rPr>
          <w:u w:val="single"/>
        </w:rPr>
        <w:t>I</w:t>
      </w:r>
      <w:r w:rsidRPr="002C61C0">
        <w:rPr>
          <w:u w:val="single"/>
        </w:rPr>
        <w:t xml:space="preserve">V: </w:t>
      </w:r>
      <w:r w:rsidRPr="002C61C0">
        <w:rPr>
          <w:bCs/>
          <w:iCs/>
          <w:u w:val="single"/>
        </w:rPr>
        <w:t>Non-Interim Reexamination Transaction</w:t>
      </w:r>
      <w:r>
        <w:rPr>
          <w:bCs/>
          <w:iCs/>
          <w:u w:val="single"/>
        </w:rPr>
        <w:t>s</w:t>
      </w:r>
      <w:r w:rsidRPr="002C61C0">
        <w:rPr>
          <w:bCs/>
          <w:iCs/>
          <w:u w:val="single"/>
        </w:rPr>
        <w:t>.</w:t>
      </w:r>
      <w:r w:rsidRPr="002C61C0">
        <w:rPr>
          <w:bCs/>
          <w:iCs/>
        </w:rPr>
        <w:t xml:space="preserve"> This part describes transactions that do not entail changes to the family’s adjusted income.</w:t>
      </w:r>
    </w:p>
    <w:p w:rsidR="00550721" w:rsidRDefault="00550721">
      <w:pPr>
        <w:pStyle w:val="BodyText"/>
        <w:spacing w:before="120"/>
        <w:ind w:left="820" w:right="183"/>
      </w:pPr>
    </w:p>
    <w:p w:rsidR="004E13A5" w:rsidRDefault="00681463">
      <w:pPr>
        <w:pStyle w:val="BodyText"/>
        <w:spacing w:before="120"/>
        <w:ind w:right="183"/>
      </w:pPr>
      <w:r>
        <w:t>Policies governing reasonable accommodation, family privacy, required family cooperation, and program abuse, as described elsewhere in this plan, apply to both annual and interim reexaminations.</w:t>
      </w:r>
    </w:p>
    <w:p w:rsidR="004E13A5" w:rsidRDefault="004E13A5">
      <w:pPr>
        <w:pStyle w:val="BodyText"/>
        <w:spacing w:before="0"/>
        <w:ind w:left="0"/>
        <w:rPr>
          <w:sz w:val="13"/>
        </w:rPr>
      </w:pPr>
    </w:p>
    <w:p w:rsidR="004E13A5" w:rsidRDefault="00681463">
      <w:pPr>
        <w:pStyle w:val="Heading4"/>
        <w:spacing w:before="90"/>
        <w:ind w:left="1830"/>
      </w:pPr>
      <w:bookmarkStart w:id="130" w:name="_TOC_250295"/>
      <w:bookmarkEnd w:id="130"/>
      <w:r>
        <w:t>PART I: ANNUAL REEXAMINATIONS [24 CFR 982.516]</w:t>
      </w:r>
    </w:p>
    <w:p w:rsidR="004E13A5" w:rsidRDefault="004E13A5">
      <w:pPr>
        <w:pStyle w:val="BodyText"/>
        <w:spacing w:before="9"/>
        <w:ind w:left="0"/>
        <w:rPr>
          <w:b/>
          <w:sz w:val="20"/>
        </w:rPr>
      </w:pPr>
    </w:p>
    <w:p w:rsidR="004E13A5" w:rsidRDefault="00681463">
      <w:pPr>
        <w:pStyle w:val="Heading4"/>
      </w:pPr>
      <w:bookmarkStart w:id="131" w:name="_TOC_250294"/>
      <w:bookmarkEnd w:id="131"/>
      <w:r>
        <w:t>11-I.A. OVERVIEW</w:t>
      </w:r>
    </w:p>
    <w:p w:rsidR="004E13A5" w:rsidRDefault="00681463">
      <w:pPr>
        <w:pStyle w:val="BodyText"/>
        <w:spacing w:before="120"/>
        <w:ind w:right="183"/>
      </w:pPr>
      <w:r>
        <w:t>The PHA must conduct a reexamination of family income and composition at least annually. This includes gathering and verifying current information about family composition, income, and expenses. Based on this updated information, the family’s income and rent must be recalculated. This part discusses the schedule for annual reexaminations, the information to be collected and verified, and annual reexamination effective dates.</w:t>
      </w:r>
    </w:p>
    <w:p w:rsidR="004E13A5" w:rsidRDefault="004E13A5">
      <w:pPr>
        <w:pStyle w:val="BodyText"/>
        <w:spacing w:before="5"/>
        <w:ind w:left="0"/>
        <w:rPr>
          <w:sz w:val="34"/>
        </w:rPr>
      </w:pPr>
    </w:p>
    <w:p w:rsidR="004E13A5" w:rsidRDefault="00681463">
      <w:pPr>
        <w:pStyle w:val="Heading4"/>
      </w:pPr>
      <w:r>
        <w:t>11-I.B STREAMLINED ANNUAL REEXAMINATIONS [24 CFR 982.516(b)] New HCV</w:t>
      </w:r>
    </w:p>
    <w:p w:rsidR="004E13A5" w:rsidRDefault="00681463">
      <w:pPr>
        <w:ind w:left="100"/>
        <w:rPr>
          <w:b/>
          <w:sz w:val="24"/>
        </w:rPr>
      </w:pPr>
      <w:r>
        <w:rPr>
          <w:b/>
          <w:sz w:val="24"/>
        </w:rPr>
        <w:t>GB, Reexaminations]</w:t>
      </w:r>
    </w:p>
    <w:p w:rsidR="004E13A5" w:rsidRDefault="00681463">
      <w:pPr>
        <w:pStyle w:val="BodyText"/>
        <w:spacing w:before="0"/>
        <w:ind w:right="129"/>
      </w:pPr>
      <w:r>
        <w:t>HUD permits PHAs to streamline the income determination process for family members with fixed sources of income. While third-party verification of all income sources must be obtained during the intake process and every three years thereafter, in the intervening years the PHA may determine income from fixed sources by applying a verified cost of living adjustment (COLA) or rate of interest. The PHA may, however, obtain third-party verification of all income, regardless of the source. Further, upon request of the family, the PHA must perform third-party verification of all income sources.</w:t>
      </w:r>
    </w:p>
    <w:p w:rsidR="004E13A5" w:rsidRDefault="004E13A5">
      <w:pPr>
        <w:pStyle w:val="BodyText"/>
        <w:spacing w:before="11"/>
        <w:ind w:left="0"/>
        <w:rPr>
          <w:sz w:val="23"/>
        </w:rPr>
      </w:pPr>
    </w:p>
    <w:p w:rsidR="004E13A5" w:rsidRDefault="00681463">
      <w:pPr>
        <w:pStyle w:val="BodyText"/>
        <w:spacing w:before="0"/>
        <w:ind w:right="168"/>
      </w:pPr>
      <w:r>
        <w:lastRenderedPageBreak/>
        <w:t>Fixed sources of income include Social Security and SSI benefits, pensions, annuities, disability or death benefits, and other sources of income subject to a COLA or rate of interest. The determination of fixed income may be streamlined even if the family also receives income from other non-fixed sources.</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BodyText"/>
        <w:spacing w:before="79"/>
        <w:ind w:right="163"/>
      </w:pPr>
      <w:r>
        <w:lastRenderedPageBreak/>
        <w:t>Two streamlining options are available, depending upon the percentage of the family’s income that is received from fixed sources. If at least 90 percent of the family’s income is from fixed sources, the PHA may streamline the verification of fixed income but is not required to verify non-fixed income amounts. If the family receives less than 90 percent of its income from fixed sources, the PHA may streamline the verification of fixed income and must verify non-fixed income annually.</w:t>
      </w:r>
    </w:p>
    <w:p w:rsidR="004E13A5" w:rsidRDefault="00681463">
      <w:pPr>
        <w:pStyle w:val="BodyText"/>
        <w:spacing w:before="0"/>
        <w:ind w:left="820"/>
      </w:pPr>
      <w:r>
        <w:rPr>
          <w:u w:val="single"/>
        </w:rPr>
        <w:t>PHA Policy</w:t>
      </w:r>
    </w:p>
    <w:p w:rsidR="004E13A5" w:rsidRDefault="00681463">
      <w:pPr>
        <w:pStyle w:val="BodyText"/>
        <w:spacing w:before="0"/>
        <w:ind w:left="820"/>
      </w:pPr>
      <w:r>
        <w:t>The PHA will streamline the annual reexamination process by applying the verified</w:t>
      </w:r>
    </w:p>
    <w:p w:rsidR="004E13A5" w:rsidRDefault="00681463">
      <w:pPr>
        <w:pStyle w:val="BodyText"/>
        <w:spacing w:before="0"/>
        <w:ind w:left="820" w:right="215"/>
      </w:pPr>
      <w:r>
        <w:t>COLA or interest rate to fixed-income sources. The PHA will document in the file how the determination that a source of income was fixed was made.</w:t>
      </w:r>
    </w:p>
    <w:p w:rsidR="004E13A5" w:rsidRDefault="004E13A5">
      <w:pPr>
        <w:pStyle w:val="BodyText"/>
        <w:spacing w:before="0"/>
        <w:ind w:left="0"/>
      </w:pPr>
    </w:p>
    <w:p w:rsidR="004E13A5" w:rsidRDefault="00681463">
      <w:pPr>
        <w:pStyle w:val="BodyText"/>
        <w:spacing w:before="0"/>
        <w:ind w:left="820" w:right="475"/>
      </w:pPr>
      <w:r>
        <w:t>If a family member with a fixed source of income is added, the PHA will use third-party verification of all income amounts for that family member.</w:t>
      </w:r>
    </w:p>
    <w:p w:rsidR="004E13A5" w:rsidRDefault="004E13A5">
      <w:pPr>
        <w:pStyle w:val="BodyText"/>
        <w:spacing w:before="11"/>
        <w:ind w:left="0"/>
        <w:rPr>
          <w:sz w:val="23"/>
        </w:rPr>
      </w:pPr>
    </w:p>
    <w:p w:rsidR="004E13A5" w:rsidRDefault="00681463">
      <w:pPr>
        <w:pStyle w:val="BodyText"/>
        <w:spacing w:before="0"/>
        <w:ind w:left="820" w:right="449"/>
      </w:pPr>
      <w:r>
        <w:t>If verification of the COLA or rate of interest is not available, the PHA will obtain third- party verification of income amounts.</w:t>
      </w:r>
    </w:p>
    <w:p w:rsidR="004E13A5" w:rsidRDefault="004E13A5">
      <w:pPr>
        <w:pStyle w:val="BodyText"/>
        <w:spacing w:before="11"/>
        <w:ind w:left="0"/>
        <w:rPr>
          <w:sz w:val="23"/>
        </w:rPr>
      </w:pPr>
    </w:p>
    <w:p w:rsidR="004E13A5" w:rsidRDefault="00681463">
      <w:pPr>
        <w:pStyle w:val="BodyText"/>
        <w:spacing w:before="0"/>
        <w:ind w:left="820" w:right="183"/>
      </w:pPr>
      <w:r>
        <w:t>Third-party verification of fixed sources of income will be obtained during the intake process and at least once every three years thereafter.</w:t>
      </w:r>
    </w:p>
    <w:p w:rsidR="004E13A5" w:rsidRDefault="00681463">
      <w:pPr>
        <w:pStyle w:val="BodyText"/>
        <w:spacing w:before="120"/>
        <w:ind w:left="820" w:right="529"/>
      </w:pPr>
      <w:r>
        <w:t>Third-party verification of non-fixed income will be obtained annually regardless of the percentage of family income received from fixed sources.</w:t>
      </w:r>
    </w:p>
    <w:p w:rsidR="004E13A5" w:rsidRDefault="004E13A5">
      <w:pPr>
        <w:pStyle w:val="BodyText"/>
        <w:spacing w:before="10"/>
        <w:ind w:left="0"/>
        <w:rPr>
          <w:sz w:val="20"/>
        </w:rPr>
      </w:pPr>
    </w:p>
    <w:p w:rsidR="004E13A5" w:rsidRDefault="00681463">
      <w:pPr>
        <w:pStyle w:val="Heading4"/>
      </w:pPr>
      <w:r>
        <w:t>11-I.C. SCHEDULING ANNUAL REEXAMINATIONS</w:t>
      </w:r>
    </w:p>
    <w:p w:rsidR="004E13A5" w:rsidRDefault="00681463">
      <w:pPr>
        <w:pStyle w:val="BodyText"/>
        <w:spacing w:before="120"/>
        <w:ind w:right="342"/>
      </w:pPr>
      <w:r>
        <w:t xml:space="preserve">The PHA must establish a policy to ensure that the annual reexamination for each family is completed </w:t>
      </w:r>
      <w:r>
        <w:rPr>
          <w:i/>
        </w:rPr>
        <w:t xml:space="preserve">within </w:t>
      </w:r>
      <w:r>
        <w:t>a 12-month period, and may require reexaminations more frequently [HCV GB p. 12-1].</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begin the annual reexamination process 120 days in advance of its scheduled effective date. Generally, the PHA will schedule annual reexamination effective dates to coincide with the family’s anniversary date.</w:t>
      </w:r>
    </w:p>
    <w:p w:rsidR="004E13A5" w:rsidRDefault="00681463">
      <w:pPr>
        <w:pStyle w:val="BodyText"/>
        <w:ind w:left="820"/>
      </w:pPr>
      <w:r>
        <w:rPr>
          <w:i/>
        </w:rPr>
        <w:t xml:space="preserve">Anniversary date </w:t>
      </w:r>
      <w:r>
        <w:t>is defined as 12 months from the effective date of the family’s last annual reexamination or, during a family’s first year in the program, from the effective date of the family’s initial examination (admission).</w:t>
      </w:r>
    </w:p>
    <w:p w:rsidR="004E13A5" w:rsidRDefault="00681463">
      <w:pPr>
        <w:pStyle w:val="BodyText"/>
        <w:ind w:left="820"/>
      </w:pPr>
      <w:r>
        <w:t>If the family moves to a new unit, the PHA will perform a new annual reexamination.</w:t>
      </w:r>
    </w:p>
    <w:p w:rsidR="004E13A5" w:rsidRDefault="00681463">
      <w:pPr>
        <w:pStyle w:val="BodyText"/>
        <w:ind w:left="820" w:right="1202"/>
      </w:pPr>
      <w:r>
        <w:t>The PHA also may schedule an annual reexamination for completion prior to the anniversary date for administrative purposes.</w:t>
      </w:r>
    </w:p>
    <w:p w:rsidR="004E13A5" w:rsidRDefault="00681463">
      <w:pPr>
        <w:pStyle w:val="Heading4"/>
        <w:spacing w:before="119"/>
      </w:pPr>
      <w:r>
        <w:t>Notification of and Participation in the Annual Reexamination Process</w:t>
      </w:r>
    </w:p>
    <w:p w:rsidR="004E13A5" w:rsidRDefault="00681463">
      <w:pPr>
        <w:pStyle w:val="BodyText"/>
        <w:spacing w:before="120"/>
        <w:ind w:right="195"/>
      </w:pPr>
      <w:r>
        <w:t>The PHA is required to obtain the information needed to conduct annual reexaminations. How that information will be collected is left to the discretion of the PHA. However, PHAs should give tenants who were not provided the opportunity the option to complete Form HUD-92006 at this time [Notice PIH 2009-36].</w:t>
      </w:r>
    </w:p>
    <w:p w:rsidR="004E13A5" w:rsidRDefault="00681463">
      <w:pPr>
        <w:pStyle w:val="BodyText"/>
        <w:ind w:left="820"/>
      </w:pPr>
      <w:r>
        <w:rPr>
          <w:u w:val="single"/>
        </w:rPr>
        <w:t>PHA Policy</w:t>
      </w:r>
    </w:p>
    <w:p w:rsidR="004E13A5" w:rsidRDefault="00681463">
      <w:pPr>
        <w:pStyle w:val="BodyText"/>
        <w:ind w:left="964" w:right="98"/>
      </w:pPr>
      <w:r>
        <w:t>Annual reexaminations will be conducted by mail. Notification of the annual reexamination will be sent by first-class mail and will inform the family of the information and documentation that must be provided to the PHA, and the deadline for providing it.</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964" w:right="191"/>
      </w:pPr>
      <w:r>
        <w:lastRenderedPageBreak/>
        <w:t>Documents will be accepted by mail, by email, by fax, or in-person. The PHA will, however, conduct reexams in person if requested as a reasonable accommodation or by LEP persons. Reasonable accommodation requests will be handled in accordance with policies in Chapter 2. Further, an in-person interview will be scheduled if the family requests assistance in providing information or documentation requested by the PHA or if the required paperwork is not returned timely, or if it is returned timely but is not complete.</w:t>
      </w:r>
    </w:p>
    <w:p w:rsidR="004E13A5" w:rsidRDefault="00681463">
      <w:pPr>
        <w:pStyle w:val="BodyText"/>
        <w:spacing w:before="139"/>
        <w:ind w:left="964" w:right="252"/>
      </w:pPr>
      <w:r>
        <w:t>If the reexam notice is returned by the post office with no forwarding address, a notice of termination (see Chapter 12) will be sent to the family’s address of record, as well as to any alternate address provided in the family’s file.</w:t>
      </w:r>
    </w:p>
    <w:p w:rsidR="004E13A5" w:rsidRDefault="004E13A5">
      <w:pPr>
        <w:pStyle w:val="BodyText"/>
        <w:spacing w:before="9"/>
        <w:ind w:left="0"/>
        <w:rPr>
          <w:sz w:val="20"/>
        </w:rPr>
      </w:pPr>
    </w:p>
    <w:p w:rsidR="004E13A5" w:rsidRDefault="00681463">
      <w:pPr>
        <w:pStyle w:val="Heading4"/>
        <w:spacing w:before="1"/>
      </w:pPr>
      <w:r>
        <w:t>11-I.D. CONDUCTING ANNUAL REEXAMINATIONS</w:t>
      </w:r>
    </w:p>
    <w:p w:rsidR="004E13A5" w:rsidRDefault="00681463">
      <w:pPr>
        <w:pStyle w:val="BodyText"/>
        <w:spacing w:before="120"/>
        <w:ind w:right="296"/>
      </w:pPr>
      <w:r>
        <w:t>As part of the annual reexamination process, families are required to provide updated information to the PHA regarding the family’s income, expenses, and composition [24 CFR 982.551(b)].</w:t>
      </w:r>
    </w:p>
    <w:p w:rsidR="004E13A5" w:rsidRDefault="00681463">
      <w:pPr>
        <w:pStyle w:val="BodyText"/>
        <w:spacing w:before="120"/>
        <w:ind w:left="820"/>
      </w:pPr>
      <w:r>
        <w:rPr>
          <w:u w:val="single"/>
        </w:rPr>
        <w:t>PHA Policy</w:t>
      </w:r>
    </w:p>
    <w:p w:rsidR="004E13A5" w:rsidRDefault="00681463">
      <w:pPr>
        <w:pStyle w:val="BodyText"/>
        <w:spacing w:before="120"/>
        <w:ind w:left="1108" w:right="134"/>
      </w:pPr>
      <w:r>
        <w:t>Families will be asked to supply all required information (as described in the reexamination notice) before the deadline specified in the notice. The required information will include a PHA-designated reexamination form, an Authorization for the Release of Information/Privacy Act Notice, as well as supporting documents or forms related to the family’s income, expenses, and family composition.</w:t>
      </w:r>
    </w:p>
    <w:p w:rsidR="004E13A5" w:rsidRDefault="00681463">
      <w:pPr>
        <w:pStyle w:val="BodyText"/>
        <w:spacing w:before="139"/>
        <w:ind w:left="1108" w:right="183"/>
      </w:pPr>
      <w:r>
        <w:t>The PHA will notify the family in writing if any required documentation or information is missing. The missing information or documentation must be provided within 10 business days of the date the PHA notifies the family. If the family is unable to obtain the information or materials within the required time frame, the family may request an extension.</w:t>
      </w:r>
    </w:p>
    <w:p w:rsidR="004E13A5" w:rsidRDefault="00681463">
      <w:pPr>
        <w:pStyle w:val="BodyText"/>
        <w:spacing w:before="142"/>
        <w:ind w:left="964"/>
      </w:pPr>
      <w:r>
        <w:t>If the family does not provide the required documents or information within the required time period (plus any extensions), the family will be sent a notice of termination (see Chapter 12).</w:t>
      </w:r>
    </w:p>
    <w:p w:rsidR="004E13A5" w:rsidRDefault="00681463">
      <w:pPr>
        <w:pStyle w:val="BodyText"/>
        <w:spacing w:before="139"/>
        <w:ind w:left="964" w:right="185"/>
      </w:pPr>
      <w:r>
        <w:t>If the family requests or the PHA schedules an in-person interview, families will be asked to bring all required information (as described in the reexamination notice) to the reexamination appointment.</w:t>
      </w:r>
    </w:p>
    <w:p w:rsidR="004E13A5" w:rsidRDefault="00681463">
      <w:pPr>
        <w:pStyle w:val="BodyText"/>
        <w:spacing w:before="139"/>
        <w:ind w:left="964" w:right="238"/>
      </w:pPr>
      <w:r>
        <w:t>Any required documents or information that the family is unable to provide at the time of the interview must be provided within 10 business days of the interview. If the family is unable to obtain the information or materials within the required time frame, the family may request an extension.</w:t>
      </w:r>
    </w:p>
    <w:p w:rsidR="004E13A5" w:rsidRDefault="00681463">
      <w:pPr>
        <w:pStyle w:val="BodyText"/>
        <w:spacing w:before="142"/>
        <w:ind w:left="964" w:right="305"/>
      </w:pPr>
      <w:r>
        <w:t>If the family does not provide the required documents or information within the required time period (plus any extensions), the family will be sent a notice of termination (see Chapter 12).</w:t>
      </w:r>
    </w:p>
    <w:p w:rsidR="004E13A5" w:rsidRDefault="00681463">
      <w:pPr>
        <w:pStyle w:val="BodyText"/>
        <w:spacing w:before="139"/>
      </w:pPr>
      <w:r>
        <w:t>Additionally, HUD recommends that at annual reexaminations PHAs ask whether the tenant, or any member of the tenant’s household, is subject to a lifetime sex offender registration requirement in any state [Notice PIH 2012-28].</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449"/>
      </w:pPr>
      <w:r>
        <w:t>At the annual reexamination, the PHA will ask whether the tenant, or any member of the tenant’s household, is subject to a lifetime sex offender registration requirement in any state. The PHA will use the Dru Sjodin National Sex Offender database to verify the information provided by the tenant.</w:t>
      </w:r>
    </w:p>
    <w:p w:rsidR="004E13A5" w:rsidRDefault="004E13A5">
      <w:pPr>
        <w:pStyle w:val="BodyText"/>
        <w:spacing w:before="0"/>
        <w:ind w:left="0"/>
        <w:rPr>
          <w:sz w:val="26"/>
        </w:rPr>
      </w:pPr>
    </w:p>
    <w:p w:rsidR="004E13A5" w:rsidRDefault="00681463">
      <w:pPr>
        <w:pStyle w:val="BodyText"/>
        <w:spacing w:before="216"/>
        <w:ind w:right="89"/>
      </w:pPr>
      <w:r>
        <w:t>If the PHA proposes to terminate assistance based on lifetime sex offender registration information, the PHA must notify the household of the proposed action and must provide the subject of the record and the tenant a copy of the record and an opportunity to dispute the accuracy and relevance of the information prior to termination. [24 CFR 5.903(f) and 5.905(d)]. (See Chapter 12.)</w:t>
      </w:r>
    </w:p>
    <w:p w:rsidR="004E13A5" w:rsidRDefault="00681463">
      <w:pPr>
        <w:pStyle w:val="BodyText"/>
        <w:ind w:right="183"/>
      </w:pPr>
      <w:r>
        <w:t>The information provided by the family generally must be verified in accordance with the policies in Chapter 7. Unless the family reports a change, or the PHA has reason to believe a change has occurred in information previously reported by the family, certain types of information that are verified at admission typically do not need to be re-verified on an annual basis. These include:</w:t>
      </w:r>
    </w:p>
    <w:p w:rsidR="004E13A5" w:rsidRDefault="00681463">
      <w:pPr>
        <w:pStyle w:val="BodyText"/>
        <w:tabs>
          <w:tab w:val="left" w:pos="460"/>
        </w:tabs>
      </w:pPr>
      <w:r>
        <w:rPr>
          <w:rFonts w:ascii="Symbol" w:hAnsi="Symbol"/>
        </w:rPr>
        <w:t></w:t>
      </w:r>
      <w:r>
        <w:tab/>
        <w:t>Legal</w:t>
      </w:r>
      <w:r>
        <w:rPr>
          <w:spacing w:val="-2"/>
        </w:rPr>
        <w:t xml:space="preserve"> </w:t>
      </w:r>
      <w:r>
        <w:t>identity</w:t>
      </w:r>
    </w:p>
    <w:p w:rsidR="004E13A5" w:rsidRDefault="00681463">
      <w:pPr>
        <w:pStyle w:val="BodyText"/>
        <w:tabs>
          <w:tab w:val="left" w:pos="460"/>
        </w:tabs>
        <w:spacing w:before="118"/>
      </w:pPr>
      <w:r>
        <w:rPr>
          <w:rFonts w:ascii="Symbol" w:hAnsi="Symbol"/>
        </w:rPr>
        <w:t></w:t>
      </w:r>
      <w:r>
        <w:tab/>
        <w:t>Age</w:t>
      </w:r>
    </w:p>
    <w:p w:rsidR="004E13A5" w:rsidRDefault="00681463">
      <w:pPr>
        <w:pStyle w:val="BodyText"/>
        <w:tabs>
          <w:tab w:val="left" w:pos="460"/>
        </w:tabs>
        <w:spacing w:before="118"/>
      </w:pPr>
      <w:r>
        <w:rPr>
          <w:rFonts w:ascii="Symbol" w:hAnsi="Symbol"/>
        </w:rPr>
        <w:t></w:t>
      </w:r>
      <w:r>
        <w:tab/>
        <w:t>Social security</w:t>
      </w:r>
      <w:r>
        <w:rPr>
          <w:spacing w:val="-7"/>
        </w:rPr>
        <w:t xml:space="preserve"> </w:t>
      </w:r>
      <w:r>
        <w:t>numbers</w:t>
      </w:r>
    </w:p>
    <w:p w:rsidR="004E13A5" w:rsidRDefault="00681463">
      <w:pPr>
        <w:pStyle w:val="BodyText"/>
        <w:tabs>
          <w:tab w:val="left" w:pos="460"/>
        </w:tabs>
        <w:spacing w:before="118"/>
      </w:pPr>
      <w:r>
        <w:rPr>
          <w:rFonts w:ascii="Symbol" w:hAnsi="Symbol"/>
        </w:rPr>
        <w:t></w:t>
      </w:r>
      <w:r>
        <w:tab/>
        <w:t>A person’s disability</w:t>
      </w:r>
      <w:r>
        <w:rPr>
          <w:spacing w:val="-5"/>
        </w:rPr>
        <w:t xml:space="preserve"> </w:t>
      </w:r>
      <w:r>
        <w:t>status</w:t>
      </w:r>
    </w:p>
    <w:p w:rsidR="004E13A5" w:rsidRDefault="00681463">
      <w:pPr>
        <w:pStyle w:val="BodyText"/>
        <w:tabs>
          <w:tab w:val="left" w:pos="460"/>
        </w:tabs>
        <w:spacing w:before="120"/>
      </w:pPr>
      <w:r>
        <w:rPr>
          <w:rFonts w:ascii="Symbol" w:hAnsi="Symbol"/>
        </w:rPr>
        <w:t></w:t>
      </w:r>
      <w:r>
        <w:tab/>
        <w:t>Citizenship or immigration</w:t>
      </w:r>
      <w:r>
        <w:rPr>
          <w:spacing w:val="-8"/>
        </w:rPr>
        <w:t xml:space="preserve"> </w:t>
      </w:r>
      <w:r>
        <w:t>status</w:t>
      </w:r>
    </w:p>
    <w:p w:rsidR="004E13A5" w:rsidRDefault="00681463">
      <w:pPr>
        <w:pStyle w:val="BodyText"/>
        <w:spacing w:before="118"/>
        <w:ind w:right="89"/>
      </w:pPr>
      <w:r>
        <w:t>If adding a new family member to the unit causes overcrowding according to the housing quality standards (</w:t>
      </w:r>
      <w:r w:rsidR="002C4221">
        <w:t>NSPIRE</w:t>
      </w:r>
      <w:r>
        <w:t>) (see Chapter 8), the PHA must issue the family a new voucher, and the family and PHA must try to find an acceptable unit as soon as possible. If an acceptable unit is available for rental by the family, the PHA must terminate the HAP contract in accordance with its terms [24 CFR 982.403]</w:t>
      </w:r>
      <w:r>
        <w:rPr>
          <w:color w:val="0000FF"/>
        </w:rPr>
        <w:t>.</w:t>
      </w:r>
    </w:p>
    <w:p w:rsidR="004E13A5" w:rsidRDefault="004E13A5">
      <w:pPr>
        <w:pStyle w:val="BodyText"/>
        <w:spacing w:before="9"/>
        <w:ind w:left="0"/>
        <w:rPr>
          <w:sz w:val="20"/>
        </w:rPr>
      </w:pPr>
    </w:p>
    <w:p w:rsidR="004E13A5" w:rsidRDefault="00681463">
      <w:pPr>
        <w:pStyle w:val="Heading4"/>
        <w:ind w:right="1425"/>
      </w:pPr>
      <w:r>
        <w:t>11-I.E. DETERMINING ONGOING ELIGIBILITY OF CERTAIN STUDENTS [24 CFR 982.552(b)(5)]</w:t>
      </w:r>
    </w:p>
    <w:p w:rsidR="004E13A5" w:rsidRDefault="00681463">
      <w:pPr>
        <w:pStyle w:val="BodyText"/>
      </w:pPr>
      <w:r>
        <w:t>Section 327 of Public Law 109-115 established new restrictions on the ongoing eligibility of certain students (both part- and full-time) who are enrolled in institutions of higher education.</w:t>
      </w:r>
    </w:p>
    <w:p w:rsidR="004E13A5" w:rsidRDefault="00681463">
      <w:pPr>
        <w:pStyle w:val="BodyText"/>
        <w:ind w:right="109"/>
      </w:pPr>
      <w:r>
        <w:t xml:space="preserve">If a student enrolled in an institution of higher education is under the age of 24, is not a veteran, is not married, does not have a dependent child, and is not a person with disabilities receiving HCV assistance as of November 30, 2005, the student’s eligibility must be reexamined along with the income eligibility of the student’s parents on an annual basis. In these cases, both the student and the student’s parents must be income eligible for the student to continue to receive HCV assistance. If, however, a student in these circumstances is determined independent from their parents or is considered a </w:t>
      </w:r>
      <w:r>
        <w:rPr>
          <w:i/>
        </w:rPr>
        <w:t xml:space="preserve">vulnerable youth </w:t>
      </w:r>
      <w:r>
        <w:t>in accordance with PHA policy, the income of the student’s parents will not be considered in determining the student’s ongoing eligibility.</w:t>
      </w:r>
    </w:p>
    <w:p w:rsidR="004E13A5" w:rsidRDefault="00681463">
      <w:pPr>
        <w:pStyle w:val="BodyText"/>
        <w:ind w:right="601"/>
      </w:pPr>
      <w:r>
        <w:t>Students who reside with parents in an HCV assisted unit are not subject to this provision. It is limited to students who are receiving assistance on their own, separately from their parents.</w:t>
      </w:r>
    </w:p>
    <w:p w:rsidR="004E13A5" w:rsidRDefault="00681463">
      <w:pPr>
        <w:pStyle w:val="BodyText"/>
        <w:ind w:left="820"/>
      </w:pPr>
      <w:r>
        <w:rPr>
          <w:u w:val="single"/>
        </w:rPr>
        <w:t>PHA Policy</w:t>
      </w:r>
    </w:p>
    <w:p w:rsidR="004E13A5" w:rsidRDefault="00681463">
      <w:pPr>
        <w:pStyle w:val="BodyText"/>
        <w:spacing w:before="117"/>
        <w:ind w:left="820"/>
      </w:pPr>
      <w:r>
        <w:t>During the annual reexamination process, the PHA will determine the ongoing eligibility of each student who is subject to the eligibility restrictions in 24 CFR 5.612 by reviewing the</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right="127"/>
        <w:jc w:val="both"/>
      </w:pPr>
      <w:r>
        <w:lastRenderedPageBreak/>
        <w:t xml:space="preserve">student’s individual income as well as the income of the student’s parents. If the student has been determined “independent” from their parents or is considered a </w:t>
      </w:r>
      <w:r>
        <w:rPr>
          <w:i/>
        </w:rPr>
        <w:t xml:space="preserve">vulnerable youth </w:t>
      </w:r>
      <w:r>
        <w:t>based on the policies in Sections 3-II.E and 7-II.E, the parents’ income will not be reviewed.</w:t>
      </w:r>
    </w:p>
    <w:p w:rsidR="004E13A5" w:rsidRDefault="00681463">
      <w:pPr>
        <w:pStyle w:val="BodyText"/>
        <w:spacing w:before="120"/>
        <w:ind w:left="820" w:right="169"/>
      </w:pPr>
      <w:r>
        <w:t>If the student is no longer income eligible based on their own income or the income of their parents, the student’s assistance will be terminated in accordance with the policies in Section 12-I.D.</w:t>
      </w:r>
    </w:p>
    <w:p w:rsidR="004E13A5" w:rsidRDefault="00681463">
      <w:pPr>
        <w:pStyle w:val="BodyText"/>
        <w:spacing w:before="120"/>
        <w:ind w:left="820" w:right="202"/>
      </w:pPr>
      <w:r>
        <w:t>If the student continues to be income eligible based on their own income and the income of their parents (if applicable), the PHA will process a reexamination in accordance with the policies in this chapter.</w:t>
      </w:r>
    </w:p>
    <w:p w:rsidR="00277488" w:rsidRDefault="00277488">
      <w:pPr>
        <w:pStyle w:val="BodyText"/>
        <w:spacing w:before="120"/>
        <w:ind w:left="820" w:right="202"/>
      </w:pPr>
    </w:p>
    <w:p w:rsidR="00277488" w:rsidRPr="001A669A" w:rsidRDefault="00277488" w:rsidP="00277488">
      <w:pPr>
        <w:keepNext/>
        <w:spacing w:before="240"/>
        <w:rPr>
          <w:b/>
        </w:rPr>
      </w:pPr>
      <w:r>
        <w:rPr>
          <w:b/>
        </w:rPr>
        <w:t>11</w:t>
      </w:r>
      <w:r w:rsidRPr="001A669A">
        <w:rPr>
          <w:b/>
        </w:rPr>
        <w:t>-I.</w:t>
      </w:r>
      <w:r>
        <w:rPr>
          <w:b/>
        </w:rPr>
        <w:t>F</w:t>
      </w:r>
      <w:r w:rsidRPr="001A669A">
        <w:rPr>
          <w:b/>
        </w:rPr>
        <w:t>. CALCULATING ANNUAL INCOME AT ANNU</w:t>
      </w:r>
      <w:r>
        <w:rPr>
          <w:b/>
        </w:rPr>
        <w:t>A</w:t>
      </w:r>
      <w:r w:rsidRPr="001A669A">
        <w:rPr>
          <w:b/>
        </w:rPr>
        <w:t>L REEXAMINATION [24</w:t>
      </w:r>
      <w:r>
        <w:rPr>
          <w:b/>
        </w:rPr>
        <w:t> </w:t>
      </w:r>
      <w:r w:rsidRPr="001A669A">
        <w:rPr>
          <w:b/>
        </w:rPr>
        <w:t>CFR</w:t>
      </w:r>
      <w:r>
        <w:rPr>
          <w:b/>
        </w:rPr>
        <w:t> </w:t>
      </w:r>
      <w:r w:rsidRPr="001A669A">
        <w:rPr>
          <w:b/>
        </w:rPr>
        <w:t>5.609(C)(2) and Notice PIH 2023-27]</w:t>
      </w:r>
    </w:p>
    <w:p w:rsidR="00277488" w:rsidRPr="001A669A" w:rsidRDefault="00277488" w:rsidP="00277488">
      <w:pPr>
        <w:spacing w:before="120"/>
      </w:pPr>
      <w:r w:rsidRPr="001A669A">
        <w:t>Except when using streamlined or Safe Harbor income determinations, in determining the income of the family for the previous 12-month period, any change of income since the family’s last annual reexamination, including those that did not meet the threshold to process an interim reexamination in accordance with PHA policies and 24 CFR 5.657(c) or 960.257(b) must be considered.</w:t>
      </w:r>
    </w:p>
    <w:p w:rsidR="00277488" w:rsidRDefault="00277488" w:rsidP="00277488">
      <w:pPr>
        <w:pStyle w:val="BodyText"/>
        <w:spacing w:before="120"/>
        <w:ind w:left="820"/>
      </w:pPr>
      <w:r>
        <w:rPr>
          <w:u w:val="single"/>
        </w:rPr>
        <w:t>PHA Policy</w:t>
      </w:r>
    </w:p>
    <w:p w:rsidR="00277488" w:rsidRPr="001A669A" w:rsidRDefault="00277488" w:rsidP="00277488">
      <w:pPr>
        <w:spacing w:before="120"/>
        <w:ind w:left="1800"/>
      </w:pPr>
      <w:r w:rsidRPr="001A669A">
        <w:t>When income is calculated using a streamlined income determination or Safe Harbor determination from a means-tested federal public assistance program in accordance with PHA policies in Chapter 7, the above is not applicable. However, where the family disagrees with the PHA or other agency’s determination of income or the PHA has other reason to use third-party verification in these circumstances, then the above will apply.</w:t>
      </w:r>
    </w:p>
    <w:p w:rsidR="00277488" w:rsidRDefault="00277488">
      <w:pPr>
        <w:pStyle w:val="BodyText"/>
        <w:spacing w:before="120"/>
        <w:ind w:left="820" w:right="202"/>
      </w:pPr>
    </w:p>
    <w:p w:rsidR="004E13A5" w:rsidRDefault="004E13A5">
      <w:pPr>
        <w:pStyle w:val="BodyText"/>
        <w:spacing w:before="9"/>
        <w:ind w:left="0"/>
        <w:rPr>
          <w:sz w:val="20"/>
        </w:rPr>
      </w:pPr>
    </w:p>
    <w:p w:rsidR="004E13A5" w:rsidRDefault="00681463">
      <w:pPr>
        <w:pStyle w:val="Heading4"/>
        <w:spacing w:before="1"/>
      </w:pPr>
      <w:r>
        <w:t>11-I.</w:t>
      </w:r>
      <w:r w:rsidR="002D5B7A">
        <w:t>G</w:t>
      </w:r>
      <w:r>
        <w:t>. EFFECTIVE DATES</w:t>
      </w:r>
    </w:p>
    <w:p w:rsidR="004E13A5" w:rsidRDefault="00681463">
      <w:pPr>
        <w:pStyle w:val="BodyText"/>
        <w:spacing w:before="120"/>
        <w:ind w:right="183"/>
      </w:pPr>
      <w:r>
        <w:t>The PHA must establish policies concerning the effective date of changes that result from an annual reexamination [24 CFR 982.516].</w:t>
      </w:r>
    </w:p>
    <w:p w:rsidR="004E13A5" w:rsidRDefault="00681463">
      <w:pPr>
        <w:pStyle w:val="BodyText"/>
        <w:spacing w:before="120"/>
        <w:ind w:left="820"/>
      </w:pPr>
      <w:r>
        <w:rPr>
          <w:u w:val="single"/>
        </w:rPr>
        <w:t>PHA Policy</w:t>
      </w:r>
    </w:p>
    <w:p w:rsidR="004E13A5" w:rsidRDefault="00681463">
      <w:pPr>
        <w:pStyle w:val="BodyText"/>
        <w:ind w:left="820" w:right="709"/>
      </w:pPr>
      <w:r>
        <w:t xml:space="preserve">In general, an </w:t>
      </w:r>
      <w:r>
        <w:rPr>
          <w:i/>
        </w:rPr>
        <w:t xml:space="preserve">increase </w:t>
      </w:r>
      <w:r>
        <w:t>in the family share of the rent that results from an annual reexamination will take effect on the family’s anniversary date, and the family will be notified at least 30 days in advance.</w:t>
      </w:r>
    </w:p>
    <w:p w:rsidR="004E13A5" w:rsidRDefault="00681463">
      <w:pPr>
        <w:pStyle w:val="BodyText"/>
        <w:ind w:left="1540" w:right="103"/>
      </w:pPr>
      <w:r>
        <w:t>If less than 30 days remain before the scheduled effective date, the increase will take effect on the first of the month following the end of the 30-day notice period.</w:t>
      </w:r>
    </w:p>
    <w:p w:rsidR="004E13A5" w:rsidRDefault="00681463">
      <w:pPr>
        <w:pStyle w:val="BodyText"/>
        <w:ind w:left="1540" w:right="203"/>
      </w:pPr>
      <w:r>
        <w:t>If a family moves to a new unit, the increase will take effect on the effective date of the new lease and HAP contract, and no 30-day notice is required.</w:t>
      </w:r>
    </w:p>
    <w:p w:rsidR="004E13A5" w:rsidRDefault="00681463">
      <w:pPr>
        <w:pStyle w:val="BodyText"/>
        <w:ind w:left="1540" w:right="195"/>
      </w:pPr>
      <w:r>
        <w:t>If the PHA chooses to schedule an annual reexamination for completion prior to the family’s anniversary date for administrative purposes, the effective date will be determined by the PHA, but will always allow for the 30-day notice period.</w:t>
      </w:r>
    </w:p>
    <w:p w:rsidR="004E13A5" w:rsidRDefault="00681463">
      <w:pPr>
        <w:pStyle w:val="BodyText"/>
        <w:ind w:left="1540" w:right="162"/>
      </w:pPr>
      <w:r>
        <w:t xml:space="preserve">If the family causes a delay in processing the annual reexamination, </w:t>
      </w:r>
      <w:r>
        <w:rPr>
          <w:i/>
        </w:rPr>
        <w:t xml:space="preserve">increases </w:t>
      </w:r>
      <w:r>
        <w:t>in the family share of the rent will be applied retroactively, to the scheduled effective date of the annual reexamination. The family will be responsible for any overpaid subsidy and may be offered a repayment agreement in accordance with the policies in Chapter 16.</w:t>
      </w:r>
    </w:p>
    <w:p w:rsidR="004E13A5" w:rsidRDefault="00681463">
      <w:pPr>
        <w:pStyle w:val="BodyText"/>
        <w:ind w:left="820" w:right="1336"/>
      </w:pPr>
      <w:r>
        <w:lastRenderedPageBreak/>
        <w:t xml:space="preserve">In general, a </w:t>
      </w:r>
      <w:r>
        <w:rPr>
          <w:i/>
        </w:rPr>
        <w:t xml:space="preserve">decrease </w:t>
      </w:r>
      <w:r>
        <w:t>in the family share of the rent that results from an annual reexamination will take effect on the family’s anniversary date.</w:t>
      </w:r>
    </w:p>
    <w:p w:rsidR="004E13A5" w:rsidRDefault="00681463">
      <w:pPr>
        <w:pStyle w:val="BodyText"/>
        <w:ind w:left="1540"/>
      </w:pPr>
      <w:r>
        <w:t>If a family moves to a new unit, the decrease will take effect on the effective date of the new lease and HAP contract.</w:t>
      </w:r>
    </w:p>
    <w:p w:rsidR="004E13A5" w:rsidRDefault="00681463">
      <w:pPr>
        <w:pStyle w:val="BodyText"/>
        <w:ind w:left="1540" w:right="195"/>
      </w:pPr>
      <w:r>
        <w:t>If the PHA chooses to schedule an annual reexamination for completion prior to the family’s anniversary date for administrative purposes, the effective date will be determined by the PHA.</w:t>
      </w:r>
    </w:p>
    <w:p w:rsidR="004E13A5" w:rsidRDefault="00681463">
      <w:pPr>
        <w:pStyle w:val="BodyText"/>
        <w:ind w:left="1540" w:right="101"/>
        <w:jc w:val="both"/>
      </w:pPr>
      <w:r>
        <w:t>If the family causes a delay in processing the annual reexamination, d</w:t>
      </w:r>
      <w:r>
        <w:rPr>
          <w:i/>
        </w:rPr>
        <w:t xml:space="preserve">ecreases </w:t>
      </w:r>
      <w:r>
        <w:t>in the family share of the rent will be applied prospectively, from the first day of the month following completion of the reexamination processing.</w:t>
      </w:r>
    </w:p>
    <w:p w:rsidR="004E13A5" w:rsidRDefault="00681463">
      <w:pPr>
        <w:pStyle w:val="BodyText"/>
        <w:ind w:left="820" w:right="243"/>
      </w:pPr>
      <w:r>
        <w:t>Delays in reexamination processing are considered to be caused by the family if the family fails to provide information requested by the PHA by the date specified, and this delay prevents the PHA from completing the reexamination as scheduled.</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ind w:left="1756"/>
      </w:pPr>
      <w:bookmarkStart w:id="132" w:name="_TOC_250293"/>
      <w:bookmarkEnd w:id="132"/>
      <w:r>
        <w:lastRenderedPageBreak/>
        <w:t>PART II: INTERIM REEXAMINATIONS [24 CFR 982.516]</w:t>
      </w:r>
    </w:p>
    <w:p w:rsidR="004E13A5" w:rsidRDefault="004E13A5">
      <w:pPr>
        <w:pStyle w:val="BodyText"/>
        <w:spacing w:before="10"/>
        <w:ind w:left="0"/>
        <w:rPr>
          <w:b/>
          <w:sz w:val="20"/>
        </w:rPr>
      </w:pPr>
    </w:p>
    <w:p w:rsidR="004E13A5" w:rsidRDefault="00681463">
      <w:pPr>
        <w:pStyle w:val="Heading4"/>
      </w:pPr>
      <w:bookmarkStart w:id="133" w:name="_TOC_250292"/>
      <w:bookmarkEnd w:id="133"/>
      <w:r>
        <w:t>11-II.A. OVERVIEW</w:t>
      </w:r>
    </w:p>
    <w:p w:rsidR="004E13A5" w:rsidRDefault="00681463">
      <w:pPr>
        <w:pStyle w:val="BodyText"/>
        <w:ind w:right="102"/>
      </w:pPr>
      <w:r>
        <w:t>Family circumstances may change between annual reexaminations. HUD and PHA policies dictate what kinds of information about changes in family circumstances must be reported, and under what circumstances the PHA must process interim reexaminations to reflect those changes. HUD regulations also permit the PHA to conduct interim reexaminations of income or family composition at any time. When an interim reexamination is conducted, only those factors that have changed are verified and adjusted [HCV GB, p. 12-10].</w:t>
      </w:r>
    </w:p>
    <w:p w:rsidR="004E13A5" w:rsidRDefault="00681463">
      <w:pPr>
        <w:pStyle w:val="BodyText"/>
      </w:pPr>
      <w:r>
        <w:t>In addition to specifying what information the family must report, HUD regulations permit the family to request an interim determination if other aspects of the family’s income or composition changes. The PHA must complete the interim reexamination within a reasonable time after the family’s request.</w:t>
      </w:r>
    </w:p>
    <w:p w:rsidR="004E13A5" w:rsidRDefault="00681463">
      <w:pPr>
        <w:pStyle w:val="BodyText"/>
        <w:spacing w:before="120"/>
        <w:ind w:right="122"/>
      </w:pPr>
      <w:r>
        <w:t>This part includes HUD and PHA policies describing what changes families are required to report, what changes families may choose to report, and how the PHA will process both PHA- and family- initiated interim reexaminations.</w:t>
      </w:r>
    </w:p>
    <w:p w:rsidR="004E13A5" w:rsidRDefault="004E13A5">
      <w:pPr>
        <w:pStyle w:val="BodyText"/>
        <w:spacing w:before="9"/>
        <w:ind w:left="0"/>
        <w:rPr>
          <w:sz w:val="20"/>
        </w:rPr>
      </w:pPr>
    </w:p>
    <w:p w:rsidR="004E13A5" w:rsidRDefault="00681463">
      <w:pPr>
        <w:pStyle w:val="Heading4"/>
      </w:pPr>
      <w:bookmarkStart w:id="134" w:name="_TOC_250291"/>
      <w:bookmarkEnd w:id="134"/>
      <w:r>
        <w:t>11-II.B. CHANGES IN FAMILY AND HOUSEHOLD COMPOSITION</w:t>
      </w:r>
    </w:p>
    <w:p w:rsidR="004E13A5" w:rsidRDefault="00681463">
      <w:pPr>
        <w:pStyle w:val="BodyText"/>
        <w:ind w:right="262"/>
      </w:pPr>
      <w:r>
        <w:t>The family is required to report all changes in family composition. The PHA must adopt policies prescribing when and under what conditions the family must report changes in income and family composition. However, due to family obligations under the program, the PHA has limited discretion in this area.</w:t>
      </w:r>
    </w:p>
    <w:p w:rsidR="004E13A5" w:rsidRDefault="00681463">
      <w:pPr>
        <w:pStyle w:val="BodyText"/>
        <w:ind w:left="820"/>
      </w:pPr>
      <w:r>
        <w:rPr>
          <w:u w:val="single"/>
        </w:rPr>
        <w:t>PHA Policy</w:t>
      </w:r>
    </w:p>
    <w:p w:rsidR="004E13A5" w:rsidRDefault="00681463">
      <w:pPr>
        <w:pStyle w:val="BodyText"/>
        <w:ind w:left="820"/>
      </w:pPr>
      <w:r>
        <w:t>The PHA will conduct interim reexaminations to account for any changes in household composition that occur between annual reexaminations.</w:t>
      </w:r>
    </w:p>
    <w:p w:rsidR="004E13A5" w:rsidRDefault="00681463">
      <w:pPr>
        <w:pStyle w:val="Heading4"/>
        <w:spacing w:before="119"/>
      </w:pPr>
      <w:bookmarkStart w:id="135" w:name="_TOC_250290"/>
      <w:r>
        <w:t xml:space="preserve">New Family Members </w:t>
      </w:r>
      <w:r>
        <w:rPr>
          <w:u w:val="thick"/>
        </w:rPr>
        <w:t xml:space="preserve">Not </w:t>
      </w:r>
      <w:bookmarkEnd w:id="135"/>
      <w:r>
        <w:t>Requiring PHA Approval</w:t>
      </w:r>
    </w:p>
    <w:p w:rsidR="004E13A5" w:rsidRDefault="00681463">
      <w:pPr>
        <w:pStyle w:val="BodyText"/>
      </w:pPr>
      <w:r>
        <w:t>The addition of a family member as a result of birth, adoption, or court-awarded custody does not require PHA approval. However, the family is required to promptly notify the PHA of the addition [24 CFR 982.551(h)(2)].</w:t>
      </w:r>
    </w:p>
    <w:p w:rsidR="004E13A5" w:rsidRDefault="00681463">
      <w:pPr>
        <w:pStyle w:val="BodyText"/>
        <w:ind w:left="820"/>
      </w:pPr>
      <w:r>
        <w:rPr>
          <w:u w:val="single"/>
        </w:rPr>
        <w:t>PHA Policy</w:t>
      </w:r>
    </w:p>
    <w:p w:rsidR="004E13A5" w:rsidRDefault="00681463">
      <w:pPr>
        <w:pStyle w:val="BodyText"/>
        <w:ind w:left="820" w:right="122"/>
      </w:pPr>
      <w:r>
        <w:t>The family must inform the PHA of the birth, adoption, or court-awarded custody of a child within 10 business days.</w:t>
      </w:r>
    </w:p>
    <w:p w:rsidR="004E13A5" w:rsidRDefault="00681463">
      <w:pPr>
        <w:pStyle w:val="Heading4"/>
        <w:spacing w:before="119"/>
      </w:pPr>
      <w:bookmarkStart w:id="136" w:name="_TOC_250289"/>
      <w:bookmarkEnd w:id="136"/>
      <w:r>
        <w:t>New Family and Household Members Requiring Approval</w:t>
      </w:r>
    </w:p>
    <w:p w:rsidR="004E13A5" w:rsidRDefault="00681463">
      <w:pPr>
        <w:pStyle w:val="BodyText"/>
        <w:ind w:right="95"/>
      </w:pPr>
      <w:r>
        <w:t>With the exception of children who join the family as a result of birth, adoption, or court-awarded custody, a family must request PHA approval to add a new family member [24 CFR 982.551(h)(2)] or other household member (live-in aide or foster child) [24 CFR 982.551(h)(4)].</w:t>
      </w:r>
    </w:p>
    <w:p w:rsidR="004E13A5" w:rsidRDefault="00681463">
      <w:pPr>
        <w:pStyle w:val="BodyText"/>
        <w:ind w:right="102"/>
      </w:pPr>
      <w:r>
        <w:t>Although the PHA must verify aspects of program eligibility when any new family member is added, the Streamlining Final Rule removed the requirement that PHAs conduct a reexamination of income whenever a new family member is added. The PHA may state in policy that an income reexamination will be conducted.</w:t>
      </w:r>
    </w:p>
    <w:p w:rsidR="004E13A5" w:rsidRDefault="00681463">
      <w:pPr>
        <w:pStyle w:val="BodyText"/>
      </w:pPr>
      <w:r>
        <w:t>If a change in family size causes a violation of Housing Quality Standards (</w:t>
      </w:r>
      <w:r w:rsidR="002C4221">
        <w:t>NSPIRE</w:t>
      </w:r>
      <w:r>
        <w:t xml:space="preserve">) space standards (see Chapter 8), the PHA must issue the family a new voucher, and the family and PHA must try to find an acceptable unit as soon as possible. If an acceptable unit is available for rental by </w:t>
      </w:r>
      <w:r>
        <w:lastRenderedPageBreak/>
        <w:t>the</w:t>
      </w:r>
    </w:p>
    <w:p w:rsidR="004E13A5" w:rsidRDefault="004E13A5">
      <w:pPr>
        <w:sectPr w:rsidR="004E13A5">
          <w:pgSz w:w="12240" w:h="15840"/>
          <w:pgMar w:top="1000" w:right="1240" w:bottom="1220" w:left="1220" w:header="0" w:footer="1023" w:gutter="0"/>
          <w:cols w:space="720"/>
        </w:sectPr>
      </w:pPr>
    </w:p>
    <w:p w:rsidR="004E13A5" w:rsidRDefault="00681463">
      <w:pPr>
        <w:pStyle w:val="BodyText"/>
        <w:spacing w:before="79"/>
        <w:ind w:right="355"/>
      </w:pPr>
      <w:r>
        <w:lastRenderedPageBreak/>
        <w:t>family, the PHA must terminate the family’s HAP contract in accordance with its terms [24 CFR 982.403]</w:t>
      </w:r>
      <w:r>
        <w:rPr>
          <w:color w:val="0000FF"/>
        </w:rPr>
        <w:t>.</w:t>
      </w:r>
    </w:p>
    <w:p w:rsidR="004E13A5" w:rsidRDefault="00681463">
      <w:pPr>
        <w:pStyle w:val="BodyText"/>
        <w:spacing w:before="120"/>
        <w:ind w:left="820"/>
      </w:pPr>
      <w:r>
        <w:rPr>
          <w:u w:val="single"/>
        </w:rPr>
        <w:t>PHA Policy</w:t>
      </w:r>
    </w:p>
    <w:p w:rsidR="004E13A5" w:rsidRDefault="00681463">
      <w:pPr>
        <w:pStyle w:val="BodyText"/>
        <w:ind w:left="820" w:right="108"/>
      </w:pPr>
      <w:r>
        <w:t>Families must request PHA approval to add a new family member, live-in aide, foster child, or foster adult. This includes any person not on the lease who is expected to stay in the unit for more than 30 consecutive days or 90 cumulative days within a 12-month period and therefore no longer qualifies as a “guest.” Requests must be made in writing and approved by the PHA prior to the individual moving into the unit.</w:t>
      </w:r>
    </w:p>
    <w:p w:rsidR="004E13A5" w:rsidRDefault="00681463">
      <w:pPr>
        <w:pStyle w:val="BodyText"/>
        <w:ind w:left="820" w:right="455"/>
      </w:pPr>
      <w:r>
        <w:t>The PHA will not approve the addition of a new family or household member unless the individual meets the PHA’s eligibility criteria (see Chapter 3) and documentation requirements (see Chapter 7, Part II).</w:t>
      </w:r>
    </w:p>
    <w:p w:rsidR="004E13A5" w:rsidRDefault="00681463">
      <w:pPr>
        <w:pStyle w:val="BodyText"/>
        <w:ind w:left="820" w:right="622"/>
      </w:pPr>
      <w:r>
        <w:t xml:space="preserve">The PHA will not approve the addition of a foster child or foster adult if it will cause a violation of </w:t>
      </w:r>
      <w:r w:rsidR="002C4221">
        <w:t>NSPIRE</w:t>
      </w:r>
      <w:r>
        <w:t xml:space="preserve"> space standards.</w:t>
      </w:r>
    </w:p>
    <w:p w:rsidR="004E13A5" w:rsidRDefault="00681463">
      <w:pPr>
        <w:pStyle w:val="BodyText"/>
        <w:ind w:left="820" w:right="142"/>
      </w:pPr>
      <w:r>
        <w:t xml:space="preserve">If the PHA determines an individual meets the PHA’s eligibility criteria and documentation requirements, the PHA will provide written approval to the family. If the approval of a new family member or live-in aide will cause overcrowding according to </w:t>
      </w:r>
      <w:r w:rsidR="002C4221">
        <w:t>NSPIRE</w:t>
      </w:r>
      <w:r>
        <w:t xml:space="preserve"> standards, the approval letter will explain that the family will be issued a voucher and will be required to move.</w:t>
      </w:r>
    </w:p>
    <w:p w:rsidR="004E13A5" w:rsidRDefault="00681463">
      <w:pPr>
        <w:pStyle w:val="BodyText"/>
        <w:ind w:left="820" w:right="488"/>
      </w:pPr>
      <w:r>
        <w:t>If the PHA determines that an individual does not meet the PHA’s eligibility criteria or documentation requirements, the PHA will notify the family in writing of its decision to deny approval of the new family or household member and the reasons for the denial.</w:t>
      </w:r>
    </w:p>
    <w:p w:rsidR="004E13A5" w:rsidRDefault="00681463">
      <w:pPr>
        <w:pStyle w:val="BodyText"/>
        <w:ind w:left="820" w:right="281"/>
      </w:pPr>
      <w:r>
        <w:t>The PHA will make its determination within 10 business days of receiving all information required to verify the individual’s eligibility.</w:t>
      </w:r>
    </w:p>
    <w:p w:rsidR="004E13A5" w:rsidRDefault="00681463">
      <w:pPr>
        <w:pStyle w:val="Heading4"/>
        <w:spacing w:before="120"/>
      </w:pPr>
      <w:bookmarkStart w:id="137" w:name="_TOC_250288"/>
      <w:bookmarkEnd w:id="137"/>
      <w:r>
        <w:t>Departure of a Family or Household Member</w:t>
      </w:r>
    </w:p>
    <w:p w:rsidR="004E13A5" w:rsidRDefault="00681463">
      <w:pPr>
        <w:pStyle w:val="BodyText"/>
        <w:spacing w:before="120"/>
      </w:pPr>
      <w:r>
        <w:t>Families must promptly notify the PHA if any family member no longer lives in the unit</w:t>
      </w:r>
    </w:p>
    <w:p w:rsidR="004E13A5" w:rsidRDefault="00681463">
      <w:pPr>
        <w:pStyle w:val="BodyText"/>
        <w:spacing w:before="120"/>
        <w:ind w:right="149"/>
      </w:pPr>
      <w:r>
        <w:t>[24 CFR 982.551(h)(3)]. Because household members are considered when determining the family unit (voucher) size [24 CFR 982.402], the PHA also needs to know when any live-in aide, foster child, or foster adult ceases to reside in the unit.</w:t>
      </w:r>
    </w:p>
    <w:p w:rsidR="004E13A5" w:rsidRDefault="00681463">
      <w:pPr>
        <w:pStyle w:val="BodyText"/>
        <w:spacing w:before="120"/>
        <w:ind w:left="820"/>
      </w:pPr>
      <w:r>
        <w:rPr>
          <w:u w:val="single"/>
        </w:rPr>
        <w:t>PHA Policy</w:t>
      </w:r>
    </w:p>
    <w:p w:rsidR="004E13A5" w:rsidRDefault="00681463">
      <w:pPr>
        <w:pStyle w:val="BodyText"/>
        <w:spacing w:before="120"/>
        <w:ind w:left="820" w:right="228"/>
      </w:pPr>
      <w:r>
        <w:t>If a household member ceases to reside in the unit, the family must inform the PHA within 10 business days. This requirement also applies to a family member who has been considered temporarily absent at the point that the family concludes the individual is permanently absent.</w:t>
      </w:r>
    </w:p>
    <w:p w:rsidR="004E13A5" w:rsidRDefault="004E13A5">
      <w:pPr>
        <w:pStyle w:val="BodyText"/>
        <w:spacing w:before="10"/>
        <w:ind w:left="0"/>
        <w:rPr>
          <w:sz w:val="20"/>
        </w:rPr>
      </w:pPr>
    </w:p>
    <w:p w:rsidR="004E13A5" w:rsidRDefault="00681463">
      <w:pPr>
        <w:pStyle w:val="Heading4"/>
      </w:pPr>
      <w:bookmarkStart w:id="138" w:name="_TOC_250287"/>
      <w:bookmarkEnd w:id="138"/>
      <w:r>
        <w:t>11-II.C. CHANGES AFFECTING INCOME OR EXPENSES</w:t>
      </w:r>
    </w:p>
    <w:p w:rsidR="004E13A5" w:rsidRDefault="00681463">
      <w:pPr>
        <w:pStyle w:val="BodyText"/>
        <w:ind w:right="90"/>
      </w:pPr>
      <w:r>
        <w:t>Interim reexaminations can be scheduled either because the PHA has reason to believe that changes in income or expenses may have occurred, or because the family reports a change. When a family reports a change, the PHA may take different actions depending on whether the family reported the change voluntarily, or because it was required to do so.</w:t>
      </w:r>
    </w:p>
    <w:p w:rsidR="004E13A5" w:rsidRDefault="00681463">
      <w:pPr>
        <w:pStyle w:val="Heading4"/>
        <w:spacing w:before="119"/>
      </w:pPr>
      <w:bookmarkStart w:id="139" w:name="_TOC_250286"/>
      <w:bookmarkEnd w:id="139"/>
      <w:r>
        <w:t>PHA-Initiated Interim Reexaminations</w:t>
      </w:r>
    </w:p>
    <w:p w:rsidR="004E13A5" w:rsidRDefault="00681463">
      <w:pPr>
        <w:pStyle w:val="BodyText"/>
        <w:ind w:right="483"/>
      </w:pPr>
      <w:r>
        <w:t>PHA-initiated interim reexaminations are those that are scheduled based on circumstances or criteria defined by the PHA. They are not scheduled because of changes reported by the family.</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820"/>
        <w:jc w:val="both"/>
      </w:pPr>
      <w:r>
        <w:rPr>
          <w:u w:val="single"/>
        </w:rPr>
        <w:lastRenderedPageBreak/>
        <w:t>PHA Policy</w:t>
      </w:r>
    </w:p>
    <w:p w:rsidR="004E13A5" w:rsidRDefault="00681463">
      <w:pPr>
        <w:pStyle w:val="BodyText"/>
        <w:spacing w:before="120"/>
        <w:ind w:left="820"/>
        <w:jc w:val="both"/>
      </w:pPr>
      <w:r>
        <w:t>The PHA will conduct interim reexaminations in each of the following instances:</w:t>
      </w:r>
    </w:p>
    <w:p w:rsidR="004E13A5" w:rsidRDefault="00681463">
      <w:pPr>
        <w:pStyle w:val="BodyText"/>
        <w:ind w:left="1540" w:right="852"/>
        <w:jc w:val="both"/>
      </w:pPr>
      <w:r>
        <w:t>For families receiving the Earned Income Disallowance (EID), the PHA will conduct an interim reexamination at the start and conclusion of the 24-month eligibility period.</w:t>
      </w:r>
    </w:p>
    <w:p w:rsidR="004E13A5" w:rsidRDefault="00681463">
      <w:pPr>
        <w:pStyle w:val="BodyText"/>
        <w:ind w:left="1540" w:right="89"/>
      </w:pPr>
      <w:r>
        <w:t>For a family that reported zero income, the PHA will request updated income information every 3 months as long as the family continues to report that they have no income. If the family reports they have started receiving income, that information will be held and calculated in the next annual reexamination.</w:t>
      </w:r>
    </w:p>
    <w:p w:rsidR="004E13A5" w:rsidRDefault="00681463">
      <w:pPr>
        <w:pStyle w:val="BodyText"/>
        <w:ind w:left="1540" w:right="36"/>
      </w:pPr>
      <w:r>
        <w:t>If at the time of the annual reexamination, it is not feasible to anticipate a level of income for the next 12 months (e.g. seasonal or cyclic income), the PHA will schedule an interim reexamination to coincide with the end of the period for which it is feasible to project income.</w:t>
      </w:r>
    </w:p>
    <w:p w:rsidR="004E13A5" w:rsidRDefault="00681463">
      <w:pPr>
        <w:pStyle w:val="BodyText"/>
        <w:ind w:left="1540" w:right="183"/>
      </w:pPr>
      <w:r>
        <w:t>If at the time of the annual reexamination, tenant declarations were used on a provisional basis due to the lack of third-party verification, and third-party verification becomes available, the PHA will conduct an interim reexamination.</w:t>
      </w:r>
    </w:p>
    <w:p w:rsidR="004E13A5" w:rsidRDefault="00681463">
      <w:pPr>
        <w:pStyle w:val="BodyText"/>
        <w:ind w:left="1540"/>
      </w:pPr>
      <w:r>
        <w:t>The PHA may conduct an interim reexamination at any time in order to correct an error in a previous reexamination, or to investigate a tenant fraud complaint.</w:t>
      </w:r>
    </w:p>
    <w:p w:rsidR="004E13A5" w:rsidRDefault="00681463">
      <w:pPr>
        <w:pStyle w:val="Heading4"/>
        <w:spacing w:before="119"/>
      </w:pPr>
      <w:bookmarkStart w:id="140" w:name="_TOC_250285"/>
      <w:bookmarkEnd w:id="140"/>
      <w:r>
        <w:t>Family-Initiated Interim Reexaminations</w:t>
      </w:r>
    </w:p>
    <w:p w:rsidR="004E13A5" w:rsidRDefault="00681463">
      <w:pPr>
        <w:pStyle w:val="BodyText"/>
        <w:ind w:right="82"/>
      </w:pPr>
      <w:r>
        <w:t>The PHA must adopt policies prescribing when and under what conditions the family must report changes in family income or expenses [24 CFR 982.516(c)]. In addition, HUD regulations require that the family be permitted to obtain an interim reexamination any time the family has experienced a change in circumstances since the last determination [24 CFR 982.516(b)(2)].</w:t>
      </w:r>
    </w:p>
    <w:p w:rsidR="00277488" w:rsidRDefault="00277488">
      <w:pPr>
        <w:pStyle w:val="BodyText"/>
        <w:ind w:right="82"/>
        <w:rPr>
          <w:b/>
        </w:rPr>
      </w:pPr>
      <w:r>
        <w:rPr>
          <w:b/>
        </w:rPr>
        <w:t>Interim Decreases [24 CFR 982.516(c) and Notice PIH 2023-27</w:t>
      </w:r>
    </w:p>
    <w:p w:rsidR="00277488" w:rsidRDefault="00277488">
      <w:pPr>
        <w:pStyle w:val="BodyText"/>
        <w:ind w:right="82"/>
        <w:rPr>
          <w:b/>
        </w:rPr>
      </w:pPr>
    </w:p>
    <w:p w:rsidR="00277488" w:rsidRDefault="00277488" w:rsidP="00277488">
      <w:pPr>
        <w:pStyle w:val="BodyText"/>
        <w:spacing w:before="79"/>
        <w:ind w:left="820"/>
        <w:jc w:val="both"/>
      </w:pPr>
      <w:r>
        <w:rPr>
          <w:u w:val="single"/>
        </w:rPr>
        <w:t>PHA Policy</w:t>
      </w:r>
    </w:p>
    <w:p w:rsidR="00277488" w:rsidRDefault="00277488" w:rsidP="00277488">
      <w:pPr>
        <w:spacing w:before="120"/>
        <w:ind w:left="1800"/>
      </w:pPr>
      <w:bookmarkStart w:id="141" w:name="_Hlk144904473"/>
      <w:r w:rsidRPr="00935155">
        <w:t>The PHA will conduct an interim any time the family’s adjusted income has decreased by</w:t>
      </w:r>
      <w:r>
        <w:t xml:space="preserve"> any amount.</w:t>
      </w:r>
      <w:bookmarkEnd w:id="141"/>
    </w:p>
    <w:p w:rsidR="00FB2F65" w:rsidRPr="009B66EB" w:rsidRDefault="00FB2F65" w:rsidP="00FB2F65">
      <w:pPr>
        <w:spacing w:before="120"/>
        <w:rPr>
          <w:b/>
        </w:rPr>
      </w:pPr>
      <w:r w:rsidRPr="009B66EB">
        <w:rPr>
          <w:b/>
        </w:rPr>
        <w:t>Interim Increases [</w:t>
      </w:r>
      <w:r w:rsidRPr="008533EB">
        <w:rPr>
          <w:b/>
        </w:rPr>
        <w:t xml:space="preserve">24 CFR 982.516(c)(3) and </w:t>
      </w:r>
      <w:r w:rsidRPr="009B66EB">
        <w:rPr>
          <w:b/>
        </w:rPr>
        <w:t>Notice PIH 2023-27]</w:t>
      </w:r>
    </w:p>
    <w:p w:rsidR="00FB2F65" w:rsidRPr="00D21073" w:rsidRDefault="00FB2F65" w:rsidP="00FB2F65">
      <w:pPr>
        <w:spacing w:before="120"/>
        <w:rPr>
          <w:b/>
          <w:bCs/>
          <w:i/>
          <w:iCs/>
        </w:rPr>
      </w:pPr>
      <w:r w:rsidRPr="00D21073">
        <w:rPr>
          <w:b/>
          <w:bCs/>
          <w:i/>
          <w:iCs/>
        </w:rPr>
        <w:t>Increases Less than 10</w:t>
      </w:r>
      <w:r>
        <w:rPr>
          <w:b/>
          <w:bCs/>
          <w:i/>
          <w:iCs/>
        </w:rPr>
        <w:t xml:space="preserve"> Percent</w:t>
      </w:r>
    </w:p>
    <w:p w:rsidR="00FB2F65" w:rsidRPr="00D21073" w:rsidRDefault="00FB2F65" w:rsidP="00FB2F65">
      <w:pPr>
        <w:spacing w:before="120"/>
      </w:pPr>
      <w:r w:rsidRPr="00D21073">
        <w:t>PHAs must not process interim reexaminations for income increases that result in less than a 10</w:t>
      </w:r>
      <w:r>
        <w:t xml:space="preserve"> </w:t>
      </w:r>
      <w:r w:rsidRPr="00D21073">
        <w:t xml:space="preserve">percent increase in annual adjusted income. </w:t>
      </w:r>
      <w:r w:rsidRPr="00D21073">
        <w:rPr>
          <w:b/>
          <w:bCs/>
        </w:rPr>
        <w:t>No PHA policy decisions are required.</w:t>
      </w:r>
    </w:p>
    <w:p w:rsidR="00FB2F65" w:rsidRPr="00D21073" w:rsidRDefault="00FB2F65" w:rsidP="00FB2F65">
      <w:pPr>
        <w:spacing w:before="120"/>
        <w:rPr>
          <w:b/>
          <w:bCs/>
          <w:i/>
          <w:iCs/>
        </w:rPr>
      </w:pPr>
      <w:r w:rsidRPr="00D21073">
        <w:rPr>
          <w:b/>
          <w:bCs/>
          <w:i/>
          <w:iCs/>
        </w:rPr>
        <w:t>Increases 10</w:t>
      </w:r>
      <w:r>
        <w:rPr>
          <w:b/>
          <w:bCs/>
          <w:i/>
          <w:iCs/>
        </w:rPr>
        <w:t xml:space="preserve"> Percent or Greater</w:t>
      </w:r>
    </w:p>
    <w:p w:rsidR="00FB2F65" w:rsidRPr="009E3ECB" w:rsidRDefault="00FB2F65" w:rsidP="00FB2F65">
      <w:pPr>
        <w:spacing w:before="120"/>
      </w:pPr>
      <w:r w:rsidRPr="009B66EB">
        <w:t>The PHA must conduct an interim reexamination</w:t>
      </w:r>
      <w:r w:rsidRPr="009E3ECB">
        <w:t xml:space="preserve"> of family income when the PHA becomes aware that the family</w:t>
      </w:r>
      <w:r>
        <w:t>’</w:t>
      </w:r>
      <w:r w:rsidRPr="009E3ECB">
        <w:t>s adjusted income has changed by an amount that the PHA estimates will result in an increase of 10 percent or more in annual adjusted income.</w:t>
      </w:r>
      <w:bookmarkStart w:id="142" w:name="_Hlk136427173"/>
      <w:r w:rsidRPr="009E3ECB">
        <w:t xml:space="preserve"> However, the PHA may not consider earned </w:t>
      </w:r>
      <w:bookmarkEnd w:id="142"/>
      <w:r w:rsidRPr="009E3ECB">
        <w:t>income in estimating whether adjusted income has increased unless the family previously received an interim decrease during the same certification period. The PHA may choose not to include earned income increases in determining whether the 10 percent threshold is met for increases when the family previously had an interim performed for a decrease in adjusted income (whether for earned income, unearned income, or a combination of the two</w:t>
      </w:r>
      <w:r>
        <w:t>)</w:t>
      </w:r>
      <w:r w:rsidRPr="009E3ECB">
        <w:t xml:space="preserve"> since the last reexamination. </w:t>
      </w:r>
    </w:p>
    <w:p w:rsidR="00FB2F65" w:rsidRDefault="00FB2F65" w:rsidP="00FB2F65">
      <w:pPr>
        <w:pStyle w:val="BodyText"/>
        <w:ind w:left="820"/>
        <w:jc w:val="both"/>
        <w:rPr>
          <w:u w:val="single"/>
        </w:rPr>
      </w:pPr>
      <w:r>
        <w:tab/>
      </w:r>
      <w:r>
        <w:rPr>
          <w:u w:val="single"/>
        </w:rPr>
        <w:t>PHA Policy</w:t>
      </w:r>
    </w:p>
    <w:p w:rsidR="00FB2F65" w:rsidRPr="00B413D5" w:rsidRDefault="00FB2F65" w:rsidP="00FB2F65">
      <w:pPr>
        <w:tabs>
          <w:tab w:val="left" w:pos="1800"/>
        </w:tabs>
        <w:spacing w:before="120"/>
        <w:ind w:left="1800"/>
      </w:pPr>
      <w:r w:rsidRPr="00B413D5">
        <w:lastRenderedPageBreak/>
        <w:t>When a family reports an increase in their earned income between annual reexaminations, the PHA will not conduct an interim reexamination, regardless of the amount of the increase, and regardless of whether there was a previous decrease since the family’s last annual reexamination.</w:t>
      </w:r>
    </w:p>
    <w:p w:rsidR="00FB2F65" w:rsidRPr="00B413D5" w:rsidRDefault="00FB2F65" w:rsidP="00FB2F65">
      <w:pPr>
        <w:tabs>
          <w:tab w:val="left" w:pos="1800"/>
        </w:tabs>
        <w:spacing w:before="120"/>
        <w:ind w:left="1800"/>
      </w:pPr>
      <w:r w:rsidRPr="00B413D5">
        <w:t>The PHA will process an interim reexamination for any increases in unearned income of 10 percent or more in adjusted income.</w:t>
      </w:r>
    </w:p>
    <w:p w:rsidR="00FB2F65" w:rsidRPr="00935155" w:rsidRDefault="00FB2F65" w:rsidP="00FB2F65">
      <w:pPr>
        <w:spacing w:before="120"/>
        <w:ind w:left="1800"/>
      </w:pPr>
      <w:r w:rsidRPr="00B413D5">
        <w:t>The PHA will not perform an interim reexamination when a family reports an increase in income (whether earned or unearned income) within three months of their annual reexamination effective date. However, families who delay reporting income increases until the last three months of their certification period may be subject to retroactive rent increases in accordance with the PHA policies in Chapter 14.</w:t>
      </w:r>
    </w:p>
    <w:p w:rsidR="00FB2F65" w:rsidRDefault="00FB2F65" w:rsidP="00FB2F65">
      <w:pPr>
        <w:pStyle w:val="BodyText"/>
        <w:ind w:left="820"/>
        <w:jc w:val="both"/>
      </w:pPr>
    </w:p>
    <w:p w:rsidR="00277488" w:rsidRDefault="00277488" w:rsidP="00BF2931">
      <w:pPr>
        <w:pStyle w:val="BodyText"/>
        <w:ind w:left="0" w:right="82"/>
      </w:pPr>
    </w:p>
    <w:p w:rsidR="004E13A5" w:rsidRDefault="00681463">
      <w:pPr>
        <w:pStyle w:val="Heading5"/>
      </w:pPr>
      <w:r>
        <w:t>Required Reporting</w:t>
      </w:r>
    </w:p>
    <w:p w:rsidR="004E13A5" w:rsidRDefault="00681463">
      <w:pPr>
        <w:pStyle w:val="BodyText"/>
        <w:ind w:right="329"/>
      </w:pPr>
      <w:r>
        <w:t>HUD regulations give the PHA the freedom to determine the circumstances under which families will be required to report changes affecting income.</w:t>
      </w:r>
    </w:p>
    <w:p w:rsidR="004E13A5" w:rsidRDefault="00681463">
      <w:pPr>
        <w:pStyle w:val="BodyText"/>
        <w:ind w:left="820"/>
        <w:jc w:val="both"/>
      </w:pPr>
      <w:r>
        <w:rPr>
          <w:u w:val="single"/>
        </w:rPr>
        <w:t>PHA Policy</w:t>
      </w:r>
    </w:p>
    <w:p w:rsidR="004E13A5" w:rsidRDefault="00681463">
      <w:pPr>
        <w:pStyle w:val="BodyText"/>
        <w:ind w:left="820" w:right="515"/>
      </w:pPr>
      <w:r>
        <w:t>Families are encouraged to report, in writing, all increases in income within 10 business days of the date the change takes effect.</w:t>
      </w:r>
    </w:p>
    <w:p w:rsidR="004E13A5" w:rsidRDefault="00681463">
      <w:pPr>
        <w:pStyle w:val="BodyText"/>
        <w:ind w:left="820" w:right="211"/>
        <w:jc w:val="both"/>
      </w:pPr>
      <w:r>
        <w:t>The PHA will only conduct interim reexaminations for families that qualify for the earned income disallowance (EID), and only when the EID family’s share of rent will change as a result of the increase. In all other cases, the PHA will note the information in the tenant file and any rent adjustments will be calculated at the next annual recertification.</w:t>
      </w:r>
    </w:p>
    <w:p w:rsidR="004E13A5" w:rsidRDefault="00681463">
      <w:pPr>
        <w:pStyle w:val="BodyText"/>
        <w:spacing w:before="120"/>
        <w:ind w:left="820"/>
        <w:jc w:val="both"/>
      </w:pPr>
      <w:r>
        <w:t>Families are not required to report any other changes in income or expenses.</w:t>
      </w:r>
    </w:p>
    <w:p w:rsidR="004E13A5" w:rsidRDefault="00681463">
      <w:pPr>
        <w:pStyle w:val="Heading5"/>
        <w:spacing w:before="120"/>
      </w:pPr>
      <w:r>
        <w:t>Optional Reporting</w:t>
      </w:r>
    </w:p>
    <w:p w:rsidR="004E13A5" w:rsidRDefault="00681463">
      <w:pPr>
        <w:pStyle w:val="BodyText"/>
        <w:spacing w:before="120"/>
        <w:ind w:right="237"/>
      </w:pPr>
      <w:r>
        <w:t>The family may request an interim reexamination any time the family has experienced a change in circumstances since the last determination [24 CFR 982.516(b)(2)]. The PHA must process the request if the family reports a change that will result in a reduced family income [HCV GB, p. 12- 9].</w:t>
      </w:r>
    </w:p>
    <w:p w:rsidR="004E13A5" w:rsidRDefault="00681463">
      <w:pPr>
        <w:pStyle w:val="BodyText"/>
        <w:spacing w:before="120"/>
        <w:ind w:right="723"/>
      </w:pPr>
      <w:r>
        <w:t>If a family reports a decrease in income from the loss of welfare benefits due to fraud or non- compliance with a welfare agency requirement to participate in an economic self-sufficiency</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302"/>
      </w:pPr>
      <w:r>
        <w:lastRenderedPageBreak/>
        <w:t>program, the family’s share of the rent will not be reduced [24 CFR 5.615]. For more information regarding the requirement to impute welfare income see Chapter 6.</w:t>
      </w:r>
    </w:p>
    <w:p w:rsidR="004E13A5" w:rsidRDefault="00681463">
      <w:pPr>
        <w:pStyle w:val="BodyText"/>
        <w:spacing w:before="120"/>
        <w:ind w:left="820"/>
      </w:pPr>
      <w:r>
        <w:rPr>
          <w:u w:val="single"/>
        </w:rPr>
        <w:t>PHA Policy</w:t>
      </w:r>
    </w:p>
    <w:p w:rsidR="004E13A5" w:rsidRDefault="00681463">
      <w:pPr>
        <w:pStyle w:val="BodyText"/>
        <w:ind w:left="820" w:right="242"/>
      </w:pPr>
      <w:r>
        <w:t>If a family reports a change that it was not required to report and that would result in an increase in the family share of the rent, the PHA will note the information in the tenant file and any adjustments will be calculated at the next annual recertification.</w:t>
      </w:r>
    </w:p>
    <w:p w:rsidR="004E13A5" w:rsidRDefault="00681463">
      <w:pPr>
        <w:pStyle w:val="BodyText"/>
        <w:ind w:left="820" w:right="442"/>
      </w:pPr>
      <w:r>
        <w:t>If a family reports a change that it was not required to report and that would result in a decrease in the family share of rent, the PHA will conduct an interim reexamination. See Section 11-II.D. for effective dates.</w:t>
      </w:r>
    </w:p>
    <w:p w:rsidR="004E13A5" w:rsidRDefault="00681463">
      <w:pPr>
        <w:pStyle w:val="BodyText"/>
        <w:ind w:left="820"/>
      </w:pPr>
      <w:r>
        <w:t>Families may report changes in income or expenses at any time.</w:t>
      </w:r>
    </w:p>
    <w:p w:rsidR="004E13A5" w:rsidRDefault="004E13A5">
      <w:pPr>
        <w:pStyle w:val="BodyText"/>
        <w:spacing w:before="9"/>
        <w:ind w:left="0"/>
        <w:rPr>
          <w:sz w:val="20"/>
        </w:rPr>
      </w:pPr>
    </w:p>
    <w:p w:rsidR="004E13A5" w:rsidRDefault="00681463">
      <w:pPr>
        <w:pStyle w:val="Heading4"/>
      </w:pPr>
      <w:bookmarkStart w:id="143" w:name="_TOC_250284"/>
      <w:bookmarkEnd w:id="143"/>
      <w:r>
        <w:t>11-II.D. PROCESSING THE INTERIM REEXAMINATION</w:t>
      </w:r>
    </w:p>
    <w:p w:rsidR="004E13A5" w:rsidRDefault="00681463">
      <w:pPr>
        <w:pStyle w:val="Heading4"/>
        <w:spacing w:before="120"/>
      </w:pPr>
      <w:bookmarkStart w:id="144" w:name="_TOC_250283"/>
      <w:bookmarkEnd w:id="144"/>
      <w:r>
        <w:t>Method of Reporting</w:t>
      </w:r>
    </w:p>
    <w:p w:rsidR="004E13A5" w:rsidRDefault="00681463">
      <w:pPr>
        <w:pStyle w:val="BodyText"/>
        <w:ind w:left="820"/>
      </w:pPr>
      <w:r>
        <w:rPr>
          <w:u w:val="single"/>
        </w:rPr>
        <w:t>PHA Policy</w:t>
      </w:r>
    </w:p>
    <w:p w:rsidR="004E13A5" w:rsidRDefault="00681463">
      <w:pPr>
        <w:pStyle w:val="BodyText"/>
        <w:ind w:left="820"/>
      </w:pPr>
      <w:r>
        <w:t>The family must notify the PHA of changes in writing.</w:t>
      </w:r>
    </w:p>
    <w:p w:rsidR="004E13A5" w:rsidRDefault="00681463">
      <w:pPr>
        <w:pStyle w:val="BodyText"/>
        <w:ind w:left="820" w:right="102"/>
      </w:pPr>
      <w:r>
        <w:t>Based on the type of change reported, the PHA will determine the documentation the family will be required to submit. The family must submit any required information or documents within 10 business days of receiving a request from the PHA. This time frame may be extended for good cause with PHA approval. The PHA will accept required documentation by mail, by email, by fax, or in person.</w:t>
      </w:r>
    </w:p>
    <w:p w:rsidR="004E13A5" w:rsidRDefault="00681463">
      <w:pPr>
        <w:pStyle w:val="Heading4"/>
        <w:spacing w:before="119"/>
      </w:pPr>
      <w:bookmarkStart w:id="145" w:name="_TOC_250282"/>
      <w:bookmarkEnd w:id="145"/>
      <w:r>
        <w:t>Effective Dates</w:t>
      </w:r>
    </w:p>
    <w:p w:rsidR="004E13A5" w:rsidRDefault="00681463">
      <w:pPr>
        <w:pStyle w:val="BodyText"/>
        <w:ind w:right="183"/>
      </w:pPr>
      <w:r>
        <w:t xml:space="preserve">The PHA must establish the time frames in which any changes that result from an interim reexamination will take effect [24 CFR 982.516(d)]. The changes may be applied either retroactively or prospectively, depending on whether there is to be an increase or a decrease in the family share of the rent, and whether the family reported any required information within the required time frames </w:t>
      </w:r>
    </w:p>
    <w:p w:rsidR="004E13A5" w:rsidRDefault="00681463">
      <w:pPr>
        <w:pStyle w:val="BodyText"/>
        <w:ind w:left="820"/>
      </w:pPr>
      <w:r>
        <w:rPr>
          <w:u w:val="single"/>
        </w:rPr>
        <w:t>PHA Policy</w:t>
      </w:r>
    </w:p>
    <w:p w:rsidR="004E13A5" w:rsidRDefault="00681463">
      <w:pPr>
        <w:pStyle w:val="BodyText"/>
        <w:ind w:left="820"/>
      </w:pPr>
      <w:r>
        <w:t xml:space="preserve">If the family share of the rent is to </w:t>
      </w:r>
      <w:r>
        <w:rPr>
          <w:i/>
        </w:rPr>
        <w:t>increase</w:t>
      </w:r>
      <w:r>
        <w:t>:</w:t>
      </w:r>
    </w:p>
    <w:p w:rsidR="004E13A5" w:rsidRDefault="00681463">
      <w:pPr>
        <w:pStyle w:val="BodyText"/>
        <w:ind w:left="1540"/>
      </w:pPr>
      <w:r>
        <w:t>The increase generally will be effective on the first of the month following 30 days’ notice to the family.</w:t>
      </w:r>
    </w:p>
    <w:p w:rsidR="004E13A5" w:rsidRDefault="00681463">
      <w:pPr>
        <w:pStyle w:val="BodyText"/>
        <w:ind w:left="1540" w:right="108"/>
      </w:pPr>
      <w:r>
        <w:t>If a family fails to report a change within the required time frames, or fails to provide all required information within the required time frames, the increase will</w:t>
      </w:r>
      <w:r>
        <w:rPr>
          <w:spacing w:val="-14"/>
        </w:rPr>
        <w:t xml:space="preserve"> </w:t>
      </w:r>
      <w:r>
        <w:t>be applied retroactively, to the date it would have been effective had the information been provided on a timely basis. The family will be responsible for any overpaid subsidy and may be offered a repayment agreement in accordance with the policies in Chapter</w:t>
      </w:r>
      <w:r>
        <w:rPr>
          <w:spacing w:val="-3"/>
        </w:rPr>
        <w:t xml:space="preserve"> </w:t>
      </w:r>
      <w:r>
        <w:t>16.</w:t>
      </w:r>
    </w:p>
    <w:p w:rsidR="004E13A5" w:rsidRDefault="00681463">
      <w:pPr>
        <w:pStyle w:val="BodyText"/>
        <w:ind w:left="820"/>
      </w:pPr>
      <w:r>
        <w:t xml:space="preserve">If the family share of the rent is to </w:t>
      </w:r>
      <w:r>
        <w:rPr>
          <w:i/>
        </w:rPr>
        <w:t>decrease</w:t>
      </w:r>
      <w:r>
        <w:t>:</w:t>
      </w:r>
    </w:p>
    <w:p w:rsidR="004E13A5" w:rsidRDefault="00681463">
      <w:pPr>
        <w:pStyle w:val="BodyText"/>
        <w:ind w:left="1540"/>
      </w:pPr>
      <w:r>
        <w:t>The decrease will be effective on the first day of the month following the month in which the change was reported and all required documentation was submitted. In cases where the change cannot be verified until after the date the change would have become effective, the change will be made retroactively.</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ind w:left="967"/>
      </w:pPr>
      <w:bookmarkStart w:id="146" w:name="_TOC_250281"/>
      <w:bookmarkEnd w:id="146"/>
      <w:r>
        <w:lastRenderedPageBreak/>
        <w:t>PART III: RECALCULATING FAMILY SHARE AND SUBSIDY AMOUNT</w:t>
      </w:r>
    </w:p>
    <w:p w:rsidR="004E13A5" w:rsidRDefault="004E13A5">
      <w:pPr>
        <w:pStyle w:val="BodyText"/>
        <w:spacing w:before="10"/>
        <w:ind w:left="0"/>
        <w:rPr>
          <w:b/>
          <w:sz w:val="20"/>
        </w:rPr>
      </w:pPr>
    </w:p>
    <w:p w:rsidR="004E13A5" w:rsidRDefault="00681463">
      <w:pPr>
        <w:pStyle w:val="Heading4"/>
        <w:ind w:left="180"/>
      </w:pPr>
      <w:bookmarkStart w:id="147" w:name="_TOC_250280"/>
      <w:bookmarkEnd w:id="147"/>
      <w:r>
        <w:t>11-III.A. OVERVIEW</w:t>
      </w:r>
    </w:p>
    <w:p w:rsidR="004E13A5" w:rsidRDefault="00681463">
      <w:pPr>
        <w:pStyle w:val="BodyText"/>
        <w:ind w:left="180" w:right="83"/>
      </w:pPr>
      <w:r>
        <w:t>After gathering and verifying required information for an annual or interim reexamination, the PHA must recalculate the family share of the rent and the subsidy amount, and notify the family and owner of the changes [24 CFR 982.516(d)(2), HCV 12-6 and 12-10]. While the basic policies that govern these calculations are provided in Chapter 6, this part lays out policies that affect these calculations during a reexamination.</w:t>
      </w:r>
    </w:p>
    <w:p w:rsidR="004E13A5" w:rsidRDefault="004E13A5">
      <w:pPr>
        <w:pStyle w:val="BodyText"/>
        <w:spacing w:before="9"/>
        <w:ind w:left="0"/>
        <w:rPr>
          <w:sz w:val="20"/>
        </w:rPr>
      </w:pPr>
    </w:p>
    <w:p w:rsidR="004E13A5" w:rsidRDefault="00681463">
      <w:pPr>
        <w:pStyle w:val="Heading4"/>
        <w:ind w:left="180"/>
      </w:pPr>
      <w:bookmarkStart w:id="148" w:name="_TOC_250279"/>
      <w:bookmarkEnd w:id="148"/>
      <w:r>
        <w:t>11-III.B. CHANGES IN PAYMENT STANDARDS AND UTILITY ALLOWANCES</w:t>
      </w:r>
    </w:p>
    <w:p w:rsidR="004E13A5" w:rsidRDefault="00681463">
      <w:pPr>
        <w:pStyle w:val="BodyText"/>
        <w:ind w:left="180" w:right="83"/>
      </w:pPr>
      <w:r>
        <w:t>In order to calculate the family share of the rent and HAP amount correctly, changes in payment standards, subsidy standards, or utility allowances may need to be updated and included in the PHA’s calculations.</w:t>
      </w:r>
    </w:p>
    <w:p w:rsidR="004E13A5" w:rsidRDefault="00681463">
      <w:pPr>
        <w:pStyle w:val="BodyText"/>
        <w:spacing w:before="120"/>
        <w:ind w:left="180"/>
      </w:pPr>
      <w:r>
        <w:t>Specific policies governing how subsidy standards, payment standards, and utility allowances are applied are discussed below.</w:t>
      </w:r>
    </w:p>
    <w:p w:rsidR="004E13A5" w:rsidRDefault="00681463">
      <w:pPr>
        <w:pStyle w:val="Heading4"/>
        <w:spacing w:before="120"/>
        <w:ind w:left="180"/>
      </w:pPr>
      <w:bookmarkStart w:id="149" w:name="_TOC_250278"/>
      <w:bookmarkEnd w:id="149"/>
      <w:r>
        <w:t>Payment Standards [24 CFR 982.505]</w:t>
      </w:r>
    </w:p>
    <w:p w:rsidR="004E13A5" w:rsidRDefault="00681463">
      <w:pPr>
        <w:pStyle w:val="BodyText"/>
        <w:spacing w:before="120"/>
        <w:ind w:left="180" w:right="83"/>
      </w:pPr>
      <w:r>
        <w:t>The family share of the rent and HAP calculations must use the correct payment standard for the family, taking into consideration the family unit size, the size of unit, and the area in which the unit is located [HCV GB, p. 12-5]. See Chapter 6 for information on how to select the appropriate payment standard.</w:t>
      </w:r>
    </w:p>
    <w:p w:rsidR="004E13A5" w:rsidRDefault="00681463">
      <w:pPr>
        <w:pStyle w:val="BodyText"/>
        <w:spacing w:before="120"/>
        <w:ind w:left="180" w:right="642"/>
      </w:pPr>
      <w:r>
        <w:t>When the PHA changes its payment standards or the family’s situation changes, new payment standards are applied at the following times:</w:t>
      </w:r>
    </w:p>
    <w:p w:rsidR="004E13A5" w:rsidRDefault="00681463">
      <w:pPr>
        <w:pStyle w:val="BodyText"/>
        <w:tabs>
          <w:tab w:val="left" w:pos="540"/>
        </w:tabs>
        <w:ind w:left="540" w:right="344" w:hanging="432"/>
      </w:pPr>
      <w:r>
        <w:rPr>
          <w:rFonts w:ascii="Symbol" w:hAnsi="Symbol"/>
        </w:rPr>
        <w:t></w:t>
      </w:r>
      <w:r>
        <w:tab/>
        <w:t>If the PHA’s payment standard amount changes during the term of the HAP contract,</w:t>
      </w:r>
      <w:r>
        <w:rPr>
          <w:spacing w:val="-14"/>
        </w:rPr>
        <w:t xml:space="preserve"> </w:t>
      </w:r>
      <w:r>
        <w:t>the</w:t>
      </w:r>
      <w:r>
        <w:rPr>
          <w:spacing w:val="-2"/>
        </w:rPr>
        <w:t xml:space="preserve"> </w:t>
      </w:r>
      <w:r>
        <w:t>date on which the new standard is applied depends on whether the standard has increased or decreased:</w:t>
      </w:r>
    </w:p>
    <w:p w:rsidR="004E13A5" w:rsidRDefault="00681463">
      <w:pPr>
        <w:pStyle w:val="BodyText"/>
        <w:tabs>
          <w:tab w:val="left" w:pos="900"/>
        </w:tabs>
        <w:spacing w:before="118"/>
        <w:ind w:left="900" w:right="314" w:hanging="360"/>
      </w:pPr>
      <w:r>
        <w:rPr>
          <w:rFonts w:ascii="Arial"/>
        </w:rPr>
        <w:t>-</w:t>
      </w:r>
      <w:r>
        <w:rPr>
          <w:rFonts w:ascii="Arial"/>
        </w:rPr>
        <w:tab/>
      </w:r>
      <w:r>
        <w:t>If the payment standard amount has i</w:t>
      </w:r>
      <w:r>
        <w:rPr>
          <w:i/>
        </w:rPr>
        <w:t xml:space="preserve">ncreased, </w:t>
      </w:r>
      <w:r>
        <w:t>the increased payment standard</w:t>
      </w:r>
      <w:r>
        <w:rPr>
          <w:spacing w:val="-13"/>
        </w:rPr>
        <w:t xml:space="preserve"> </w:t>
      </w:r>
      <w:r>
        <w:t>will</w:t>
      </w:r>
      <w:r>
        <w:rPr>
          <w:spacing w:val="-2"/>
        </w:rPr>
        <w:t xml:space="preserve"> </w:t>
      </w:r>
      <w:r>
        <w:t xml:space="preserve">be applied at the </w:t>
      </w:r>
      <w:r>
        <w:rPr>
          <w:i/>
        </w:rPr>
        <w:t xml:space="preserve">first annual </w:t>
      </w:r>
      <w:r>
        <w:t>reexamination following the effective date of the increase in the payment</w:t>
      </w:r>
      <w:r>
        <w:rPr>
          <w:spacing w:val="-5"/>
        </w:rPr>
        <w:t xml:space="preserve"> </w:t>
      </w:r>
      <w:r>
        <w:t>standard.</w:t>
      </w:r>
    </w:p>
    <w:p w:rsidR="004E13A5" w:rsidRDefault="00681463">
      <w:pPr>
        <w:pStyle w:val="BodyText"/>
        <w:tabs>
          <w:tab w:val="left" w:pos="900"/>
        </w:tabs>
        <w:spacing w:before="118"/>
        <w:ind w:left="900" w:right="190" w:hanging="360"/>
      </w:pPr>
      <w:r>
        <w:rPr>
          <w:rFonts w:ascii="Arial" w:hAnsi="Arial"/>
        </w:rPr>
        <w:t>-</w:t>
      </w:r>
      <w:r>
        <w:rPr>
          <w:rFonts w:ascii="Arial" w:hAnsi="Arial"/>
        </w:rPr>
        <w:tab/>
      </w:r>
      <w:r>
        <w:t>If the payment standard amount has decreased, during the term of a HAP contract,</w:t>
      </w:r>
      <w:r>
        <w:rPr>
          <w:spacing w:val="-14"/>
        </w:rPr>
        <w:t xml:space="preserve"> </w:t>
      </w:r>
      <w:r>
        <w:t>the</w:t>
      </w:r>
      <w:r>
        <w:rPr>
          <w:spacing w:val="-2"/>
        </w:rPr>
        <w:t xml:space="preserve"> </w:t>
      </w:r>
      <w:r>
        <w:t>PHA</w:t>
      </w:r>
      <w:r>
        <w:rPr>
          <w:w w:val="99"/>
        </w:rPr>
        <w:t xml:space="preserve"> </w:t>
      </w:r>
      <w:r>
        <w:t>is not required to reduce the payment standard as long as the HAP contract remains in effect. At the family’s second annual reexamination, the PHA may, but is not required to, apply the decreased payment standard or may gradually implement the reduced payment standard (See Chapter 6 for the PHA’s policy on decreases in the payment</w:t>
      </w:r>
      <w:r>
        <w:rPr>
          <w:spacing w:val="-18"/>
        </w:rPr>
        <w:t xml:space="preserve"> </w:t>
      </w:r>
      <w:r>
        <w:t>standard).</w:t>
      </w:r>
    </w:p>
    <w:p w:rsidR="004E13A5" w:rsidRDefault="00681463">
      <w:pPr>
        <w:pStyle w:val="BodyText"/>
        <w:tabs>
          <w:tab w:val="left" w:pos="540"/>
        </w:tabs>
        <w:ind w:left="540" w:right="118" w:hanging="432"/>
      </w:pPr>
      <w:r>
        <w:rPr>
          <w:rFonts w:ascii="Symbol" w:hAnsi="Symbol"/>
        </w:rPr>
        <w:t></w:t>
      </w:r>
      <w:r>
        <w:tab/>
        <w:t>If the family moves to a new unit, or a new HAP contract is executed due to changes</w:t>
      </w:r>
      <w:r>
        <w:rPr>
          <w:spacing w:val="-15"/>
        </w:rPr>
        <w:t xml:space="preserve"> </w:t>
      </w:r>
      <w:r>
        <w:t>in</w:t>
      </w:r>
      <w:r>
        <w:rPr>
          <w:spacing w:val="-1"/>
        </w:rPr>
        <w:t xml:space="preserve"> </w:t>
      </w:r>
      <w:r>
        <w:t>the lease (even if the family remains in place) the current payment standard applicable to the family will be used when the new HAP contract is</w:t>
      </w:r>
      <w:r>
        <w:rPr>
          <w:spacing w:val="-9"/>
        </w:rPr>
        <w:t xml:space="preserve"> </w:t>
      </w:r>
      <w:r>
        <w:t>processed.</w:t>
      </w:r>
    </w:p>
    <w:p w:rsidR="004E13A5" w:rsidRDefault="00681463">
      <w:pPr>
        <w:pStyle w:val="Heading4"/>
        <w:spacing w:before="120"/>
        <w:ind w:left="180"/>
      </w:pPr>
      <w:bookmarkStart w:id="150" w:name="_TOC_250277"/>
      <w:bookmarkEnd w:id="150"/>
      <w:r>
        <w:t>Subsidy Standards [24 CFR 982.505(c)(4)]</w:t>
      </w:r>
    </w:p>
    <w:p w:rsidR="004E13A5" w:rsidRDefault="00681463">
      <w:pPr>
        <w:pStyle w:val="BodyText"/>
        <w:spacing w:before="120"/>
        <w:ind w:left="180" w:right="112"/>
      </w:pPr>
      <w:r>
        <w:t>If there is a change in the family unit size that would apply to a family during the HAP contract term, either due to a change in family composition, or a change in the PHA’s subsidy standards</w:t>
      </w:r>
      <w:r>
        <w:rPr>
          <w:spacing w:val="-20"/>
        </w:rPr>
        <w:t xml:space="preserve"> </w:t>
      </w:r>
      <w:r>
        <w:t xml:space="preserve">(see Chapter 5), the new family unit size must be used to determine the payment standard amount for the family at the family’s </w:t>
      </w:r>
      <w:r>
        <w:rPr>
          <w:i/>
        </w:rPr>
        <w:t xml:space="preserve">first annual </w:t>
      </w:r>
      <w:r>
        <w:t>reexamination following the change in family unit</w:t>
      </w:r>
      <w:r>
        <w:rPr>
          <w:spacing w:val="-17"/>
        </w:rPr>
        <w:t xml:space="preserve"> </w:t>
      </w:r>
      <w:r>
        <w:t>size.</w:t>
      </w:r>
    </w:p>
    <w:p w:rsidR="004E13A5" w:rsidRDefault="004E13A5">
      <w:pPr>
        <w:sectPr w:rsidR="004E13A5">
          <w:pgSz w:w="12240" w:h="15840"/>
          <w:pgMar w:top="1000" w:right="1220" w:bottom="1240" w:left="1140" w:header="0" w:footer="1023" w:gutter="0"/>
          <w:cols w:space="720"/>
        </w:sectPr>
      </w:pPr>
    </w:p>
    <w:p w:rsidR="004E13A5" w:rsidRDefault="00681463">
      <w:pPr>
        <w:pStyle w:val="Heading4"/>
        <w:spacing w:before="79"/>
      </w:pPr>
      <w:bookmarkStart w:id="151" w:name="_TOC_250276"/>
      <w:bookmarkEnd w:id="151"/>
      <w:r>
        <w:lastRenderedPageBreak/>
        <w:t>Utility Allowances [24 CFR 982.517(d)]</w:t>
      </w:r>
    </w:p>
    <w:p w:rsidR="004E13A5" w:rsidRDefault="00681463">
      <w:pPr>
        <w:pStyle w:val="BodyText"/>
        <w:spacing w:before="120"/>
      </w:pPr>
      <w:r>
        <w:t>The family share of the rent and HAP calculations must reflect any changes in the family’s utility arrangement with the owner, or in the PHA’s utility allowance schedule [HCV GB, p. 12-5].</w:t>
      </w:r>
    </w:p>
    <w:p w:rsidR="004E13A5" w:rsidRDefault="00681463">
      <w:pPr>
        <w:pStyle w:val="BodyText"/>
        <w:spacing w:before="0"/>
      </w:pPr>
      <w:r>
        <w:t>Chapter 16 discusses how utility allowance schedules are established.</w:t>
      </w:r>
    </w:p>
    <w:p w:rsidR="004E13A5" w:rsidRDefault="00681463">
      <w:pPr>
        <w:pStyle w:val="BodyText"/>
        <w:spacing w:before="120"/>
        <w:ind w:right="502"/>
      </w:pPr>
      <w:r>
        <w:t>When there are changes in the utility arrangement with the owner, the PHA must use the utility allowances in effect at the time the new lease and HAP contract are executed.</w:t>
      </w:r>
    </w:p>
    <w:p w:rsidR="004E13A5" w:rsidRDefault="00681463">
      <w:pPr>
        <w:pStyle w:val="BodyText"/>
        <w:ind w:right="188"/>
      </w:pPr>
      <w:r>
        <w:t>At reexamination, the PHA must use the PHA current utility allowance schedule [HCV GB, p. 18- 8].</w:t>
      </w:r>
    </w:p>
    <w:p w:rsidR="004E13A5" w:rsidRDefault="00681463">
      <w:pPr>
        <w:pStyle w:val="BodyText"/>
        <w:ind w:left="820"/>
      </w:pPr>
      <w:r>
        <w:rPr>
          <w:u w:val="single"/>
        </w:rPr>
        <w:t>PHA Policy</w:t>
      </w:r>
    </w:p>
    <w:p w:rsidR="004E13A5" w:rsidRDefault="00681463">
      <w:pPr>
        <w:pStyle w:val="BodyText"/>
        <w:ind w:left="820"/>
      </w:pPr>
      <w:r>
        <w:t>Revised utility allowances will be applied to a family’s rent and subsidy calculations at the first annual reexamination after the allowance is adopted.</w:t>
      </w:r>
    </w:p>
    <w:p w:rsidR="004E13A5" w:rsidRDefault="004E13A5">
      <w:pPr>
        <w:pStyle w:val="BodyText"/>
        <w:spacing w:before="9"/>
        <w:ind w:left="0"/>
        <w:rPr>
          <w:sz w:val="20"/>
        </w:rPr>
      </w:pPr>
    </w:p>
    <w:p w:rsidR="004E13A5" w:rsidRDefault="00681463">
      <w:pPr>
        <w:pStyle w:val="Heading4"/>
        <w:spacing w:before="1"/>
      </w:pPr>
      <w:bookmarkStart w:id="152" w:name="_TOC_250275"/>
      <w:bookmarkEnd w:id="152"/>
      <w:r>
        <w:t>11-III.C. NOTIFICATION OF NEW FAMILY SHARE AND HAP AMOUNT</w:t>
      </w:r>
    </w:p>
    <w:p w:rsidR="004E13A5" w:rsidRDefault="00681463">
      <w:pPr>
        <w:pStyle w:val="BodyText"/>
        <w:spacing w:before="120"/>
        <w:ind w:right="117"/>
      </w:pPr>
      <w:r>
        <w:t>The PHA must notify the owner and family of any changes in the amount of the HAP payment [HUD-52641, HAP Contract]. The notice must include the following information [HCV GB, p. 12- 6]:</w:t>
      </w:r>
    </w:p>
    <w:p w:rsidR="004E13A5" w:rsidRDefault="00681463">
      <w:pPr>
        <w:pStyle w:val="BodyText"/>
        <w:tabs>
          <w:tab w:val="left" w:pos="460"/>
        </w:tabs>
      </w:pPr>
      <w:r>
        <w:rPr>
          <w:rFonts w:ascii="Symbol" w:hAnsi="Symbol"/>
        </w:rPr>
        <w:t></w:t>
      </w:r>
      <w:r>
        <w:tab/>
        <w:t>The amount and effective date of the new HAP</w:t>
      </w:r>
      <w:r>
        <w:rPr>
          <w:spacing w:val="-11"/>
        </w:rPr>
        <w:t xml:space="preserve"> </w:t>
      </w:r>
      <w:r>
        <w:t>payment</w:t>
      </w:r>
    </w:p>
    <w:p w:rsidR="004E13A5" w:rsidRDefault="00681463">
      <w:pPr>
        <w:pStyle w:val="BodyText"/>
        <w:tabs>
          <w:tab w:val="left" w:pos="460"/>
        </w:tabs>
        <w:spacing w:before="118"/>
      </w:pPr>
      <w:r>
        <w:rPr>
          <w:rFonts w:ascii="Symbol" w:hAnsi="Symbol"/>
        </w:rPr>
        <w:t></w:t>
      </w:r>
      <w:r>
        <w:tab/>
        <w:t>The amount and effective date of the new family share of the</w:t>
      </w:r>
      <w:r>
        <w:rPr>
          <w:spacing w:val="-15"/>
        </w:rPr>
        <w:t xml:space="preserve"> </w:t>
      </w:r>
      <w:r>
        <w:t>rent</w:t>
      </w:r>
    </w:p>
    <w:p w:rsidR="004E13A5" w:rsidRDefault="00681463">
      <w:pPr>
        <w:pStyle w:val="BodyText"/>
        <w:tabs>
          <w:tab w:val="left" w:pos="460"/>
        </w:tabs>
        <w:spacing w:before="118"/>
      </w:pPr>
      <w:r>
        <w:rPr>
          <w:rFonts w:ascii="Symbol" w:hAnsi="Symbol"/>
        </w:rPr>
        <w:t></w:t>
      </w:r>
      <w:r>
        <w:tab/>
        <w:t>The amount and effective date of the new tenant rent to</w:t>
      </w:r>
      <w:r>
        <w:rPr>
          <w:spacing w:val="-11"/>
        </w:rPr>
        <w:t xml:space="preserve"> </w:t>
      </w:r>
      <w:r>
        <w:t>owner</w:t>
      </w:r>
    </w:p>
    <w:p w:rsidR="004E13A5" w:rsidRDefault="00681463">
      <w:pPr>
        <w:pStyle w:val="BodyText"/>
        <w:spacing w:before="118"/>
        <w:ind w:right="749"/>
      </w:pPr>
      <w:r>
        <w:t>The family must be given an opportunity for an informal hearing regarding the PHA’s determination of their annual or adjusted income, and the use of such income to compute the housing assistance payment [24 CFR 982.555(a)(1)(i)] (see Chapter 16).</w:t>
      </w:r>
    </w:p>
    <w:p w:rsidR="004E13A5" w:rsidRDefault="00681463">
      <w:pPr>
        <w:pStyle w:val="BodyText"/>
        <w:ind w:left="820"/>
      </w:pPr>
      <w:r>
        <w:rPr>
          <w:u w:val="single"/>
        </w:rPr>
        <w:t>PHA Policy</w:t>
      </w:r>
    </w:p>
    <w:p w:rsidR="004E13A5" w:rsidRDefault="00681463">
      <w:pPr>
        <w:pStyle w:val="BodyText"/>
        <w:ind w:left="820" w:right="415"/>
      </w:pPr>
      <w:r>
        <w:t>The notice to the family will include the annual and adjusted income amounts that were used to calculate the family share of the rent and the housing assistance payment.</w:t>
      </w:r>
    </w:p>
    <w:p w:rsidR="004E13A5" w:rsidRDefault="00681463">
      <w:pPr>
        <w:pStyle w:val="BodyText"/>
        <w:ind w:left="820" w:right="82"/>
      </w:pPr>
      <w:r>
        <w:t>The notice will state the family has the right to request an explanation of how the assistance was calculated and if the family disagrees, they have the right to informal hearing. The notice will include the procedures for requesting an informal hearing.</w:t>
      </w:r>
    </w:p>
    <w:p w:rsidR="004E13A5" w:rsidRDefault="004E13A5">
      <w:pPr>
        <w:pStyle w:val="BodyText"/>
        <w:spacing w:before="9"/>
        <w:ind w:left="0"/>
        <w:rPr>
          <w:sz w:val="20"/>
        </w:rPr>
      </w:pPr>
    </w:p>
    <w:p w:rsidR="004E13A5" w:rsidRDefault="00681463">
      <w:pPr>
        <w:pStyle w:val="Heading4"/>
      </w:pPr>
      <w:bookmarkStart w:id="153" w:name="_TOC_250274"/>
      <w:bookmarkEnd w:id="153"/>
      <w:r>
        <w:t>11-III.D. DISCREPANCIES</w:t>
      </w:r>
    </w:p>
    <w:p w:rsidR="004E13A5" w:rsidRDefault="00681463">
      <w:pPr>
        <w:pStyle w:val="BodyText"/>
        <w:ind w:right="216"/>
      </w:pPr>
      <w:r>
        <w:t>During an annual or interim reexamination, the PHA may discover that information previously reported by the family was in error, or that the family intentionally misrepresented information. In addition, the PHA may discover errors made by the PHA. When errors resulting in the overpayment or underpayment of subsidy are discovered, corrections will be made in accordance with the policies in Chapter 13.</w:t>
      </w:r>
    </w:p>
    <w:p w:rsidR="004E13A5" w:rsidRDefault="004E13A5">
      <w:pPr>
        <w:sectPr w:rsidR="004E13A5">
          <w:pgSz w:w="12240" w:h="15840"/>
          <w:pgMar w:top="1000" w:right="1260" w:bottom="1240" w:left="1220" w:header="0" w:footer="1023" w:gutter="0"/>
          <w:cols w:space="720"/>
        </w:sectPr>
      </w:pPr>
    </w:p>
    <w:p w:rsidR="004E13A5" w:rsidRDefault="00681463">
      <w:pPr>
        <w:pStyle w:val="Heading4"/>
        <w:spacing w:before="79"/>
        <w:ind w:left="1823" w:right="1466"/>
        <w:jc w:val="center"/>
      </w:pPr>
      <w:bookmarkStart w:id="154" w:name="_TOC_250273"/>
      <w:bookmarkEnd w:id="154"/>
      <w:r>
        <w:lastRenderedPageBreak/>
        <w:t>Chapter 12</w:t>
      </w:r>
    </w:p>
    <w:p w:rsidR="004E13A5" w:rsidRDefault="004E13A5">
      <w:pPr>
        <w:pStyle w:val="BodyText"/>
        <w:spacing w:before="10"/>
        <w:ind w:left="0"/>
        <w:rPr>
          <w:b/>
          <w:sz w:val="20"/>
        </w:rPr>
      </w:pPr>
    </w:p>
    <w:p w:rsidR="004E13A5" w:rsidRDefault="00681463">
      <w:pPr>
        <w:pStyle w:val="Heading4"/>
        <w:ind w:left="2118"/>
      </w:pPr>
      <w:bookmarkStart w:id="155" w:name="_TOC_250272"/>
      <w:bookmarkEnd w:id="155"/>
      <w:r>
        <w:t>TERMINATION OF ASSISTANCE AND TENANCY</w:t>
      </w:r>
    </w:p>
    <w:p w:rsidR="004E13A5" w:rsidRDefault="00681463">
      <w:pPr>
        <w:pStyle w:val="BodyText"/>
        <w:ind w:right="111"/>
      </w:pPr>
      <w:r>
        <w:t>HUD regulations specify mandatory and optional grounds for which a PHA can terminate a family’s assistance. They also specify the circumstances under which an owner may terminate the tenancy of an assisted family. This chapter describes the policies that govern mandatory and optional terminations of assistance, and termination of tenancy by the owner. It is presented in</w:t>
      </w:r>
      <w:r>
        <w:rPr>
          <w:spacing w:val="-22"/>
        </w:rPr>
        <w:t xml:space="preserve"> </w:t>
      </w:r>
      <w:r>
        <w:t>three parts:</w:t>
      </w:r>
    </w:p>
    <w:p w:rsidR="004E13A5" w:rsidRDefault="00681463">
      <w:pPr>
        <w:pStyle w:val="BodyText"/>
        <w:ind w:left="820" w:right="150"/>
      </w:pPr>
      <w:r>
        <w:rPr>
          <w:u w:val="single"/>
        </w:rPr>
        <w:t xml:space="preserve">Part </w:t>
      </w:r>
      <w:r>
        <w:rPr>
          <w:spacing w:val="-3"/>
          <w:u w:val="single"/>
        </w:rPr>
        <w:t xml:space="preserve">I: </w:t>
      </w:r>
      <w:r>
        <w:rPr>
          <w:u w:val="single"/>
        </w:rPr>
        <w:t>Grounds for Termination of Assistance</w:t>
      </w:r>
      <w:r>
        <w:t>. This part describes the various circumstances under which assistance under the program can be terminated by the family</w:t>
      </w:r>
      <w:r>
        <w:rPr>
          <w:spacing w:val="-18"/>
        </w:rPr>
        <w:t xml:space="preserve"> </w:t>
      </w:r>
      <w:r>
        <w:t>or by the</w:t>
      </w:r>
      <w:r>
        <w:rPr>
          <w:spacing w:val="-4"/>
        </w:rPr>
        <w:t xml:space="preserve"> </w:t>
      </w:r>
      <w:r>
        <w:t>PHA.</w:t>
      </w:r>
    </w:p>
    <w:p w:rsidR="004E13A5" w:rsidRDefault="00681463">
      <w:pPr>
        <w:pStyle w:val="BodyText"/>
        <w:ind w:left="820" w:right="82"/>
      </w:pPr>
      <w:r>
        <w:rPr>
          <w:u w:val="single"/>
        </w:rPr>
        <w:t>Part II: Approach to Termination of Assistance</w:t>
      </w:r>
      <w:r>
        <w:t>. This part describes the policies and the process that the PHA will use in evaluating decisions on whether to terminate assistance due to actions or inactions of the family where termination is an option. It specifies the alternatives that the PHA may consider in lieu of termination, the criteria the PHA will use when deciding what action to take, and the steps the PHA must take when terminating a family’s assistance.</w:t>
      </w:r>
    </w:p>
    <w:p w:rsidR="004E13A5" w:rsidRDefault="00681463">
      <w:pPr>
        <w:pStyle w:val="BodyText"/>
        <w:ind w:left="820" w:right="355"/>
      </w:pPr>
      <w:r>
        <w:rPr>
          <w:u w:val="single"/>
        </w:rPr>
        <w:t xml:space="preserve">Part III: Termination of Tenancy by the Owner. </w:t>
      </w:r>
      <w:r>
        <w:t>This part describes the HUD policies that govern the owner’s right to terminate an assisted tenancy.</w:t>
      </w:r>
    </w:p>
    <w:p w:rsidR="004E13A5" w:rsidRDefault="00681463">
      <w:pPr>
        <w:pStyle w:val="Heading4"/>
        <w:spacing w:before="5" w:line="510" w:lineRule="atLeast"/>
        <w:ind w:right="1645" w:firstLine="1545"/>
      </w:pPr>
      <w:r>
        <w:t>PART I: GROUNDS FOR TERMINATION OF ASSISTANCE 12-I.A. OVERVIEW</w:t>
      </w:r>
    </w:p>
    <w:p w:rsidR="004E13A5" w:rsidRDefault="00681463">
      <w:pPr>
        <w:pStyle w:val="BodyText"/>
        <w:ind w:right="229"/>
      </w:pPr>
      <w:r>
        <w:t xml:space="preserve">HUD </w:t>
      </w:r>
      <w:r>
        <w:rPr>
          <w:u w:val="single"/>
        </w:rPr>
        <w:t xml:space="preserve">requires </w:t>
      </w:r>
      <w:r>
        <w:t xml:space="preserve">the PHA to terminate assistance for certain actions and inactions of the family and when the family no longer requires assistance due to increases in family income. HUD </w:t>
      </w:r>
      <w:r>
        <w:rPr>
          <w:u w:val="single"/>
        </w:rPr>
        <w:t xml:space="preserve">permits </w:t>
      </w:r>
      <w:r>
        <w:t>the PHA to terminate assistance for certain other actions or inactions of the family. In addition, a family may decide to withdraw from the program and terminate their HCV assistance at any time by notifying the PHA.</w:t>
      </w:r>
    </w:p>
    <w:p w:rsidR="004E13A5" w:rsidRDefault="004E13A5">
      <w:pPr>
        <w:pStyle w:val="BodyText"/>
        <w:spacing w:before="9"/>
        <w:ind w:left="0"/>
        <w:rPr>
          <w:sz w:val="20"/>
        </w:rPr>
      </w:pPr>
    </w:p>
    <w:p w:rsidR="004E13A5" w:rsidRDefault="00681463">
      <w:pPr>
        <w:pStyle w:val="Heading4"/>
      </w:pPr>
      <w:bookmarkStart w:id="156" w:name="_TOC_250271"/>
      <w:bookmarkEnd w:id="156"/>
      <w:r>
        <w:t>12-I.B. FAMILY NO LONGER REQUIRES ASSISTANCE [24 CFR 982.455]</w:t>
      </w:r>
    </w:p>
    <w:p w:rsidR="004E13A5" w:rsidRDefault="00681463">
      <w:pPr>
        <w:pStyle w:val="BodyText"/>
        <w:ind w:right="496"/>
        <w:jc w:val="both"/>
      </w:pPr>
      <w:r>
        <w:t>As a family’s income increases, the amount of the housing assistance payment decreases. If the amount of assistance provided by the PHA is reduced to zero, the family's assistance terminates automatically 180 days after the last HAP payment.</w:t>
      </w:r>
    </w:p>
    <w:p w:rsidR="004E13A5" w:rsidRDefault="00681463">
      <w:pPr>
        <w:pStyle w:val="BodyText"/>
        <w:ind w:left="820"/>
      </w:pPr>
      <w:r>
        <w:rPr>
          <w:u w:val="single"/>
        </w:rPr>
        <w:t>PHA Policy</w:t>
      </w:r>
    </w:p>
    <w:p w:rsidR="004E13A5" w:rsidRDefault="00681463">
      <w:pPr>
        <w:pStyle w:val="BodyText"/>
        <w:ind w:left="820" w:right="415"/>
        <w:jc w:val="both"/>
      </w:pPr>
      <w:r>
        <w:t>If a participating family receiving zero assistance experiences a change in circumstances that would result in a HAP payment to the owner, the family must notify the PHA of the change and request an interim reexamination before the expiration of the 180-day period.</w:t>
      </w:r>
    </w:p>
    <w:p w:rsidR="004E13A5" w:rsidRDefault="004E13A5">
      <w:pPr>
        <w:pStyle w:val="BodyText"/>
        <w:spacing w:before="9"/>
        <w:ind w:left="0"/>
        <w:rPr>
          <w:sz w:val="20"/>
        </w:rPr>
      </w:pPr>
    </w:p>
    <w:p w:rsidR="004E13A5" w:rsidRDefault="00681463">
      <w:pPr>
        <w:pStyle w:val="Heading4"/>
      </w:pPr>
      <w:bookmarkStart w:id="157" w:name="_TOC_250270"/>
      <w:bookmarkEnd w:id="157"/>
      <w:r>
        <w:t>12-I.C. FAMILY CHOOSES TO TERMINATE ASSISTANCE</w:t>
      </w:r>
    </w:p>
    <w:p w:rsidR="004E13A5" w:rsidRDefault="00681463">
      <w:pPr>
        <w:pStyle w:val="BodyText"/>
        <w:ind w:right="183"/>
      </w:pPr>
      <w:r>
        <w:t>The family may request that the PHA terminate housing assistance payments on behalf of the family at any time.</w:t>
      </w:r>
    </w:p>
    <w:p w:rsidR="004E13A5" w:rsidRDefault="004E13A5">
      <w:pPr>
        <w:sectPr w:rsidR="004E13A5">
          <w:pgSz w:w="12240" w:h="15840"/>
          <w:pgMar w:top="124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The request to terminate assistance should be made in writing and signed by the head of household, and spouse or co-head if applicable. Before terminating the family’s assistance, the PHA will follow the notice requirements in Section 12-II.F.</w:t>
      </w:r>
    </w:p>
    <w:p w:rsidR="004E13A5" w:rsidRDefault="004E13A5">
      <w:pPr>
        <w:pStyle w:val="BodyText"/>
        <w:spacing w:before="9"/>
        <w:ind w:left="0"/>
        <w:rPr>
          <w:sz w:val="20"/>
        </w:rPr>
      </w:pPr>
    </w:p>
    <w:p w:rsidR="004E13A5" w:rsidRDefault="00681463">
      <w:pPr>
        <w:pStyle w:val="Heading4"/>
      </w:pPr>
      <w:bookmarkStart w:id="158" w:name="_TOC_250269"/>
      <w:bookmarkEnd w:id="158"/>
      <w:r>
        <w:t>12-I.D. MANDATORY TERMINATION OF ASSISTANCE</w:t>
      </w:r>
    </w:p>
    <w:p w:rsidR="004E13A5" w:rsidRDefault="00681463">
      <w:pPr>
        <w:pStyle w:val="BodyText"/>
      </w:pPr>
      <w:r>
        <w:t>HUD requires the PHA to terminate assistance in the following circumstances.</w:t>
      </w:r>
    </w:p>
    <w:p w:rsidR="004E13A5" w:rsidRDefault="00681463">
      <w:pPr>
        <w:pStyle w:val="Heading4"/>
        <w:spacing w:before="119"/>
      </w:pPr>
      <w:bookmarkStart w:id="159" w:name="_TOC_250268"/>
      <w:bookmarkEnd w:id="159"/>
      <w:r>
        <w:t>Eviction [24 CFR 982.552(b)(2), 24 CFR 5.2005(c)(1)]</w:t>
      </w:r>
    </w:p>
    <w:p w:rsidR="004E13A5" w:rsidRDefault="00681463">
      <w:pPr>
        <w:pStyle w:val="BodyText"/>
        <w:ind w:right="136"/>
      </w:pPr>
      <w:r>
        <w:t>The PHA must terminate assistance whenever a family is evicted from a unit assisted under the HCV program for a serious or repeated violation of the lease. As discussed further in section 12- II.E, incidents of actual or threatened domestic violence, dating violence, sexual assault, or stalking may not be construed as serious or repeated violations of the lease by the victim or threatened victim of such violence or stalking.</w:t>
      </w:r>
    </w:p>
    <w:p w:rsidR="004E13A5" w:rsidRDefault="00681463">
      <w:pPr>
        <w:pStyle w:val="BodyText"/>
        <w:spacing w:before="120"/>
        <w:ind w:left="820"/>
      </w:pPr>
      <w:r>
        <w:rPr>
          <w:u w:val="single"/>
        </w:rPr>
        <w:t>PHA Policy</w:t>
      </w:r>
    </w:p>
    <w:p w:rsidR="004E13A5" w:rsidRDefault="00681463">
      <w:pPr>
        <w:pStyle w:val="BodyText"/>
        <w:ind w:left="820"/>
      </w:pPr>
      <w:r>
        <w:t xml:space="preserve">A family will be considered </w:t>
      </w:r>
      <w:r>
        <w:rPr>
          <w:i/>
        </w:rPr>
        <w:t xml:space="preserve">evicted </w:t>
      </w:r>
      <w:r>
        <w:t>if the family moves after a legal eviction order has been issued, whether or not physical enforcement of the order was necessary.</w:t>
      </w:r>
    </w:p>
    <w:p w:rsidR="004E13A5" w:rsidRDefault="00681463">
      <w:pPr>
        <w:pStyle w:val="BodyText"/>
        <w:ind w:left="820" w:right="148"/>
      </w:pPr>
      <w:r>
        <w:t>If a family moves after the owner has given the family an eviction notice for serious or repeated lease violations but before a legal eviction order has been issued, termination of assistance is not mandatory. In such cases the PHA will determine whether the family has committed serious or repeated violations of the lease based on available evidence and may terminate assistance or take any of the alternative measures described in section 12-II.C. In making its decision, the PHA will consider the factors described in sections 12-II.D and 12-</w:t>
      </w:r>
    </w:p>
    <w:p w:rsidR="004E13A5" w:rsidRDefault="00681463">
      <w:pPr>
        <w:pStyle w:val="BodyText"/>
        <w:spacing w:before="0"/>
        <w:ind w:left="820" w:right="182"/>
      </w:pPr>
      <w:r>
        <w:t>II.E. Upon consideration of such factors, the PHA may, on a case-by-case basis, choose not to terminate assistance.</w:t>
      </w:r>
    </w:p>
    <w:p w:rsidR="004E13A5" w:rsidRDefault="00681463">
      <w:pPr>
        <w:pStyle w:val="BodyText"/>
        <w:spacing w:before="120"/>
        <w:ind w:left="820" w:right="136"/>
      </w:pPr>
      <w:r>
        <w:rPr>
          <w:i/>
        </w:rPr>
        <w:t xml:space="preserve">Serious and repeated lease violations </w:t>
      </w:r>
      <w:r>
        <w:t>will include, but not be limited to, nonpayment of rent, disturbance of neighbors, destruction of property, or living or housekeeping habits that cause damage to the unit or premises and criminal activity. Generally, the criterion to be used will be whether or not the reason for the eviction was the fault of the tenant or guests.</w:t>
      </w:r>
    </w:p>
    <w:p w:rsidR="004E13A5" w:rsidRDefault="00681463">
      <w:pPr>
        <w:pStyle w:val="Heading4"/>
        <w:spacing w:before="119"/>
      </w:pPr>
      <w:bookmarkStart w:id="160" w:name="_TOC_250267"/>
      <w:bookmarkEnd w:id="160"/>
      <w:r>
        <w:t>Failure to Provide Consent [24 CFR 982.552(b)(3)]</w:t>
      </w:r>
    </w:p>
    <w:p w:rsidR="004E13A5" w:rsidRDefault="00681463">
      <w:pPr>
        <w:pStyle w:val="BodyText"/>
        <w:ind w:right="82"/>
      </w:pPr>
      <w:r>
        <w:t>The PHA must terminate assistance if any family member fails to sign and submit any consent form they are required to sign for a regular or interim reexamination. See Chapter 7 for a complete discussion of consent requirements.</w:t>
      </w:r>
    </w:p>
    <w:p w:rsidR="004E13A5" w:rsidRDefault="00681463">
      <w:pPr>
        <w:pStyle w:val="Heading4"/>
        <w:spacing w:before="119"/>
      </w:pPr>
      <w:r>
        <w:t>Failure to Document Citizenship [24 CFR 982.552(b)(4) and [24 CFR 5.514(c)]</w:t>
      </w:r>
    </w:p>
    <w:p w:rsidR="004E13A5" w:rsidRDefault="00681463">
      <w:pPr>
        <w:pStyle w:val="BodyText"/>
        <w:ind w:right="182"/>
      </w:pPr>
      <w:r>
        <w:t>The PHA must terminate assistance if (1) a family fails to submit required documentation within the required timeframe concerning any family member’s citizenship or immigration status; (2) a family submits evidence of citizenship and eligible immigration status in a timely manner, but United States Citizenship and Immigration Services (USCIS) primary and secondary verification does not verify eligible immigration status of the family; or (3) a family member, as determined by the PHA, has knowingly permitted another individual who is not eligible for assistance to reside (on a permanent basis) in the unit.</w:t>
      </w:r>
    </w:p>
    <w:p w:rsidR="004E13A5" w:rsidRDefault="00681463">
      <w:pPr>
        <w:pStyle w:val="BodyText"/>
        <w:ind w:right="109"/>
      </w:pPr>
      <w:r>
        <w:t>For (3) above, such termination must be for a period of at least 24 months. This does not apply to ineligible noncitizens already in the household where the family’s assistance has been prorated. See Chapter 7 for a complete discussion of documentation requirements.</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ind w:right="1932"/>
      </w:pPr>
      <w:r>
        <w:rPr>
          <w:spacing w:val="-3"/>
        </w:rPr>
        <w:lastRenderedPageBreak/>
        <w:t xml:space="preserve">Failure </w:t>
      </w:r>
      <w:r>
        <w:t xml:space="preserve">to </w:t>
      </w:r>
      <w:r>
        <w:rPr>
          <w:spacing w:val="-3"/>
        </w:rPr>
        <w:t xml:space="preserve">Disclose </w:t>
      </w:r>
      <w:r>
        <w:t xml:space="preserve">and </w:t>
      </w:r>
      <w:r>
        <w:rPr>
          <w:spacing w:val="-3"/>
        </w:rPr>
        <w:t xml:space="preserve">Document </w:t>
      </w:r>
      <w:r>
        <w:t xml:space="preserve">Social </w:t>
      </w:r>
      <w:r>
        <w:rPr>
          <w:spacing w:val="-2"/>
        </w:rPr>
        <w:t xml:space="preserve">Security </w:t>
      </w:r>
      <w:r>
        <w:rPr>
          <w:spacing w:val="-3"/>
        </w:rPr>
        <w:t xml:space="preserve">Numbers [24 </w:t>
      </w:r>
      <w:r>
        <w:t xml:space="preserve">CFR </w:t>
      </w:r>
      <w:r>
        <w:rPr>
          <w:spacing w:val="-3"/>
        </w:rPr>
        <w:t xml:space="preserve">5.218(c), Notice </w:t>
      </w:r>
      <w:r>
        <w:t>PIH 2018-24]</w:t>
      </w:r>
    </w:p>
    <w:p w:rsidR="004E13A5" w:rsidRDefault="00681463">
      <w:pPr>
        <w:pStyle w:val="BodyText"/>
        <w:spacing w:before="120"/>
        <w:ind w:right="183"/>
      </w:pPr>
      <w:r>
        <w:t>The PHA must terminate assistance if a participant family fails to disclose the complete and accurate social security numbers of each household member and the documentation necessary to verify each social security number.</w:t>
      </w:r>
    </w:p>
    <w:p w:rsidR="004E13A5" w:rsidRDefault="00681463">
      <w:pPr>
        <w:pStyle w:val="BodyText"/>
        <w:ind w:right="183"/>
      </w:pPr>
      <w:r>
        <w:t>However, if the family is otherwise eligible for continued program assistance, and the PHA determines that the family’s failure to meet the SSN disclosure and documentation requirements was due to circumstances that could not have been foreseen and were outside of the family’s control, the PHA may defer the family’s termination and provide the opportunity to comply with the requirement within a period not to exceed 90 calendar days from the date the PHA determined the family to be noncompliant.</w:t>
      </w:r>
    </w:p>
    <w:p w:rsidR="004E13A5" w:rsidRDefault="00681463">
      <w:pPr>
        <w:pStyle w:val="BodyText"/>
        <w:ind w:left="820"/>
        <w:jc w:val="both"/>
      </w:pPr>
      <w:r>
        <w:rPr>
          <w:u w:val="single"/>
        </w:rPr>
        <w:t>PHA Policy</w:t>
      </w:r>
    </w:p>
    <w:p w:rsidR="004E13A5" w:rsidRDefault="00681463">
      <w:pPr>
        <w:pStyle w:val="BodyText"/>
        <w:spacing w:before="120"/>
        <w:ind w:left="820" w:right="145"/>
        <w:jc w:val="both"/>
      </w:pPr>
      <w:r>
        <w:t>The PHA will defer the family’s termination and provide the family with the opportunity to comply with the requirement for a period of 90 calendar days for circumstances beyond the participant’s control such as delayed processing of the SSN application by the SSA, natural disaster, fire, death in the family, or other emergency, if there is a reasonable likelihood that the participant will be able to disclose an SSN by the deadline.</w:t>
      </w:r>
    </w:p>
    <w:p w:rsidR="004E13A5" w:rsidRDefault="00681463">
      <w:pPr>
        <w:pStyle w:val="Heading4"/>
        <w:spacing w:before="119"/>
      </w:pPr>
      <w:r>
        <w:t>Methamphetamine Manufacture or Production [24 CFR 982.553(b)(1)(ii)]</w:t>
      </w:r>
    </w:p>
    <w:p w:rsidR="004E13A5" w:rsidRDefault="00681463">
      <w:pPr>
        <w:pStyle w:val="BodyText"/>
        <w:ind w:right="602"/>
      </w:pPr>
      <w:r>
        <w:t>The PHA must terminate assistance if any household member has ever been convicted of the manufacture or production of methamphetamine on the premises of federally assisted housing.</w:t>
      </w:r>
    </w:p>
    <w:p w:rsidR="004E13A5" w:rsidRDefault="00681463">
      <w:pPr>
        <w:pStyle w:val="Heading4"/>
        <w:spacing w:before="119"/>
      </w:pPr>
      <w:r>
        <w:t>Lifetime Registered Sex Offenders [Notice PIH 2012-28]</w:t>
      </w:r>
    </w:p>
    <w:p w:rsidR="004E13A5" w:rsidRDefault="00681463">
      <w:pPr>
        <w:pStyle w:val="BodyText"/>
        <w:ind w:right="315"/>
      </w:pPr>
      <w:r>
        <w:t>Should a PHA discover that a member of an assisted household was subject to a lifetime registration requirement at admission and was erroneously admitted after June 25, 2001, the PHA must immediately terminate assistance for the household member.</w:t>
      </w:r>
    </w:p>
    <w:p w:rsidR="004E13A5" w:rsidRDefault="00681463">
      <w:pPr>
        <w:pStyle w:val="BodyText"/>
        <w:ind w:right="575"/>
      </w:pPr>
      <w:r>
        <w:t>In this situation, the PHA must offer the family the opportunity to remove the ineligible family member from the household. If the family is unwilling to remove that individual from the household, the PHA must terminate assistance for the household.</w:t>
      </w:r>
    </w:p>
    <w:p w:rsidR="004E13A5" w:rsidRDefault="00681463">
      <w:pPr>
        <w:pStyle w:val="Heading4"/>
        <w:spacing w:before="119"/>
      </w:pPr>
      <w:r>
        <w:t>Failure of Students to Meet Ongoing Eligibility Requirements [24 CFR 982.552(b)(5) and FR 4/10/06]</w:t>
      </w:r>
    </w:p>
    <w:p w:rsidR="004E13A5" w:rsidRDefault="00681463">
      <w:pPr>
        <w:pStyle w:val="BodyText"/>
        <w:ind w:right="95"/>
      </w:pPr>
      <w:r>
        <w:t>If a student enrolled at an institution of higher education is under the age of 24, is not a veteran, is not married, does not have dependent children, is not residing with their parents in an HCV assisted household, and is not a person with disabilities receiving HCV assistance as of November 30, 2005, the PHA must the terminate the student’s assistance if, at the time of reexamination, either the student’s income or the income of the student’s parents (if applicable) exceeds the applicable income limit.</w:t>
      </w:r>
    </w:p>
    <w:p w:rsidR="004E13A5" w:rsidRDefault="00681463">
      <w:pPr>
        <w:pStyle w:val="BodyText"/>
        <w:ind w:right="82"/>
      </w:pPr>
      <w:r>
        <w:t>If a participant household consists of both eligible and ineligible students, the eligible students shall not be terminated, but must be issued a voucher to move with continued assistance in accordance with program regulations and PHA policies, or must be given the opportunity to lease in place if the terminated ineligible student members elect to move out of the assisted unit.</w:t>
      </w:r>
    </w:p>
    <w:p w:rsidR="004E13A5" w:rsidRDefault="00681463">
      <w:pPr>
        <w:pStyle w:val="Heading4"/>
        <w:spacing w:before="119"/>
      </w:pPr>
      <w:r>
        <w:t>Death of the Sole Family Member [24 CFR 982.311(d) and Notice PIH 2010-9]</w:t>
      </w:r>
    </w:p>
    <w:p w:rsidR="004E13A5" w:rsidRDefault="00681463">
      <w:pPr>
        <w:pStyle w:val="BodyText"/>
      </w:pPr>
      <w:r>
        <w:t>The PHA must immediately terminate program assistance for deceased single member households.</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pPr>
      <w:bookmarkStart w:id="161" w:name="_TOC_250266"/>
      <w:bookmarkEnd w:id="161"/>
      <w:r>
        <w:lastRenderedPageBreak/>
        <w:t>12-I.E. MANDATORY POLICIES AND OTHER AUTHORIZED TERMINATIONS</w:t>
      </w:r>
    </w:p>
    <w:p w:rsidR="004E13A5" w:rsidRDefault="00681463">
      <w:pPr>
        <w:pStyle w:val="Heading4"/>
        <w:spacing w:before="120"/>
      </w:pPr>
      <w:bookmarkStart w:id="162" w:name="_TOC_250265"/>
      <w:bookmarkEnd w:id="162"/>
      <w:r>
        <w:t>Mandatory Policies [24 CFR 982.553(b) and 982.551(l)]</w:t>
      </w:r>
    </w:p>
    <w:p w:rsidR="004E13A5" w:rsidRDefault="00681463">
      <w:pPr>
        <w:pStyle w:val="BodyText"/>
        <w:ind w:right="148"/>
      </w:pPr>
      <w:r>
        <w:t>HUD requires the PHA to establish policies that permit the PHA to terminate assistance if the PHA determines that:</w:t>
      </w:r>
    </w:p>
    <w:p w:rsidR="004E13A5" w:rsidRDefault="00681463">
      <w:pPr>
        <w:pStyle w:val="ListParagraph"/>
        <w:numPr>
          <w:ilvl w:val="0"/>
          <w:numId w:val="93"/>
        </w:numPr>
        <w:tabs>
          <w:tab w:val="left" w:pos="460"/>
          <w:tab w:val="left" w:pos="461"/>
        </w:tabs>
        <w:ind w:right="556"/>
        <w:rPr>
          <w:rFonts w:ascii="Symbol"/>
          <w:sz w:val="24"/>
        </w:rPr>
      </w:pPr>
      <w:r>
        <w:rPr>
          <w:sz w:val="24"/>
        </w:rPr>
        <w:t>Any household member is currently engaged in any illegal use of a drug, or has a pattern</w:t>
      </w:r>
      <w:r>
        <w:rPr>
          <w:spacing w:val="-18"/>
          <w:sz w:val="24"/>
        </w:rPr>
        <w:t xml:space="preserve"> </w:t>
      </w:r>
      <w:r>
        <w:rPr>
          <w:sz w:val="24"/>
        </w:rPr>
        <w:t>of illegal drug use that interferes with the health, safety, or right to peaceful enjoyment of the premises by other</w:t>
      </w:r>
      <w:r>
        <w:rPr>
          <w:spacing w:val="-5"/>
          <w:sz w:val="24"/>
        </w:rPr>
        <w:t xml:space="preserve"> </w:t>
      </w:r>
      <w:r>
        <w:rPr>
          <w:sz w:val="24"/>
        </w:rPr>
        <w:t>residents</w:t>
      </w:r>
    </w:p>
    <w:p w:rsidR="004E13A5" w:rsidRDefault="00681463">
      <w:pPr>
        <w:pStyle w:val="ListParagraph"/>
        <w:numPr>
          <w:ilvl w:val="0"/>
          <w:numId w:val="93"/>
        </w:numPr>
        <w:tabs>
          <w:tab w:val="left" w:pos="460"/>
          <w:tab w:val="left" w:pos="461"/>
        </w:tabs>
        <w:ind w:right="318"/>
        <w:rPr>
          <w:rFonts w:ascii="Symbol" w:hAnsi="Symbol"/>
          <w:sz w:val="24"/>
        </w:rPr>
      </w:pPr>
      <w:r>
        <w:rPr>
          <w:sz w:val="24"/>
        </w:rPr>
        <w:t>Any household member’s abuse or pattern of abuse of alcohol may threaten the health,</w:t>
      </w:r>
      <w:r>
        <w:rPr>
          <w:spacing w:val="-19"/>
          <w:sz w:val="24"/>
        </w:rPr>
        <w:t xml:space="preserve"> </w:t>
      </w:r>
      <w:r>
        <w:rPr>
          <w:sz w:val="24"/>
        </w:rPr>
        <w:t>safety, or right to peaceful enjoyment of the premises by other</w:t>
      </w:r>
      <w:r>
        <w:rPr>
          <w:spacing w:val="-13"/>
          <w:sz w:val="24"/>
        </w:rPr>
        <w:t xml:space="preserve"> </w:t>
      </w:r>
      <w:r>
        <w:rPr>
          <w:sz w:val="24"/>
        </w:rPr>
        <w:t>residents</w:t>
      </w:r>
    </w:p>
    <w:p w:rsidR="004E13A5" w:rsidRDefault="00681463">
      <w:pPr>
        <w:pStyle w:val="ListParagraph"/>
        <w:numPr>
          <w:ilvl w:val="0"/>
          <w:numId w:val="93"/>
        </w:numPr>
        <w:tabs>
          <w:tab w:val="left" w:pos="460"/>
          <w:tab w:val="left" w:pos="461"/>
        </w:tabs>
        <w:ind w:right="333"/>
        <w:rPr>
          <w:rFonts w:ascii="Symbol" w:hAnsi="Symbol"/>
          <w:sz w:val="24"/>
        </w:rPr>
      </w:pPr>
      <w:r>
        <w:rPr>
          <w:sz w:val="24"/>
        </w:rPr>
        <w:t>Any household member has violated the family’s obligation not to engage in any drug-related criminal</w:t>
      </w:r>
      <w:r>
        <w:rPr>
          <w:spacing w:val="-1"/>
          <w:sz w:val="24"/>
        </w:rPr>
        <w:t xml:space="preserve"> </w:t>
      </w:r>
      <w:r>
        <w:rPr>
          <w:sz w:val="24"/>
        </w:rPr>
        <w:t>activity</w:t>
      </w:r>
    </w:p>
    <w:p w:rsidR="004E13A5" w:rsidRDefault="00681463">
      <w:pPr>
        <w:pStyle w:val="ListParagraph"/>
        <w:numPr>
          <w:ilvl w:val="0"/>
          <w:numId w:val="93"/>
        </w:numPr>
        <w:tabs>
          <w:tab w:val="left" w:pos="460"/>
          <w:tab w:val="left" w:pos="461"/>
        </w:tabs>
        <w:spacing w:before="120"/>
        <w:ind w:right="387"/>
        <w:rPr>
          <w:rFonts w:ascii="Symbol" w:hAnsi="Symbol"/>
          <w:sz w:val="24"/>
        </w:rPr>
      </w:pPr>
      <w:r>
        <w:rPr>
          <w:sz w:val="24"/>
        </w:rPr>
        <w:t>Any household member has violated the family’s obligation not to engage in violent</w:t>
      </w:r>
      <w:r>
        <w:rPr>
          <w:spacing w:val="-15"/>
          <w:sz w:val="24"/>
        </w:rPr>
        <w:t xml:space="preserve"> </w:t>
      </w:r>
      <w:r>
        <w:rPr>
          <w:sz w:val="24"/>
        </w:rPr>
        <w:t>criminal activity</w:t>
      </w:r>
    </w:p>
    <w:p w:rsidR="004E13A5" w:rsidRDefault="00681463">
      <w:pPr>
        <w:pStyle w:val="Heading5"/>
      </w:pPr>
      <w:r>
        <w:t>Use of Illegal Drugs and Alcohol Abuse</w:t>
      </w:r>
    </w:p>
    <w:p w:rsidR="004E13A5" w:rsidRDefault="00681463">
      <w:pPr>
        <w:pStyle w:val="BodyText"/>
        <w:ind w:left="820"/>
      </w:pPr>
      <w:r>
        <w:rPr>
          <w:u w:val="single"/>
        </w:rPr>
        <w:t>PHA Policy</w:t>
      </w:r>
    </w:p>
    <w:p w:rsidR="004E13A5" w:rsidRDefault="00681463">
      <w:pPr>
        <w:pStyle w:val="BodyText"/>
        <w:ind w:left="820" w:right="113"/>
      </w:pPr>
      <w:r>
        <w:t>The PHA will terminate a family’s assistance if any household member is currently</w:t>
      </w:r>
      <w:r>
        <w:rPr>
          <w:spacing w:val="-21"/>
        </w:rPr>
        <w:t xml:space="preserve"> </w:t>
      </w:r>
      <w:r>
        <w:t>engaged in any illegal use of a drug, or has a pattern of illegal drug use that interferes with the health, safety, or right to peaceful enjoyment of the premises by other</w:t>
      </w:r>
      <w:r>
        <w:rPr>
          <w:spacing w:val="-15"/>
        </w:rPr>
        <w:t xml:space="preserve"> </w:t>
      </w:r>
      <w:r>
        <w:t>residents.</w:t>
      </w:r>
    </w:p>
    <w:p w:rsidR="004E13A5" w:rsidRDefault="00681463">
      <w:pPr>
        <w:pStyle w:val="BodyText"/>
        <w:ind w:left="820" w:right="248"/>
        <w:jc w:val="both"/>
      </w:pPr>
      <w:r>
        <w:t>The PHA will terminate assistance if any household member’s abuse or pattern of abuse of alcohol threatens the health, safety, or right to peaceful enjoyment of the premises by other residents.</w:t>
      </w:r>
    </w:p>
    <w:p w:rsidR="004E13A5" w:rsidRDefault="00681463">
      <w:pPr>
        <w:spacing w:before="117"/>
        <w:ind w:left="820"/>
        <w:rPr>
          <w:sz w:val="24"/>
        </w:rPr>
      </w:pPr>
      <w:r>
        <w:rPr>
          <w:i/>
          <w:sz w:val="24"/>
        </w:rPr>
        <w:t xml:space="preserve">Currently engaged in </w:t>
      </w:r>
      <w:r>
        <w:rPr>
          <w:sz w:val="24"/>
        </w:rPr>
        <w:t>is defined as any use of illegal drugs during the previous six months.</w:t>
      </w:r>
    </w:p>
    <w:p w:rsidR="004E13A5" w:rsidRDefault="00681463">
      <w:pPr>
        <w:pStyle w:val="BodyText"/>
        <w:spacing w:before="120"/>
        <w:ind w:left="820" w:right="242"/>
      </w:pPr>
      <w:r>
        <w:t>The PHA will consider all credible evidence, including but not limited to, any record of arrests, convictions, or eviction of household members related to the use of illegal drugs or abuse of alcohol.</w:t>
      </w:r>
    </w:p>
    <w:p w:rsidR="004E13A5" w:rsidRDefault="004E13A5">
      <w:pPr>
        <w:pStyle w:val="BodyText"/>
        <w:spacing w:before="11"/>
        <w:ind w:left="0"/>
        <w:rPr>
          <w:sz w:val="23"/>
        </w:rPr>
      </w:pPr>
    </w:p>
    <w:p w:rsidR="004E13A5" w:rsidRDefault="00681463">
      <w:pPr>
        <w:pStyle w:val="BodyText"/>
        <w:spacing w:before="0"/>
        <w:ind w:left="820" w:right="349"/>
      </w:pPr>
      <w:r>
        <w:t>A record or records of arrest will not be used as the sole basis for the termination or proof that the participant engaged in disqualifying criminal activity.</w:t>
      </w:r>
    </w:p>
    <w:p w:rsidR="004E13A5" w:rsidRDefault="004E13A5">
      <w:pPr>
        <w:pStyle w:val="BodyText"/>
        <w:spacing w:before="11"/>
        <w:ind w:left="0"/>
        <w:rPr>
          <w:sz w:val="23"/>
        </w:rPr>
      </w:pPr>
    </w:p>
    <w:p w:rsidR="004E13A5" w:rsidRDefault="00681463">
      <w:pPr>
        <w:pStyle w:val="BodyText"/>
        <w:spacing w:before="0"/>
        <w:ind w:left="820" w:right="189"/>
      </w:pPr>
      <w:r>
        <w:t>In making its decision to terminate assistance, the PHA will consider alternatives as described in Section 12-II.C and other factors described in Sections 12-II.D and 12-II.E. Upon consideration of such alternatives and factors, the PHA may, on a case-by-case basis, choose not to terminate assistance.</w:t>
      </w:r>
    </w:p>
    <w:p w:rsidR="004E13A5" w:rsidRDefault="00681463">
      <w:pPr>
        <w:pStyle w:val="Heading5"/>
        <w:spacing w:before="120"/>
      </w:pPr>
      <w:r>
        <w:t>Drug-Related and Violent Criminal Activity [24 CFR 5.100]</w:t>
      </w:r>
    </w:p>
    <w:p w:rsidR="004E13A5" w:rsidRDefault="00681463">
      <w:pPr>
        <w:pStyle w:val="BodyText"/>
      </w:pPr>
      <w:r>
        <w:rPr>
          <w:i/>
        </w:rPr>
        <w:t xml:space="preserve">Drug </w:t>
      </w:r>
      <w:r>
        <w:t>means a controlled substance as defined in section 102 of the Controlled Substances Act (21</w:t>
      </w:r>
    </w:p>
    <w:p w:rsidR="004E13A5" w:rsidRDefault="00681463">
      <w:pPr>
        <w:pStyle w:val="BodyText"/>
        <w:spacing w:before="0"/>
      </w:pPr>
      <w:r>
        <w:t>U.S.C. 802).</w:t>
      </w:r>
    </w:p>
    <w:p w:rsidR="004E13A5" w:rsidRDefault="00681463">
      <w:pPr>
        <w:pStyle w:val="BodyText"/>
        <w:spacing w:before="120"/>
        <w:ind w:right="89"/>
      </w:pPr>
      <w:r>
        <w:rPr>
          <w:i/>
        </w:rPr>
        <w:t xml:space="preserve">Drug-related criminal activity </w:t>
      </w:r>
      <w:r>
        <w:t>is defined by HUD as the illegal manufacture, sale, distribution, or use of a drug, or the possession of a drug with intent to manufacture, sell, distribute or use the drug.</w:t>
      </w:r>
    </w:p>
    <w:p w:rsidR="004E13A5" w:rsidRDefault="00681463">
      <w:pPr>
        <w:pStyle w:val="BodyText"/>
        <w:ind w:right="523"/>
      </w:pPr>
      <w:r>
        <w:rPr>
          <w:i/>
        </w:rPr>
        <w:t xml:space="preserve">Violent criminal activity </w:t>
      </w:r>
      <w:r>
        <w:t>means any criminal activity that has as one of its elements the use, attempted use, or threatened use of physical force substantial enough to cause, or be reasonably likely to cause, serious bodily injury or property damage.</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524"/>
        <w:jc w:val="both"/>
      </w:pPr>
      <w:r>
        <w:t>The PHA will terminate a family’s assistance if any household member has violated the family’s obligation not to engage in any drug-related or violent criminal activity during participation in the HCV program.</w:t>
      </w:r>
    </w:p>
    <w:p w:rsidR="004E13A5" w:rsidRDefault="00681463">
      <w:pPr>
        <w:pStyle w:val="BodyText"/>
        <w:ind w:left="820" w:right="189"/>
      </w:pPr>
      <w:r>
        <w:t>The PHA will consider all credible evidence, including but not limited to, any record of arrests and/or convictions of household members related to drug-related or violent criminal activity, and any eviction or notice to evict based on drug-related or violent criminal activity.</w:t>
      </w:r>
    </w:p>
    <w:p w:rsidR="004E13A5" w:rsidRDefault="00681463">
      <w:pPr>
        <w:pStyle w:val="BodyText"/>
        <w:spacing w:before="0"/>
        <w:ind w:left="820" w:right="329"/>
      </w:pPr>
      <w:r>
        <w:t>A record or records of arrest will not be used as the sole basis for the termination or proof that the participant engaged in disqualifying criminal activity.</w:t>
      </w:r>
    </w:p>
    <w:p w:rsidR="004E13A5" w:rsidRDefault="00681463">
      <w:pPr>
        <w:pStyle w:val="BodyText"/>
        <w:spacing w:before="120"/>
        <w:ind w:left="820" w:right="169"/>
      </w:pPr>
      <w:r>
        <w:t>In making its decision to terminate assistance, the PHA will consider alternatives as described in Section 12-II.C and other factors described in Sections 12-II.D and 12-II.E. Upon consideration of such alternatives and factors, the PHA may, on a case-by-case basis, choose not to terminate assistance.</w:t>
      </w:r>
    </w:p>
    <w:p w:rsidR="004E13A5" w:rsidRDefault="00681463">
      <w:pPr>
        <w:pStyle w:val="Heading4"/>
        <w:spacing w:before="119"/>
        <w:ind w:right="3714"/>
      </w:pPr>
      <w:r>
        <w:t>Other Authorized Reasons for Termination of Assistance [24 CFR 982.552(c), 24 CFR 5.2005(c)] 24 CFR 984.101(d)</w:t>
      </w:r>
    </w:p>
    <w:p w:rsidR="004E13A5" w:rsidRDefault="00681463">
      <w:pPr>
        <w:pStyle w:val="BodyText"/>
        <w:ind w:right="156"/>
      </w:pPr>
      <w:r>
        <w:t>HUD permits the PHA to terminate assistance under a number of other circumstances. It is left to the discretion of the PHA whether such circumstances in general warrant consideration for the termination of assistance. As discussed further in section 12-II.E, the Violence against Women Act of 2013 explicitly prohibits PHAs from considering incidents of, or criminal activity directly related to, domestic violence, dating violence, sexual assault, or stalking as reasons for terminating the assistance of a victim of such abuse.</w:t>
      </w:r>
    </w:p>
    <w:p w:rsidR="004E13A5" w:rsidRDefault="00681463">
      <w:pPr>
        <w:pStyle w:val="BodyText"/>
        <w:ind w:right="360"/>
        <w:jc w:val="both"/>
      </w:pPr>
      <w:r>
        <w:t>Additionally, per 24 CFR 984.101(d),, PHAs are no longer permitted to terminate assistance to a family due to the family’s failure to meet its obligations under the Family Self-Sufficiency (FSS) contract of participation</w:t>
      </w:r>
    </w:p>
    <w:p w:rsidR="004E13A5" w:rsidRDefault="00681463">
      <w:pPr>
        <w:pStyle w:val="BodyText"/>
        <w:ind w:left="820"/>
      </w:pPr>
      <w:r>
        <w:rPr>
          <w:u w:val="single"/>
        </w:rPr>
        <w:t>PHA Policy</w:t>
      </w:r>
    </w:p>
    <w:p w:rsidR="004E13A5" w:rsidRDefault="00681463">
      <w:pPr>
        <w:pStyle w:val="BodyText"/>
        <w:ind w:left="820"/>
      </w:pPr>
      <w:r>
        <w:t xml:space="preserve">The PHA </w:t>
      </w:r>
      <w:r>
        <w:rPr>
          <w:b/>
        </w:rPr>
        <w:t xml:space="preserve">will </w:t>
      </w:r>
      <w:r>
        <w:t>terminate a family’s assistance if:</w:t>
      </w:r>
    </w:p>
    <w:p w:rsidR="004E13A5" w:rsidRDefault="00681463">
      <w:pPr>
        <w:pStyle w:val="BodyText"/>
        <w:ind w:left="1540"/>
      </w:pPr>
      <w:r>
        <w:t>The family has failed to comply with any family obligations under the program. See Exhibit 12-1 for a listing of family obligations and related PHA policies.</w:t>
      </w:r>
    </w:p>
    <w:p w:rsidR="004E13A5" w:rsidRDefault="00681463">
      <w:pPr>
        <w:pStyle w:val="BodyText"/>
        <w:ind w:left="1540" w:right="115"/>
      </w:pPr>
      <w:r>
        <w:t>Any family member has been evicted from federally-assisted housing in the last five years.</w:t>
      </w:r>
    </w:p>
    <w:p w:rsidR="004E13A5" w:rsidRDefault="00681463">
      <w:pPr>
        <w:pStyle w:val="BodyText"/>
        <w:ind w:left="1540" w:right="116"/>
      </w:pPr>
      <w:r>
        <w:t>Any family member has committed fraud, bribery, or any other corrupt or criminal act in connection with any federal housing program.</w:t>
      </w:r>
    </w:p>
    <w:p w:rsidR="004E13A5" w:rsidRDefault="00681463">
      <w:pPr>
        <w:pStyle w:val="BodyText"/>
        <w:ind w:left="1540" w:right="521"/>
      </w:pPr>
      <w:r>
        <w:t>The family currently owes rent or other amounts to any PHA in connection with Section 8 or public housing assistance under the 1937 Act.</w:t>
      </w:r>
    </w:p>
    <w:p w:rsidR="004E13A5" w:rsidRDefault="00681463">
      <w:pPr>
        <w:pStyle w:val="BodyText"/>
        <w:ind w:left="1540" w:right="116"/>
      </w:pPr>
      <w:r>
        <w:t>The family has not reimbursed any PHA for amounts the PHA paid to an owner under a HAP contract for rent, damages to the unit, or other amounts owed by the family under the lease.</w:t>
      </w:r>
    </w:p>
    <w:p w:rsidR="004E13A5" w:rsidRDefault="00681463">
      <w:pPr>
        <w:pStyle w:val="BodyText"/>
        <w:ind w:left="1540" w:right="309"/>
      </w:pPr>
      <w:r>
        <w:t>The family has breached the terms of a repayment agreement entered into with the PHA.</w:t>
      </w:r>
    </w:p>
    <w:p w:rsidR="004E13A5" w:rsidRDefault="00681463">
      <w:pPr>
        <w:pStyle w:val="BodyText"/>
        <w:ind w:left="1540" w:right="302"/>
      </w:pPr>
      <w:r>
        <w:t>A family member has engaged in or threatened violent or abusive behavior toward PHA personnel.</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2260" w:right="221"/>
      </w:pPr>
      <w:r>
        <w:rPr>
          <w:i/>
        </w:rPr>
        <w:lastRenderedPageBreak/>
        <w:t xml:space="preserve">Abusive or violent behavior towards PHA personnel </w:t>
      </w:r>
      <w:r>
        <w:t>includes verbal as well as physical abuse or violence. Use of racial epithets, or other language, written or oral, that is customarily used to intimidate may be considered abusive or violent behavior.</w:t>
      </w:r>
    </w:p>
    <w:p w:rsidR="004E13A5" w:rsidRDefault="00681463">
      <w:pPr>
        <w:pStyle w:val="BodyText"/>
        <w:spacing w:before="120"/>
        <w:ind w:left="2260" w:right="955"/>
      </w:pPr>
      <w:r>
        <w:rPr>
          <w:i/>
        </w:rPr>
        <w:t xml:space="preserve">Threatening </w:t>
      </w:r>
      <w:r>
        <w:t>refers to oral or written threats or physical gestures that communicate intent to abuse or commit violence.</w:t>
      </w:r>
    </w:p>
    <w:p w:rsidR="004E13A5" w:rsidRDefault="00681463">
      <w:pPr>
        <w:pStyle w:val="BodyText"/>
        <w:spacing w:before="120"/>
        <w:ind w:left="820" w:right="169"/>
      </w:pPr>
      <w:r>
        <w:t>In making its decision to terminate assistance, the PHA will consider alternatives as described in Section 12-II.C and other factors described in Sections 12-II.D and 12-II.E. Upon consideration of such alternatives and factors, the PHA may, on a case-by-case basis, choose not to terminate assistance.</w:t>
      </w:r>
    </w:p>
    <w:p w:rsidR="004E13A5" w:rsidRDefault="00681463">
      <w:pPr>
        <w:pStyle w:val="Heading5"/>
        <w:spacing w:before="120"/>
      </w:pPr>
      <w:r>
        <w:t>Family Absence from the Unit [24 CFR 982.312]</w:t>
      </w:r>
    </w:p>
    <w:p w:rsidR="004E13A5" w:rsidRDefault="00681463">
      <w:pPr>
        <w:pStyle w:val="BodyText"/>
        <w:spacing w:before="120"/>
      </w:pPr>
      <w:r>
        <w:t>The family may be absent from the unit for brief periods. The PHA must establish a policy on how long the family may be absent from the assisted unit. However, the family may not be absent from the unit for a period of more than 180 consecutive calendar days for any reason. Absence in this context means that no member of the family is residing in the unit.</w:t>
      </w:r>
    </w:p>
    <w:p w:rsidR="004E13A5" w:rsidRDefault="00681463">
      <w:pPr>
        <w:pStyle w:val="BodyText"/>
        <w:spacing w:before="120"/>
        <w:ind w:left="820"/>
      </w:pPr>
      <w:r>
        <w:rPr>
          <w:u w:val="single"/>
        </w:rPr>
        <w:t>PHA Policy</w:t>
      </w:r>
    </w:p>
    <w:p w:rsidR="004E13A5" w:rsidRDefault="00681463">
      <w:pPr>
        <w:pStyle w:val="BodyText"/>
        <w:spacing w:before="120"/>
        <w:ind w:left="820" w:right="63"/>
      </w:pPr>
      <w:r>
        <w:t>If the family is absent from the unit for more than 180 consecutive calendar days, the family’s assistance will be terminated. Notice of termination will be sent in accordance with Section 12-II.F.</w:t>
      </w:r>
    </w:p>
    <w:p w:rsidR="004E13A5" w:rsidRDefault="00681463">
      <w:pPr>
        <w:pStyle w:val="Heading5"/>
        <w:spacing w:before="120"/>
      </w:pPr>
      <w:r>
        <w:t>Insufficient Funding [24 CFR 982.454]</w:t>
      </w:r>
    </w:p>
    <w:p w:rsidR="004E13A5" w:rsidRDefault="00681463">
      <w:pPr>
        <w:pStyle w:val="BodyText"/>
        <w:spacing w:before="120"/>
        <w:ind w:right="928"/>
      </w:pPr>
      <w:r>
        <w:t>The PHA may terminate HAP contracts if the PHA determines, in accordance with HUD requirements, that funding under the consolidated ACC is insufficient to support continued assistance for families in the program.</w:t>
      </w:r>
    </w:p>
    <w:p w:rsidR="004E13A5" w:rsidRDefault="00681463">
      <w:pPr>
        <w:pStyle w:val="BodyText"/>
        <w:spacing w:before="120"/>
        <w:ind w:left="820"/>
      </w:pPr>
      <w:r>
        <w:rPr>
          <w:u w:val="single"/>
        </w:rPr>
        <w:t>PHA Policy</w:t>
      </w:r>
    </w:p>
    <w:p w:rsidR="004E13A5" w:rsidRDefault="00681463">
      <w:pPr>
        <w:pStyle w:val="BodyText"/>
        <w:ind w:left="820" w:right="116"/>
      </w:pPr>
      <w:r>
        <w:t>The PHA will determine whether there is sufficient funding to pay for currently assisted families according to the policies in Part VIII of Chapter 16. If the PHA determines there is a shortage of funding, prior to terminating any HAP contracts, the PHA will determine if any other actions can be taken to reduce program costs.</w:t>
      </w:r>
    </w:p>
    <w:p w:rsidR="004E13A5" w:rsidRDefault="00681463">
      <w:pPr>
        <w:pStyle w:val="BodyText"/>
        <w:ind w:left="820" w:right="168"/>
      </w:pPr>
      <w:r>
        <w:t>In the event that the PHA decides to stop issuing vouchers as a result of a funding shortfall, and the PHA is not assisting the required number of special purpose vouchers (NED families, HUD-Veterans Affairs Supportive Housing (VASH) families, and family unification program (FUP) families), when the PHA resumes issuing vouchers, the PHA will issue vouchers first to the special purpose voucher families on its waiting list until it has reached the required number of special purpose vouchers, when applicable.</w:t>
      </w:r>
    </w:p>
    <w:p w:rsidR="004E13A5" w:rsidRDefault="00681463">
      <w:pPr>
        <w:pStyle w:val="BodyText"/>
        <w:spacing w:before="120"/>
        <w:ind w:left="820" w:right="396"/>
      </w:pPr>
      <w:r>
        <w:t>If after implementing all reasonable cost cutting measures there is not enough funding available to provide continued assistance for current participants, the PHA will terminate HAP contracts as a last resort.</w:t>
      </w:r>
    </w:p>
    <w:p w:rsidR="004E13A5" w:rsidRDefault="00681463">
      <w:pPr>
        <w:pStyle w:val="BodyText"/>
        <w:ind w:left="820" w:right="457"/>
        <w:jc w:val="both"/>
      </w:pPr>
      <w:r>
        <w:t>Prior to terminating any HAP contracts, the PHA will inform the local HUD field</w:t>
      </w:r>
      <w:r>
        <w:rPr>
          <w:spacing w:val="-18"/>
        </w:rPr>
        <w:t xml:space="preserve"> </w:t>
      </w:r>
      <w:r>
        <w:t>office. The PHA will terminate the minimum number needed in order to reduce HAP costs to a level within the PHA’s annual budget</w:t>
      </w:r>
      <w:r>
        <w:rPr>
          <w:spacing w:val="-9"/>
        </w:rPr>
        <w:t xml:space="preserve"> </w:t>
      </w:r>
      <w:r>
        <w:t>authority.</w:t>
      </w:r>
    </w:p>
    <w:p w:rsidR="004E13A5" w:rsidRDefault="00681463">
      <w:pPr>
        <w:pStyle w:val="BodyText"/>
        <w:ind w:left="820" w:right="107"/>
      </w:pPr>
      <w:r>
        <w:t>If the PHA must terminate HAP contracts due to insufficient funding, the PHA will do so in accordance with the following criteria and instructions:</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1540" w:right="100"/>
      </w:pPr>
      <w:r>
        <w:lastRenderedPageBreak/>
        <w:t>Families who have been assisted in the HCV program the longest will be the first to be terminated, excluding families that include elderly or disabled family members.</w:t>
      </w:r>
    </w:p>
    <w:p w:rsidR="004E13A5" w:rsidRDefault="00681463">
      <w:pPr>
        <w:pStyle w:val="BodyText"/>
        <w:spacing w:before="139"/>
        <w:ind w:left="1540" w:right="523"/>
        <w:jc w:val="both"/>
      </w:pPr>
      <w:r>
        <w:t>Families comprising the required number of special purpose vouchers, including nonelderly disabled (NED), HUD-Veteran’s Affairs Supportive Housing (HUD- VASH), and family unification program (FUP) will be the last to be terminated.</w:t>
      </w:r>
    </w:p>
    <w:p w:rsidR="004E13A5" w:rsidRDefault="004E13A5">
      <w:pPr>
        <w:pStyle w:val="BodyText"/>
        <w:spacing w:before="5"/>
        <w:ind w:left="0"/>
      </w:pPr>
    </w:p>
    <w:p w:rsidR="004E13A5" w:rsidRDefault="00681463">
      <w:pPr>
        <w:pStyle w:val="Heading4"/>
        <w:spacing w:line="510" w:lineRule="atLeast"/>
        <w:ind w:right="1600" w:firstLine="1497"/>
      </w:pPr>
      <w:r>
        <w:t>PART II: APPROACH TO TERMINATION OF ASSISTANCE 12-II.A. OVERVIEW</w:t>
      </w:r>
    </w:p>
    <w:p w:rsidR="004E13A5" w:rsidRDefault="00681463">
      <w:pPr>
        <w:pStyle w:val="BodyText"/>
        <w:ind w:right="82"/>
      </w:pPr>
      <w:r>
        <w:t>The PHA is required by regulation to terminate a family’s assistance for certain actions or inactions of the family. For other types of actions or inactions of the family, the regulations give the PHA the authority to either terminate the family’s assistance or to take another action. This part discusses the various actions the PHA may choose to take when it has discretion, and outlines the criteria the PHA will use to make its decision about whether or not to terminate assistance. It also specifies the requirements for the notification to the family of the PHA’s intent to terminate assistance.</w:t>
      </w:r>
    </w:p>
    <w:p w:rsidR="004E13A5" w:rsidRDefault="004E13A5">
      <w:pPr>
        <w:pStyle w:val="BodyText"/>
        <w:spacing w:before="9"/>
        <w:ind w:left="0"/>
        <w:rPr>
          <w:sz w:val="20"/>
        </w:rPr>
      </w:pPr>
    </w:p>
    <w:p w:rsidR="004E13A5" w:rsidRDefault="00681463">
      <w:pPr>
        <w:pStyle w:val="Heading4"/>
      </w:pPr>
      <w:bookmarkStart w:id="163" w:name="_TOC_250264"/>
      <w:bookmarkEnd w:id="163"/>
      <w:r>
        <w:t>12-II.B. METHOD OF TERMINATION [24 CFR 982.552(a)(3)]</w:t>
      </w:r>
    </w:p>
    <w:p w:rsidR="004E13A5" w:rsidRDefault="00681463">
      <w:pPr>
        <w:pStyle w:val="BodyText"/>
      </w:pPr>
      <w:r>
        <w:t>Termination of assistance for a participant may include any or all of the following:</w:t>
      </w:r>
    </w:p>
    <w:p w:rsidR="004E13A5" w:rsidRDefault="00681463">
      <w:pPr>
        <w:pStyle w:val="ListParagraph"/>
        <w:numPr>
          <w:ilvl w:val="0"/>
          <w:numId w:val="93"/>
        </w:numPr>
        <w:tabs>
          <w:tab w:val="left" w:pos="460"/>
          <w:tab w:val="left" w:pos="461"/>
        </w:tabs>
        <w:rPr>
          <w:rFonts w:ascii="Symbol"/>
          <w:sz w:val="24"/>
        </w:rPr>
      </w:pPr>
      <w:r>
        <w:rPr>
          <w:sz w:val="24"/>
        </w:rPr>
        <w:t>Terminating housing assistance payments under a current HAP</w:t>
      </w:r>
      <w:r>
        <w:rPr>
          <w:spacing w:val="-11"/>
          <w:sz w:val="24"/>
        </w:rPr>
        <w:t xml:space="preserve"> </w:t>
      </w:r>
      <w:r>
        <w:rPr>
          <w:sz w:val="24"/>
        </w:rPr>
        <w:t>contract,</w:t>
      </w:r>
    </w:p>
    <w:p w:rsidR="004E13A5" w:rsidRDefault="00681463">
      <w:pPr>
        <w:pStyle w:val="ListParagraph"/>
        <w:numPr>
          <w:ilvl w:val="0"/>
          <w:numId w:val="93"/>
        </w:numPr>
        <w:tabs>
          <w:tab w:val="left" w:pos="460"/>
          <w:tab w:val="left" w:pos="461"/>
        </w:tabs>
        <w:spacing w:before="118"/>
        <w:rPr>
          <w:rFonts w:ascii="Symbol"/>
          <w:sz w:val="24"/>
        </w:rPr>
      </w:pPr>
      <w:r>
        <w:rPr>
          <w:sz w:val="24"/>
        </w:rPr>
        <w:t>Refusing to enter into a new HAP contract or approve a lease,</w:t>
      </w:r>
      <w:r>
        <w:rPr>
          <w:spacing w:val="-7"/>
          <w:sz w:val="24"/>
        </w:rPr>
        <w:t xml:space="preserve"> </w:t>
      </w:r>
      <w:r>
        <w:rPr>
          <w:sz w:val="24"/>
        </w:rPr>
        <w:t>or</w:t>
      </w:r>
    </w:p>
    <w:p w:rsidR="004E13A5" w:rsidRDefault="00681463">
      <w:pPr>
        <w:pStyle w:val="ListParagraph"/>
        <w:numPr>
          <w:ilvl w:val="0"/>
          <w:numId w:val="93"/>
        </w:numPr>
        <w:tabs>
          <w:tab w:val="left" w:pos="460"/>
          <w:tab w:val="left" w:pos="461"/>
        </w:tabs>
        <w:spacing w:before="120"/>
        <w:rPr>
          <w:rFonts w:ascii="Symbol"/>
          <w:sz w:val="24"/>
        </w:rPr>
      </w:pPr>
      <w:r>
        <w:rPr>
          <w:sz w:val="24"/>
        </w:rPr>
        <w:t>Refusing to process a request for or to provide assistance under portability</w:t>
      </w:r>
      <w:r>
        <w:rPr>
          <w:spacing w:val="-16"/>
          <w:sz w:val="24"/>
        </w:rPr>
        <w:t xml:space="preserve"> </w:t>
      </w:r>
      <w:r>
        <w:rPr>
          <w:sz w:val="24"/>
        </w:rPr>
        <w:t>procedures.</w:t>
      </w:r>
    </w:p>
    <w:p w:rsidR="004E13A5" w:rsidRDefault="00681463">
      <w:pPr>
        <w:pStyle w:val="Heading4"/>
        <w:spacing w:before="238"/>
      </w:pPr>
      <w:bookmarkStart w:id="164" w:name="_TOC_250263"/>
      <w:bookmarkEnd w:id="164"/>
      <w:r>
        <w:t>12-II.C. ALTERNATIVES TO TERMINATION OF ASSISTANCE</w:t>
      </w:r>
    </w:p>
    <w:p w:rsidR="004E13A5" w:rsidRDefault="00681463">
      <w:pPr>
        <w:pStyle w:val="Heading4"/>
        <w:spacing w:before="119"/>
      </w:pPr>
      <w:bookmarkStart w:id="165" w:name="_TOC_250262"/>
      <w:bookmarkEnd w:id="165"/>
      <w:r>
        <w:t>Change in Household Composition</w:t>
      </w:r>
    </w:p>
    <w:p w:rsidR="004E13A5" w:rsidRDefault="00681463">
      <w:pPr>
        <w:pStyle w:val="BodyText"/>
      </w:pPr>
      <w:r>
        <w:t>As a condition of continued assistance, the PHA may require that any household member who participated in or was responsible for an offense no longer resides in the unit [24 CFR 982.552(c)(2)(ii)].</w:t>
      </w:r>
    </w:p>
    <w:p w:rsidR="004E13A5" w:rsidRDefault="00681463">
      <w:pPr>
        <w:pStyle w:val="BodyText"/>
        <w:ind w:left="820"/>
      </w:pPr>
      <w:r>
        <w:rPr>
          <w:u w:val="single"/>
        </w:rPr>
        <w:t>PHA Policy</w:t>
      </w:r>
    </w:p>
    <w:p w:rsidR="004E13A5" w:rsidRDefault="00681463">
      <w:pPr>
        <w:pStyle w:val="BodyText"/>
        <w:ind w:left="820"/>
      </w:pPr>
      <w:r>
        <w:t>As a condition of continued assistance, the head of household must certify that the culpable family member has vacated the unit and will not be permitted to visit or to stay as a guest in the assisted unit. The family must present evidence of the former family member’s current address upon PHA request.</w:t>
      </w:r>
    </w:p>
    <w:p w:rsidR="004E13A5" w:rsidRDefault="00681463">
      <w:pPr>
        <w:pStyle w:val="Heading4"/>
        <w:spacing w:before="119"/>
      </w:pPr>
      <w:bookmarkStart w:id="166" w:name="_TOC_250261"/>
      <w:bookmarkEnd w:id="166"/>
      <w:r>
        <w:t>Repayment of Family Debts</w:t>
      </w:r>
    </w:p>
    <w:p w:rsidR="004E13A5" w:rsidRDefault="00681463">
      <w:pPr>
        <w:pStyle w:val="BodyText"/>
        <w:spacing w:before="120"/>
        <w:ind w:left="820"/>
      </w:pPr>
      <w:r>
        <w:rPr>
          <w:u w:val="single"/>
        </w:rPr>
        <w:t>PHA Policy</w:t>
      </w:r>
    </w:p>
    <w:p w:rsidR="004E13A5" w:rsidRDefault="00681463">
      <w:pPr>
        <w:pStyle w:val="BodyText"/>
        <w:spacing w:before="120"/>
        <w:ind w:left="820" w:right="183"/>
      </w:pPr>
      <w:r>
        <w:t>If a family owes amounts to the PHA, as a condition of continued assistance, the PHA will require the family to repay the full amount or to enter into a repayment agreement, within 30 days of receiving notice from the PHA of the amount owed. See Chapter 16 for policies on repayment agreements.</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95"/>
      </w:pPr>
      <w:bookmarkStart w:id="167" w:name="_TOC_250260"/>
      <w:bookmarkEnd w:id="167"/>
      <w:r>
        <w:lastRenderedPageBreak/>
        <w:t>12-II.D. CRITERIA FOR DECIDING TO TERMINATE ASSISTANCE</w:t>
      </w:r>
    </w:p>
    <w:p w:rsidR="004E13A5" w:rsidRDefault="00681463">
      <w:pPr>
        <w:pStyle w:val="Heading4"/>
        <w:spacing w:before="119"/>
      </w:pPr>
      <w:bookmarkStart w:id="168" w:name="_TOC_250259"/>
      <w:bookmarkEnd w:id="168"/>
      <w:r>
        <w:t>Evidence</w:t>
      </w:r>
    </w:p>
    <w:p w:rsidR="004E13A5" w:rsidRDefault="00681463">
      <w:pPr>
        <w:pStyle w:val="BodyText"/>
      </w:pPr>
      <w:r>
        <w:t xml:space="preserve">For criminal activity, HUD permits the PHA to terminate assistance if a </w:t>
      </w:r>
      <w:r>
        <w:rPr>
          <w:i/>
        </w:rPr>
        <w:t xml:space="preserve">preponderance of the evidence </w:t>
      </w:r>
      <w:r>
        <w:t>indicates that a household member has engaged in the activity, regardless of whether the household member has been arrested or convicted [24 CFR 982.553(c)].</w:t>
      </w:r>
    </w:p>
    <w:p w:rsidR="004E13A5" w:rsidRDefault="00681463">
      <w:pPr>
        <w:pStyle w:val="BodyText"/>
        <w:ind w:left="820"/>
      </w:pPr>
      <w:r>
        <w:rPr>
          <w:u w:val="single"/>
        </w:rPr>
        <w:t>PHA Policy</w:t>
      </w:r>
    </w:p>
    <w:p w:rsidR="004E13A5" w:rsidRDefault="00681463">
      <w:pPr>
        <w:pStyle w:val="BodyText"/>
        <w:ind w:left="820"/>
      </w:pPr>
      <w:r>
        <w:t>The PHA will use the concept of the preponderance of the evidence as the standard for making all termination decisions.</w:t>
      </w:r>
    </w:p>
    <w:p w:rsidR="004E13A5" w:rsidRDefault="00681463">
      <w:pPr>
        <w:pStyle w:val="BodyText"/>
        <w:ind w:left="820" w:right="169"/>
      </w:pPr>
      <w:r>
        <w:rPr>
          <w:i/>
        </w:rPr>
        <w:t xml:space="preserve">Preponderance of the evidence </w:t>
      </w:r>
      <w:r>
        <w:t>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p>
    <w:p w:rsidR="004E13A5" w:rsidRDefault="00681463">
      <w:pPr>
        <w:pStyle w:val="Heading4"/>
        <w:spacing w:before="119"/>
      </w:pPr>
      <w:r>
        <w:t>Use of Criminal Conviction Records after Admission [24 CFR 5.903]</w:t>
      </w:r>
    </w:p>
    <w:p w:rsidR="004E13A5" w:rsidRDefault="00681463">
      <w:pPr>
        <w:pStyle w:val="BodyText"/>
      </w:pPr>
      <w:r>
        <w:t>The regulation at 24 CFR 5.903 governs a PHA’s access to and use of criminal conviction records obtained from a “law enforcement agency” such as the National Crime Information Center (NCIC), police departments, and other law enforcement agencies that hold criminal conviction records.</w:t>
      </w:r>
    </w:p>
    <w:p w:rsidR="004E13A5" w:rsidRDefault="00681463">
      <w:pPr>
        <w:pStyle w:val="BodyText"/>
        <w:spacing w:before="0"/>
        <w:ind w:right="83"/>
      </w:pPr>
      <w:r>
        <w:t>While the regulatory listing of permitted uses for these records includes PHA screening of applicants for admission to the HCV program, it specifically excludes the use of records for lease enforcement and eviction of HCV participants and excludes by omission a PHA’s use of records to terminate assistance for participants. While a PHA has regulatory authority to use criminal conviction records for the purpose of applicant screening for admission, there is no corresponding authority to use these records to check for criminal and illegal drug activity by participants, and therefore, PHAs may not use records for this purpose. The limitations, however, do not apply to criminal conviction information searches from non-federal sources (i.e., sources other than the “law enforcement agencies” defined in 24 CFR 5.902(b)). There is no prohibition that bars a PHA from using non-federal sources to conduct criminal background checks of program participants.</w:t>
      </w:r>
    </w:p>
    <w:p w:rsidR="004E13A5" w:rsidRDefault="00681463">
      <w:pPr>
        <w:pStyle w:val="Heading4"/>
        <w:spacing w:before="120"/>
      </w:pPr>
      <w:bookmarkStart w:id="169" w:name="_TOC_250258"/>
      <w:bookmarkEnd w:id="169"/>
      <w:r>
        <w:t>Consideration of Circumstances [24 CFR 982.552(c)(2)(i)]</w:t>
      </w:r>
    </w:p>
    <w:p w:rsidR="004E13A5" w:rsidRDefault="00681463">
      <w:pPr>
        <w:pStyle w:val="BodyText"/>
        <w:ind w:right="362"/>
      </w:pPr>
      <w:r>
        <w:t>The PHA is permitted, but not required, to consider all relevant circumstances when determining whether a family’s assistance should be terminated.</w:t>
      </w:r>
    </w:p>
    <w:p w:rsidR="004E13A5" w:rsidRDefault="00681463">
      <w:pPr>
        <w:pStyle w:val="BodyText"/>
        <w:ind w:left="820"/>
      </w:pPr>
      <w:r>
        <w:rPr>
          <w:u w:val="single"/>
        </w:rPr>
        <w:t>PHA Policy</w:t>
      </w:r>
    </w:p>
    <w:p w:rsidR="004E13A5" w:rsidRDefault="00681463">
      <w:pPr>
        <w:pStyle w:val="BodyText"/>
        <w:ind w:left="820" w:right="281"/>
      </w:pPr>
      <w:r>
        <w:t>The PHA will consider the following facts and circumstances when making its decision to terminate assistance:</w:t>
      </w:r>
    </w:p>
    <w:p w:rsidR="004E13A5" w:rsidRDefault="00681463">
      <w:pPr>
        <w:pStyle w:val="BodyText"/>
        <w:spacing w:before="120"/>
        <w:ind w:left="1540" w:right="569"/>
      </w:pPr>
      <w:r>
        <w:t>The seriousness of the case, especially with respect to how it would affect other residents’ safety or property</w:t>
      </w:r>
    </w:p>
    <w:p w:rsidR="004E13A5" w:rsidRDefault="00681463">
      <w:pPr>
        <w:pStyle w:val="BodyText"/>
        <w:spacing w:before="120"/>
        <w:ind w:left="1540" w:right="202"/>
      </w:pPr>
      <w:r>
        <w:t>The effects that termination of assistance may have on other members of the family who were not involved in the action or failure to act</w:t>
      </w:r>
    </w:p>
    <w:p w:rsidR="004E13A5" w:rsidRDefault="00681463">
      <w:pPr>
        <w:pStyle w:val="BodyText"/>
        <w:spacing w:before="120"/>
        <w:ind w:left="1540" w:right="375"/>
      </w:pPr>
      <w:r>
        <w:t>The extent of participation or culpability of individual family members, including whether the culpable family member is a minor or a person with disabilities or</w:t>
      </w:r>
    </w:p>
    <w:p w:rsidR="004E13A5" w:rsidRDefault="004E13A5">
      <w:pPr>
        <w:sectPr w:rsidR="004E13A5">
          <w:pgSz w:w="12240" w:h="15840"/>
          <w:pgMar w:top="1500" w:right="1240" w:bottom="1240" w:left="1220" w:header="0" w:footer="1023" w:gutter="0"/>
          <w:cols w:space="720"/>
        </w:sectPr>
      </w:pPr>
    </w:p>
    <w:p w:rsidR="004E13A5" w:rsidRDefault="00681463">
      <w:pPr>
        <w:pStyle w:val="BodyText"/>
        <w:spacing w:before="79"/>
        <w:ind w:left="1540" w:right="835"/>
      </w:pPr>
      <w:r>
        <w:lastRenderedPageBreak/>
        <w:t>(as discussed further in section 12-II.E) a victim of domestic violence, dating violence, sexual assault or stalking</w:t>
      </w:r>
    </w:p>
    <w:p w:rsidR="004E13A5" w:rsidRDefault="00681463">
      <w:pPr>
        <w:pStyle w:val="BodyText"/>
        <w:spacing w:before="120"/>
        <w:ind w:left="1540" w:right="89"/>
      </w:pPr>
      <w:r>
        <w:t>The length of time since the violation occurred, including the age of the individual at the time of the conduct, as well as the family’s recent history and the likelihood of favorable conduct in the future</w:t>
      </w:r>
    </w:p>
    <w:p w:rsidR="004E13A5" w:rsidRDefault="004E13A5">
      <w:pPr>
        <w:pStyle w:val="BodyText"/>
        <w:spacing w:before="11"/>
        <w:ind w:left="0"/>
        <w:rPr>
          <w:sz w:val="23"/>
        </w:rPr>
      </w:pPr>
    </w:p>
    <w:p w:rsidR="004E13A5" w:rsidRDefault="00681463">
      <w:pPr>
        <w:pStyle w:val="BodyText"/>
        <w:spacing w:before="0"/>
        <w:ind w:left="1540" w:right="116"/>
      </w:pPr>
      <w:r>
        <w:t>While a record or records of arrest will not be used as the sole basis for termination, an arrest may, however, trigger an investigation to determine whether the participant actually engaged in disqualifying criminal activity. As part of its investigation, the PHA may obtain the police report associated with the arrest and consider the reported circumstances of the arrest. The PHA may also consider:</w:t>
      </w:r>
    </w:p>
    <w:p w:rsidR="004E13A5" w:rsidRDefault="004E13A5">
      <w:pPr>
        <w:pStyle w:val="BodyText"/>
        <w:spacing w:before="11"/>
        <w:ind w:left="0"/>
        <w:rPr>
          <w:sz w:val="23"/>
        </w:rPr>
      </w:pPr>
    </w:p>
    <w:p w:rsidR="004E13A5" w:rsidRDefault="00681463">
      <w:pPr>
        <w:pStyle w:val="BodyText"/>
        <w:spacing w:before="0"/>
        <w:ind w:left="2260" w:right="621"/>
      </w:pPr>
      <w:r>
        <w:t>Any statements made by witnesses or the participant not included in the police report</w:t>
      </w:r>
    </w:p>
    <w:p w:rsidR="004E13A5" w:rsidRDefault="004E13A5">
      <w:pPr>
        <w:pStyle w:val="BodyText"/>
        <w:spacing w:before="0"/>
        <w:ind w:left="0"/>
      </w:pPr>
    </w:p>
    <w:p w:rsidR="004E13A5" w:rsidRDefault="00681463">
      <w:pPr>
        <w:pStyle w:val="BodyText"/>
        <w:spacing w:before="0"/>
        <w:ind w:left="2260"/>
      </w:pPr>
      <w:r>
        <w:t>Whether criminal charges were filed</w:t>
      </w:r>
    </w:p>
    <w:p w:rsidR="004E13A5" w:rsidRDefault="004E13A5">
      <w:pPr>
        <w:pStyle w:val="BodyText"/>
        <w:spacing w:before="11"/>
        <w:ind w:left="0"/>
        <w:rPr>
          <w:sz w:val="23"/>
        </w:rPr>
      </w:pPr>
    </w:p>
    <w:p w:rsidR="004E13A5" w:rsidRDefault="00681463">
      <w:pPr>
        <w:pStyle w:val="BodyText"/>
        <w:spacing w:before="0"/>
        <w:ind w:left="2260" w:right="1095"/>
      </w:pPr>
      <w:r>
        <w:t>Whether, if filed, criminal charges were abandoned, dismissed, not prosecuted, or ultimately resulted in an acquittal</w:t>
      </w:r>
    </w:p>
    <w:p w:rsidR="004E13A5" w:rsidRDefault="004E13A5">
      <w:pPr>
        <w:pStyle w:val="BodyText"/>
        <w:spacing w:before="11"/>
        <w:ind w:left="0"/>
        <w:rPr>
          <w:sz w:val="23"/>
        </w:rPr>
      </w:pPr>
    </w:p>
    <w:p w:rsidR="004E13A5" w:rsidRDefault="00681463">
      <w:pPr>
        <w:pStyle w:val="BodyText"/>
        <w:spacing w:before="0"/>
        <w:ind w:left="2260" w:right="442"/>
      </w:pPr>
      <w:r>
        <w:t>Any other evidence relevant to determining whether or not the participant engaged in disqualifying activity</w:t>
      </w:r>
    </w:p>
    <w:p w:rsidR="004E13A5" w:rsidRDefault="004E13A5">
      <w:pPr>
        <w:pStyle w:val="BodyText"/>
        <w:spacing w:before="11"/>
        <w:ind w:left="0"/>
        <w:rPr>
          <w:sz w:val="23"/>
        </w:rPr>
      </w:pPr>
    </w:p>
    <w:p w:rsidR="004E13A5" w:rsidRDefault="00681463">
      <w:pPr>
        <w:pStyle w:val="BodyText"/>
        <w:spacing w:before="0"/>
        <w:ind w:left="1540" w:right="89"/>
      </w:pPr>
      <w:r>
        <w:t>Evidence of criminal conduct will be considered if it indicates a demonstrable risk to safety and/or property.</w:t>
      </w:r>
    </w:p>
    <w:p w:rsidR="004E13A5" w:rsidRDefault="004E13A5">
      <w:pPr>
        <w:pStyle w:val="BodyText"/>
        <w:spacing w:before="0"/>
        <w:ind w:left="0"/>
      </w:pPr>
    </w:p>
    <w:p w:rsidR="004E13A5" w:rsidRDefault="00681463">
      <w:pPr>
        <w:pStyle w:val="BodyText"/>
        <w:spacing w:before="0"/>
        <w:ind w:left="1540"/>
      </w:pPr>
      <w:r>
        <w:t>In the case of drug or alcohol abuse, whether the culpable household member is participating in or has successfully completed a supervised drug or alcohol rehabilitation program or has otherwise been rehabilitated successfully</w:t>
      </w:r>
    </w:p>
    <w:p w:rsidR="004E13A5" w:rsidRDefault="00681463">
      <w:pPr>
        <w:pStyle w:val="BodyText"/>
        <w:ind w:left="1540"/>
      </w:pPr>
      <w:r>
        <w:t>The PHA will require the participant to submit evidence of the household member’s current participation in or successful completion of a supervised drug or alcohol rehabilitation program, or evidence of otherwise having been rehabilitated successfully.</w:t>
      </w:r>
    </w:p>
    <w:p w:rsidR="004E13A5" w:rsidRDefault="00681463">
      <w:pPr>
        <w:pStyle w:val="BodyText"/>
        <w:ind w:left="1540" w:right="722"/>
      </w:pPr>
      <w:r>
        <w:t>In the case of program abuse, the dollar amount of the overpaid assistance and whether or not a false certification was signed by the family</w:t>
      </w:r>
    </w:p>
    <w:p w:rsidR="004E13A5" w:rsidRDefault="00681463">
      <w:pPr>
        <w:pStyle w:val="Heading4"/>
        <w:spacing w:before="119"/>
      </w:pPr>
      <w:bookmarkStart w:id="170" w:name="_TOC_250257"/>
      <w:bookmarkEnd w:id="170"/>
      <w:r>
        <w:t>Reasonable Accommodation [24 CFR 982.552(c)(2)(iv)]</w:t>
      </w:r>
    </w:p>
    <w:p w:rsidR="004E13A5" w:rsidRDefault="00681463">
      <w:pPr>
        <w:pStyle w:val="BodyText"/>
      </w:pPr>
      <w:r>
        <w:t>If the family includes a person with disabilities, the PHA’s decision to terminate the family’s assistance is subject to consideration of reasonable accommodation in accordance with 24 CFR Part 8.</w:t>
      </w:r>
    </w:p>
    <w:p w:rsidR="004E13A5" w:rsidRDefault="00681463">
      <w:pPr>
        <w:pStyle w:val="BodyText"/>
        <w:ind w:left="820"/>
      </w:pPr>
      <w:r>
        <w:rPr>
          <w:u w:val="single"/>
        </w:rPr>
        <w:t>PHA Policy</w:t>
      </w:r>
    </w:p>
    <w:p w:rsidR="004E13A5" w:rsidRDefault="00681463">
      <w:pPr>
        <w:pStyle w:val="BodyText"/>
        <w:ind w:left="820" w:right="196"/>
      </w:pPr>
      <w:r>
        <w:t>If a family indicates that the behavior of a family member with a disability is the reason for a proposed termination of assistance, the PHA will determine whether the behavior is related to the disability. If so, upon the family’s request, the PHA will determine whether alternative measures are appropriate as a reasonable accommodation. The PHA will only consider accommodations that can reasonably be expected to address the behavior that is</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left="820" w:right="815"/>
      </w:pPr>
      <w:r>
        <w:lastRenderedPageBreak/>
        <w:t>the basis of the proposed termination of assistance. See Chapter 2 for a discussion of reasonable accommodation.</w:t>
      </w:r>
    </w:p>
    <w:p w:rsidR="004E13A5" w:rsidRDefault="004E13A5">
      <w:pPr>
        <w:pStyle w:val="BodyText"/>
        <w:spacing w:before="10"/>
        <w:ind w:left="0"/>
        <w:rPr>
          <w:sz w:val="20"/>
        </w:rPr>
      </w:pPr>
    </w:p>
    <w:p w:rsidR="004E13A5" w:rsidRDefault="00681463">
      <w:pPr>
        <w:pStyle w:val="Heading4"/>
        <w:ind w:right="91"/>
      </w:pPr>
      <w:r>
        <w:t>12-II.E. TERMINATIONS RELATED TO DOMESTIC VIOLENCE, DATING VIOLENCE, SEXUAL ASSAULT OR STALKING</w:t>
      </w:r>
    </w:p>
    <w:p w:rsidR="004E13A5" w:rsidRDefault="00681463">
      <w:pPr>
        <w:pStyle w:val="BodyText"/>
      </w:pPr>
      <w:r>
        <w:t>This section describes the protections against termination of assistance that the Violence against Women Act of 2013 (VAWA) provides for victims of domestic violence, dating violence, sexual assault and stalking. For general VAWA requirements, key VAWA definitions, and PHA policies pertaining to notification, documentation, and confidentiality, see section 16-IX of this plan.</w:t>
      </w:r>
    </w:p>
    <w:p w:rsidR="004E13A5" w:rsidRDefault="00681463">
      <w:pPr>
        <w:pStyle w:val="Heading4"/>
        <w:spacing w:before="119"/>
      </w:pPr>
      <w:r>
        <w:t>VAWA Protections against Termination</w:t>
      </w:r>
    </w:p>
    <w:p w:rsidR="004E13A5" w:rsidRDefault="00681463">
      <w:pPr>
        <w:pStyle w:val="BodyText"/>
      </w:pPr>
      <w:r>
        <w:t>VAWA provides four specific protections against termination of HCV assistance for victims of domestic violence, dating violence, sexual assault or stalking. (</w:t>
      </w:r>
      <w:r>
        <w:rPr>
          <w:i/>
        </w:rPr>
        <w:t xml:space="preserve">Note: </w:t>
      </w:r>
      <w:r>
        <w:t>The second, third, and fourth protections also apply to terminations of tenancy or occupancy by owners participating in the HCV program, as do the limitations discussed under the next heading.)</w:t>
      </w:r>
    </w:p>
    <w:p w:rsidR="004E13A5" w:rsidRDefault="00681463">
      <w:pPr>
        <w:pStyle w:val="BodyText"/>
        <w:ind w:right="182"/>
      </w:pPr>
      <w:r>
        <w:t>First, VAWA provides that a PHA may not terminate assistance to a family that moves out of an assisted unit in violation of the lease, with or without prior notification to the PHA, if the move occurred to protect the health or safety of a family member who is or has been the victim of domestic violence, dating violence, sexual assault or stalking and who reasonably believed theywas imminently threatened by harm from further violence if theyremained in the unit [24 CFR 982.354(b)(4)].</w:t>
      </w:r>
    </w:p>
    <w:p w:rsidR="004E13A5" w:rsidRDefault="00681463">
      <w:pPr>
        <w:pStyle w:val="BodyText"/>
        <w:ind w:right="356"/>
      </w:pPr>
      <w:r>
        <w:t>Second, it provides that an incident or incidents of actual or threatened domestic violence, dating violence, sexual assault or stalking may not be construed either as a serious or repeated lease violation by the victim or as good cause to terminate the assistance of the victim [24 CFR 5.2005(c)(1)].</w:t>
      </w:r>
    </w:p>
    <w:p w:rsidR="004E13A5" w:rsidRDefault="00681463">
      <w:pPr>
        <w:pStyle w:val="BodyText"/>
        <w:ind w:right="129"/>
      </w:pPr>
      <w:r>
        <w:t>Third, it provides that criminal activity directly related to domestic violence, dating violence, sexual assault or stalking may not be construed as cause for terminating the assistance of a tenant if a member of the tenant’s household, a guest, or another person under the tenant’s control is the one engaging in the criminal activity and the tenant or affiliated individual or other individual is the actual or threatened victim of the domestic violence, dating violence, or stalking [24 CFR 5.2005(c)(2)].</w:t>
      </w:r>
    </w:p>
    <w:p w:rsidR="004E13A5" w:rsidRDefault="00681463">
      <w:pPr>
        <w:pStyle w:val="BodyText"/>
        <w:ind w:right="122"/>
      </w:pPr>
      <w:r>
        <w:t>Fourth, it gives PHAs the authority to terminate assistance to any tenant or lawful occupant who engages in criminal acts of physical violence against family members or others without terminating assistance to, or otherwise penalizing, the victim of the violence [24 CFR 5.2009(a)].</w:t>
      </w:r>
    </w:p>
    <w:p w:rsidR="004E13A5" w:rsidRDefault="00681463">
      <w:pPr>
        <w:pStyle w:val="Heading4"/>
        <w:spacing w:before="119"/>
      </w:pPr>
      <w:r>
        <w:t>Limitations on VAWA Protections [24 CFR 5.2005(d) and (e)]</w:t>
      </w:r>
    </w:p>
    <w:p w:rsidR="004E13A5" w:rsidRDefault="00681463">
      <w:pPr>
        <w:pStyle w:val="BodyText"/>
        <w:ind w:right="395"/>
      </w:pPr>
      <w:r>
        <w:t>VAWA does not limit the authority of a PHA to terminate the assistance of a victim of abuse for reasons unrelated to domestic violence, dating violence, sexual assault or stalking so long as the PHA does not subject the victim to a more demanding standard than it applies to other program participants [24 CFR 5.2005(d)(1)].</w:t>
      </w:r>
    </w:p>
    <w:p w:rsidR="004E13A5" w:rsidRDefault="00681463">
      <w:pPr>
        <w:pStyle w:val="BodyText"/>
      </w:pPr>
      <w:r>
        <w:t>Likewise, VAWA does not limit the authority of a PHA to terminate the assistance of a victim of domestic violence, dating violence, sexual assault or stalking if the PHA can demonstrate an actual and imminent threat to other tenants or those employed at or providing service to the assisted property if the victim is not terminated from assistance [24 CFR 5.2005(d)(2)].</w:t>
      </w:r>
    </w:p>
    <w:p w:rsidR="004E13A5" w:rsidRDefault="00681463">
      <w:pPr>
        <w:pStyle w:val="BodyText"/>
        <w:ind w:right="176"/>
      </w:pPr>
      <w:r>
        <w:t xml:space="preserve">HUD regulations define </w:t>
      </w:r>
      <w:r>
        <w:rPr>
          <w:i/>
        </w:rPr>
        <w:t xml:space="preserve">actual and imminent threat </w:t>
      </w:r>
      <w:r>
        <w:t>to mean words, gestures, actions, or other indicators of a physical threat that (a) is real, (b) would occur within an immediate time frame, and</w:t>
      </w:r>
    </w:p>
    <w:p w:rsidR="004E13A5" w:rsidRDefault="004E13A5">
      <w:pPr>
        <w:sectPr w:rsidR="004E13A5">
          <w:pgSz w:w="12240" w:h="15840"/>
          <w:pgMar w:top="1000" w:right="1240" w:bottom="1240" w:left="1220" w:header="0" w:footer="1023" w:gutter="0"/>
          <w:cols w:space="720"/>
        </w:sectPr>
      </w:pPr>
    </w:p>
    <w:p w:rsidR="004E13A5" w:rsidRDefault="00681463">
      <w:pPr>
        <w:pStyle w:val="ListParagraph"/>
        <w:numPr>
          <w:ilvl w:val="0"/>
          <w:numId w:val="54"/>
        </w:numPr>
        <w:tabs>
          <w:tab w:val="left" w:pos="426"/>
        </w:tabs>
        <w:spacing w:before="79"/>
        <w:ind w:right="667" w:firstLine="0"/>
        <w:rPr>
          <w:sz w:val="24"/>
        </w:rPr>
      </w:pPr>
      <w:r>
        <w:rPr>
          <w:sz w:val="24"/>
        </w:rPr>
        <w:lastRenderedPageBreak/>
        <w:t>could result in death or serious bodily harm [24 CFR 5.2005(d)(2) and (e)]. In determining whether an individual would pose an actual and imminent threat, the factors to be considered include:</w:t>
      </w:r>
    </w:p>
    <w:p w:rsidR="004E13A5" w:rsidRDefault="00681463">
      <w:pPr>
        <w:pStyle w:val="ListParagraph"/>
        <w:numPr>
          <w:ilvl w:val="0"/>
          <w:numId w:val="93"/>
        </w:numPr>
        <w:tabs>
          <w:tab w:val="left" w:pos="460"/>
          <w:tab w:val="left" w:pos="461"/>
        </w:tabs>
        <w:rPr>
          <w:rFonts w:ascii="Symbol"/>
          <w:sz w:val="24"/>
        </w:rPr>
      </w:pPr>
      <w:r>
        <w:rPr>
          <w:sz w:val="24"/>
        </w:rPr>
        <w:t>The duration of the</w:t>
      </w:r>
      <w:r>
        <w:rPr>
          <w:spacing w:val="-5"/>
          <w:sz w:val="24"/>
        </w:rPr>
        <w:t xml:space="preserve"> </w:t>
      </w:r>
      <w:r>
        <w:rPr>
          <w:sz w:val="24"/>
        </w:rPr>
        <w:t>risk</w:t>
      </w:r>
    </w:p>
    <w:p w:rsidR="004E13A5" w:rsidRDefault="00681463">
      <w:pPr>
        <w:pStyle w:val="ListParagraph"/>
        <w:numPr>
          <w:ilvl w:val="0"/>
          <w:numId w:val="93"/>
        </w:numPr>
        <w:tabs>
          <w:tab w:val="left" w:pos="460"/>
          <w:tab w:val="left" w:pos="461"/>
        </w:tabs>
        <w:spacing w:before="118"/>
        <w:rPr>
          <w:rFonts w:ascii="Symbol"/>
          <w:sz w:val="24"/>
        </w:rPr>
      </w:pPr>
      <w:r>
        <w:rPr>
          <w:sz w:val="24"/>
        </w:rPr>
        <w:t>The nature and severity of the potential</w:t>
      </w:r>
      <w:r>
        <w:rPr>
          <w:spacing w:val="-8"/>
          <w:sz w:val="24"/>
        </w:rPr>
        <w:t xml:space="preserve"> </w:t>
      </w:r>
      <w:r>
        <w:rPr>
          <w:sz w:val="24"/>
        </w:rPr>
        <w:t>harm</w:t>
      </w:r>
    </w:p>
    <w:p w:rsidR="004E13A5" w:rsidRDefault="00681463">
      <w:pPr>
        <w:pStyle w:val="ListParagraph"/>
        <w:numPr>
          <w:ilvl w:val="0"/>
          <w:numId w:val="93"/>
        </w:numPr>
        <w:tabs>
          <w:tab w:val="left" w:pos="460"/>
          <w:tab w:val="left" w:pos="461"/>
        </w:tabs>
        <w:spacing w:before="118"/>
        <w:rPr>
          <w:rFonts w:ascii="Symbol"/>
          <w:sz w:val="24"/>
        </w:rPr>
      </w:pPr>
      <w:r>
        <w:rPr>
          <w:sz w:val="24"/>
        </w:rPr>
        <w:t>The likelihood that the potential harm will</w:t>
      </w:r>
      <w:r>
        <w:rPr>
          <w:spacing w:val="-9"/>
          <w:sz w:val="24"/>
        </w:rPr>
        <w:t xml:space="preserve"> </w:t>
      </w:r>
      <w:r>
        <w:rPr>
          <w:sz w:val="24"/>
        </w:rPr>
        <w:t>occur</w:t>
      </w:r>
    </w:p>
    <w:p w:rsidR="004E13A5" w:rsidRDefault="00681463">
      <w:pPr>
        <w:pStyle w:val="ListParagraph"/>
        <w:numPr>
          <w:ilvl w:val="0"/>
          <w:numId w:val="93"/>
        </w:numPr>
        <w:tabs>
          <w:tab w:val="left" w:pos="460"/>
          <w:tab w:val="left" w:pos="461"/>
        </w:tabs>
        <w:spacing w:before="118"/>
        <w:rPr>
          <w:rFonts w:ascii="Symbol"/>
          <w:sz w:val="24"/>
        </w:rPr>
      </w:pPr>
      <w:r>
        <w:rPr>
          <w:sz w:val="24"/>
        </w:rPr>
        <w:t>The length of time before the potential harm would occur [24 CFR</w:t>
      </w:r>
      <w:r>
        <w:rPr>
          <w:spacing w:val="-11"/>
          <w:sz w:val="24"/>
        </w:rPr>
        <w:t xml:space="preserve"> </w:t>
      </w:r>
      <w:r>
        <w:rPr>
          <w:sz w:val="24"/>
        </w:rPr>
        <w:t>5.2005(e)]</w:t>
      </w:r>
    </w:p>
    <w:p w:rsidR="004E13A5" w:rsidRDefault="00681463">
      <w:pPr>
        <w:pStyle w:val="BodyText"/>
        <w:spacing w:before="121"/>
        <w:ind w:right="100"/>
      </w:pPr>
      <w:r>
        <w:t>In order to demonstrate an actual and imminent threat, the PHA must have objective evidence of words, gestures, actions, or other indicators. Even when a victim poses an actual and imminent threat, however, HUD regulations authorize a PHA to terminate the victim’s assistance “only when there are no other actions that could be taken to reduce or eliminate the threat” [24 CFR 5.2005(d)(3)].</w:t>
      </w:r>
    </w:p>
    <w:p w:rsidR="004E13A5" w:rsidRDefault="00681463">
      <w:pPr>
        <w:pStyle w:val="BodyText"/>
        <w:spacing w:before="120"/>
        <w:ind w:left="820"/>
      </w:pPr>
      <w:r>
        <w:rPr>
          <w:u w:val="single"/>
        </w:rPr>
        <w:t>PHA Policy</w:t>
      </w:r>
    </w:p>
    <w:p w:rsidR="004E13A5" w:rsidRDefault="00681463">
      <w:pPr>
        <w:pStyle w:val="BodyText"/>
        <w:ind w:left="820" w:right="122"/>
      </w:pPr>
      <w:r>
        <w:t>In determining whether a program participant who is a victim of domestic violence, dating violence, sexual assault or stalking is an actual and imminent threat to other tenants or those employed at or providing service to a property, the PHA will consider the following, and any other relevant, factors:</w:t>
      </w:r>
    </w:p>
    <w:p w:rsidR="004E13A5" w:rsidRDefault="00681463">
      <w:pPr>
        <w:pStyle w:val="BodyText"/>
        <w:ind w:left="1540" w:right="82"/>
      </w:pPr>
      <w:r>
        <w:t>Whether the threat is toward an employee or tenant other than the victim of domestic violence, dating violence, sexual assault or stalking</w:t>
      </w:r>
    </w:p>
    <w:p w:rsidR="004E13A5" w:rsidRDefault="00681463">
      <w:pPr>
        <w:pStyle w:val="BodyText"/>
        <w:spacing w:line="343" w:lineRule="auto"/>
        <w:ind w:left="1540" w:right="1488"/>
      </w:pPr>
      <w:r>
        <w:t>Whether the threat is a physical danger beyond a speculative threat Whether the threat is likely to happen within an immediate time frame</w:t>
      </w:r>
    </w:p>
    <w:p w:rsidR="004E13A5" w:rsidRDefault="00681463">
      <w:pPr>
        <w:pStyle w:val="BodyText"/>
        <w:spacing w:before="2"/>
        <w:ind w:left="1540" w:right="443"/>
        <w:jc w:val="both"/>
      </w:pPr>
      <w:r>
        <w:t>Whether the threat to other tenants or employees can be eliminated in some other way, such as by helping the victim relocate to a confidential location or seeking</w:t>
      </w:r>
      <w:r>
        <w:rPr>
          <w:spacing w:val="-15"/>
        </w:rPr>
        <w:t xml:space="preserve"> </w:t>
      </w:r>
      <w:r>
        <w:t>a legal remedy to prevent the perpetrator from acting on the</w:t>
      </w:r>
      <w:r>
        <w:rPr>
          <w:spacing w:val="-12"/>
        </w:rPr>
        <w:t xml:space="preserve"> </w:t>
      </w:r>
      <w:r>
        <w:t>threat</w:t>
      </w:r>
    </w:p>
    <w:p w:rsidR="004E13A5" w:rsidRDefault="00681463">
      <w:pPr>
        <w:pStyle w:val="BodyText"/>
        <w:ind w:left="820" w:right="651"/>
        <w:jc w:val="both"/>
      </w:pPr>
      <w:r>
        <w:t>If the participant wishes to contest the PHA’s determination that they are an actual</w:t>
      </w:r>
      <w:r>
        <w:rPr>
          <w:spacing w:val="-16"/>
        </w:rPr>
        <w:t xml:space="preserve"> </w:t>
      </w:r>
      <w:r>
        <w:t>and imminent threat to other tenants or employees, the participant may do so as part of the informal</w:t>
      </w:r>
      <w:r>
        <w:rPr>
          <w:spacing w:val="-5"/>
        </w:rPr>
        <w:t xml:space="preserve"> </w:t>
      </w:r>
      <w:r>
        <w:t>hearing.</w:t>
      </w:r>
    </w:p>
    <w:p w:rsidR="000E655E" w:rsidRDefault="00681463" w:rsidP="000E655E">
      <w:pPr>
        <w:pStyle w:val="Heading4"/>
        <w:spacing w:before="119"/>
      </w:pPr>
      <w:bookmarkStart w:id="171" w:name="_TOC_250256"/>
      <w:bookmarkEnd w:id="171"/>
      <w:r>
        <w:t>Documentation of Abuse [24 CFR 5.2007]</w:t>
      </w:r>
    </w:p>
    <w:p w:rsidR="002D13F7" w:rsidRPr="000E655E" w:rsidRDefault="002D13F7" w:rsidP="002D13F7">
      <w:pPr>
        <w:rPr>
          <w:sz w:val="24"/>
          <w:szCs w:val="24"/>
        </w:rPr>
      </w:pPr>
      <w:r w:rsidRPr="000E655E">
        <w:rPr>
          <w:sz w:val="24"/>
          <w:szCs w:val="24"/>
        </w:rPr>
        <w:t>This section addresses the PHA’s discretion to require documentation from victims of domestic violence, dating violence, sexual assault, stalking, or human trafficking who claim the protection that VAWA provides against termination of assistance.</w:t>
      </w:r>
    </w:p>
    <w:p w:rsidR="002D13F7" w:rsidRDefault="002D13F7">
      <w:pPr>
        <w:pStyle w:val="Heading4"/>
        <w:spacing w:before="119"/>
      </w:pPr>
    </w:p>
    <w:p w:rsidR="004E13A5" w:rsidRDefault="00681463">
      <w:pPr>
        <w:pStyle w:val="BodyText"/>
        <w:ind w:left="820"/>
      </w:pPr>
      <w:r>
        <w:rPr>
          <w:u w:val="single"/>
        </w:rPr>
        <w:t>PHA Policy</w:t>
      </w:r>
    </w:p>
    <w:p w:rsidR="004E13A5" w:rsidRDefault="00681463">
      <w:pPr>
        <w:pStyle w:val="BodyText"/>
        <w:ind w:left="820" w:right="482"/>
      </w:pPr>
      <w:r>
        <w:t>When an individual facing termination of assistance for reasons related to domestic violence, dating violence, sexual assault or stalking claims protection under VAWA, the PHA will request that the individual provide documentation supporting the claim in accordance with the policies in section 16-IX.D of this plan.</w:t>
      </w:r>
    </w:p>
    <w:p w:rsidR="004E13A5" w:rsidRDefault="00681463">
      <w:pPr>
        <w:pStyle w:val="BodyText"/>
        <w:spacing w:before="120"/>
        <w:ind w:left="820" w:right="149"/>
      </w:pPr>
      <w:r>
        <w:t>The PHA reserves the right to waive the documentation requirement if it determines that a statement or other corroborating evidence from the individual will suffice. In such cases the PHA will document the waiver in the individual’s file.</w:t>
      </w:r>
    </w:p>
    <w:p w:rsidR="000E655E" w:rsidRDefault="000E655E">
      <w:pPr>
        <w:pStyle w:val="BodyText"/>
        <w:spacing w:before="120"/>
        <w:ind w:left="820" w:right="149"/>
      </w:pPr>
    </w:p>
    <w:p w:rsidR="004E13A5" w:rsidRDefault="00681463">
      <w:pPr>
        <w:pStyle w:val="Heading4"/>
        <w:spacing w:before="120"/>
      </w:pPr>
      <w:r>
        <w:lastRenderedPageBreak/>
        <w:t>Terminating the Assistance of a Domestic Violence Perpetrator</w:t>
      </w:r>
    </w:p>
    <w:p w:rsidR="004E13A5" w:rsidRDefault="00681463" w:rsidP="000E655E">
      <w:pPr>
        <w:pStyle w:val="BodyText"/>
        <w:spacing w:before="120"/>
        <w:sectPr w:rsidR="004E13A5">
          <w:pgSz w:w="12240" w:h="15840"/>
          <w:pgMar w:top="1000" w:right="1220" w:bottom="1240" w:left="1220" w:header="0" w:footer="1023" w:gutter="0"/>
          <w:cols w:space="720"/>
        </w:sectPr>
      </w:pPr>
      <w:r>
        <w:t>Although VAWA provides protection against termination of assistance for victims of domestic violence, it does not provide such protection for perpetrators. VAWA gives the PHA the explicit authority to “terminate assistance to any individual who is a tenant or lawful occupant and who</w:t>
      </w:r>
    </w:p>
    <w:p w:rsidR="004E13A5" w:rsidRDefault="00681463" w:rsidP="000E655E">
      <w:pPr>
        <w:pStyle w:val="BodyText"/>
        <w:spacing w:before="79"/>
        <w:ind w:left="0" w:right="89"/>
      </w:pPr>
      <w:r>
        <w:lastRenderedPageBreak/>
        <w:t xml:space="preserve">engages in criminal acts of physical violence against family members or others” without terminating assistance to “or otherwise penalizing the victim of such violence who is also a tenant or lawful occupant” [24 CFR 5.2009(a)]. This authority is not dependent on a bifurcated lease or other eviction action by an owner against an individual family member. Further, this authority supersedes any local, state, or other federal law to the contrary. However, if the PHA chooses to exercise this authority, it must follow any procedures prescribed by HUD or by applicable local, state, or federal law regarding termination of assistance. This means that the PHA must follow the same rules when terminating assistance to an individual as it would be terminating the assistance of an entire family [3/16/07 </w:t>
      </w:r>
      <w:r>
        <w:rPr>
          <w:i/>
        </w:rPr>
        <w:t xml:space="preserve">Federal Register </w:t>
      </w:r>
      <w:r>
        <w:t>notice on the applicability of VAWA to HUD programs].</w:t>
      </w:r>
    </w:p>
    <w:p w:rsidR="004E13A5" w:rsidRDefault="00681463">
      <w:pPr>
        <w:pStyle w:val="BodyText"/>
        <w:spacing w:before="120"/>
        <w:ind w:right="118"/>
      </w:pPr>
      <w:r>
        <w:t>If the perpetrator remains in the unit, the PHA continues to pay the owner until the PHA terminates the perpetrator from the program. The PHA must not stop paying HAP until 30 days after the owner bifurcates the lease to evict the perpetrator. The PHA may pay HAP for the full month if the 30-day period will end mid-month [Notice PIH 2017-08].</w:t>
      </w:r>
    </w:p>
    <w:p w:rsidR="004E13A5" w:rsidRDefault="00681463">
      <w:pPr>
        <w:pStyle w:val="BodyText"/>
        <w:spacing w:before="120"/>
      </w:pPr>
      <w:r>
        <w:t>If the perpetrator is the only participant eligible to receive assistance, the PHA will provide any remaining participant a chance to establish eligibility for the program. If the remaining participant cannot do so, the PHA will provide them with 30 days to establish eligibility for another housing program prior to termination of the HAP contract.</w:t>
      </w:r>
    </w:p>
    <w:p w:rsidR="004E13A5" w:rsidRDefault="00681463">
      <w:pPr>
        <w:pStyle w:val="BodyText"/>
        <w:ind w:left="820"/>
      </w:pPr>
      <w:r>
        <w:rPr>
          <w:u w:val="single"/>
        </w:rPr>
        <w:t>PHA Policy</w:t>
      </w:r>
    </w:p>
    <w:p w:rsidR="004E13A5" w:rsidRDefault="00681463">
      <w:pPr>
        <w:pStyle w:val="BodyText"/>
        <w:ind w:left="820" w:right="222"/>
      </w:pPr>
      <w:r>
        <w:t>The PHA will terminate assistance to a family member if the PHA determines that the family member has committed criminal acts of physical violence against other family members or others. This action will not affect the assistance of the remaining, nonculpable family members.</w:t>
      </w:r>
    </w:p>
    <w:p w:rsidR="004E13A5" w:rsidRDefault="00681463">
      <w:pPr>
        <w:pStyle w:val="BodyText"/>
        <w:ind w:left="820" w:right="136"/>
      </w:pPr>
      <w:r>
        <w:t>In making its decision, the PHA will consider all credible evidence, including, but not limited to, a signed certification (form HUD-5382) or other documentation of abuse submitted to the PHA by the victim in accordance with this section and section 16-IX.D. The PHA will also consider the factors in section 12-II.D. Upon such consideration, the PHA may, on a case-by-case basis, choose not to terminate the assistance of the culpable family member.</w:t>
      </w:r>
    </w:p>
    <w:p w:rsidR="004E13A5" w:rsidRDefault="00681463">
      <w:pPr>
        <w:pStyle w:val="BodyText"/>
        <w:ind w:left="820" w:right="502"/>
      </w:pPr>
      <w:r>
        <w:t>If the PHA does terminate the assistance of the culpable family member, it will do so in accordance with applicable law, HUD regulations, and the policies in this plan.</w:t>
      </w:r>
    </w:p>
    <w:p w:rsidR="004E13A5" w:rsidRDefault="004E13A5">
      <w:pPr>
        <w:pStyle w:val="BodyText"/>
        <w:spacing w:before="9"/>
        <w:ind w:left="0"/>
        <w:rPr>
          <w:sz w:val="20"/>
        </w:rPr>
      </w:pPr>
    </w:p>
    <w:p w:rsidR="004E13A5" w:rsidRDefault="00681463">
      <w:pPr>
        <w:pStyle w:val="Heading4"/>
      </w:pPr>
      <w:bookmarkStart w:id="172" w:name="_TOC_250255"/>
      <w:bookmarkEnd w:id="172"/>
      <w:r>
        <w:t>12-II.F. TERMINATION NOTICE</w:t>
      </w:r>
    </w:p>
    <w:p w:rsidR="004E13A5" w:rsidRDefault="00681463">
      <w:pPr>
        <w:pStyle w:val="BodyText"/>
        <w:ind w:right="136"/>
      </w:pPr>
      <w:r>
        <w:t>HUD regulations require PHAs to provide written notice of termination of assistance to a family only when the family is entitled to an informal hearing. However, since the family’s HAP contract and lease will also terminate when the family’s assistance terminates [form HUD-52641], it is a good business practice to provide written notification to both owner and family anytime assistance will be terminated, whether voluntarily or involuntarily.</w:t>
      </w:r>
    </w:p>
    <w:p w:rsidR="004E13A5" w:rsidRDefault="00681463">
      <w:pPr>
        <w:pStyle w:val="BodyText"/>
        <w:ind w:left="820"/>
      </w:pPr>
      <w:r>
        <w:rPr>
          <w:u w:val="single"/>
        </w:rPr>
        <w:t>PHA Policy</w:t>
      </w:r>
    </w:p>
    <w:p w:rsidR="004E13A5" w:rsidRDefault="00681463">
      <w:pPr>
        <w:pStyle w:val="BodyText"/>
        <w:ind w:left="820" w:right="90"/>
      </w:pPr>
      <w:r>
        <w:t>Whenever a family’s assistance will be terminated, the PHA will send a written notice of termination to the family and to the owner. The PHA will also send a form HUD-5382 and form HUD-5380 to the family with the termination notice. The notice will state the date on which the termination will become effective. This date generally will be at least 30 calendar days following the date of the termination notice, but exceptions will be made whenever HUD rules, other PHA policies, or the circumstances surrounding the termination require.</w:t>
      </w:r>
    </w:p>
    <w:p w:rsidR="004E13A5" w:rsidRDefault="004E13A5">
      <w:pPr>
        <w:sectPr w:rsidR="004E13A5">
          <w:pgSz w:w="12240" w:h="15840"/>
          <w:pgMar w:top="1000" w:right="1260" w:bottom="1220" w:left="1220" w:header="0" w:footer="1023" w:gutter="0"/>
          <w:cols w:space="720"/>
        </w:sectPr>
      </w:pPr>
    </w:p>
    <w:p w:rsidR="004E13A5" w:rsidRDefault="00681463">
      <w:pPr>
        <w:pStyle w:val="BodyText"/>
        <w:spacing w:before="79"/>
        <w:ind w:left="820" w:right="162"/>
      </w:pPr>
      <w:r>
        <w:lastRenderedPageBreak/>
        <w:t>When the PHA notifies an owner that a family’s assistance will be terminated, the PHA will, if appropriate, advise the owner of their right to offer the family a separate, unassisted lease.</w:t>
      </w:r>
    </w:p>
    <w:p w:rsidR="004E13A5" w:rsidRDefault="00681463">
      <w:pPr>
        <w:pStyle w:val="BodyText"/>
        <w:spacing w:before="120"/>
        <w:ind w:right="275"/>
      </w:pPr>
      <w:r>
        <w:t>If a family whose assistance is being terminated is entitled to an informal hearing, the notice of termination that the PHA sends to the family must meet the additional HUD and PHA notice requirements discussed in section 16-III.C of this plan. VAWA 2013 expands notification requirements to require PHAs to provide notice of VAWA rights and the HUD 5382 form when a PHA terminates a household’s housing benefits.</w:t>
      </w:r>
    </w:p>
    <w:p w:rsidR="004E13A5" w:rsidRDefault="00681463">
      <w:pPr>
        <w:pStyle w:val="BodyText"/>
        <w:spacing w:before="120"/>
        <w:ind w:left="820"/>
      </w:pPr>
      <w:r>
        <w:rPr>
          <w:u w:val="single"/>
        </w:rPr>
        <w:t>PHA Policy</w:t>
      </w:r>
    </w:p>
    <w:p w:rsidR="004E13A5" w:rsidRDefault="00681463">
      <w:pPr>
        <w:pStyle w:val="BodyText"/>
        <w:spacing w:before="120"/>
        <w:ind w:left="820" w:right="105"/>
      </w:pPr>
      <w:r>
        <w:t>Whenever the PHA decides to terminate a family’s assistance because of the family’s</w:t>
      </w:r>
      <w:r>
        <w:rPr>
          <w:spacing w:val="-19"/>
        </w:rPr>
        <w:t xml:space="preserve"> </w:t>
      </w:r>
      <w:r>
        <w:t>action or failure to act, the PHA will include in its termination notice the VAWA information described in section 16-IX.C of this plan and a form HUD-5382 and form HUD-5380. The PHA will request in writing that a family member wishing to claim protection under VAWA notify the PHA within 14 business</w:t>
      </w:r>
      <w:r>
        <w:rPr>
          <w:spacing w:val="-7"/>
        </w:rPr>
        <w:t xml:space="preserve"> </w:t>
      </w:r>
      <w:r>
        <w:t>days.</w:t>
      </w:r>
    </w:p>
    <w:p w:rsidR="004E13A5" w:rsidRDefault="00681463">
      <w:pPr>
        <w:pStyle w:val="BodyText"/>
        <w:spacing w:before="120"/>
      </w:pPr>
      <w:r>
        <w:t>Still other notice requirements apply in two situations:</w:t>
      </w:r>
    </w:p>
    <w:p w:rsidR="004E13A5" w:rsidRDefault="00681463">
      <w:pPr>
        <w:pStyle w:val="ListParagraph"/>
        <w:numPr>
          <w:ilvl w:val="0"/>
          <w:numId w:val="93"/>
        </w:numPr>
        <w:tabs>
          <w:tab w:val="left" w:pos="460"/>
          <w:tab w:val="left" w:pos="461"/>
        </w:tabs>
        <w:ind w:right="176"/>
        <w:rPr>
          <w:rFonts w:ascii="Symbol" w:hAnsi="Symbol"/>
          <w:sz w:val="24"/>
        </w:rPr>
      </w:pPr>
      <w:r>
        <w:rPr>
          <w:sz w:val="24"/>
        </w:rPr>
        <w:t>If a criminal record is the basis of a family’s termination, the PHA must provide a copy of the record to the subject of the record and the tenant so that they have an opportunity to dispute</w:t>
      </w:r>
      <w:r>
        <w:rPr>
          <w:spacing w:val="-12"/>
          <w:sz w:val="24"/>
        </w:rPr>
        <w:t xml:space="preserve"> </w:t>
      </w:r>
      <w:r>
        <w:rPr>
          <w:sz w:val="24"/>
        </w:rPr>
        <w:t>the accuracy and relevance of the record [24 CFR</w:t>
      </w:r>
      <w:r>
        <w:rPr>
          <w:spacing w:val="-12"/>
          <w:sz w:val="24"/>
        </w:rPr>
        <w:t xml:space="preserve"> </w:t>
      </w:r>
      <w:r>
        <w:rPr>
          <w:sz w:val="24"/>
        </w:rPr>
        <w:t>982.553(d)(2)].</w:t>
      </w:r>
    </w:p>
    <w:p w:rsidR="004E13A5" w:rsidRDefault="00681463">
      <w:pPr>
        <w:pStyle w:val="ListParagraph"/>
        <w:numPr>
          <w:ilvl w:val="0"/>
          <w:numId w:val="93"/>
        </w:numPr>
        <w:tabs>
          <w:tab w:val="left" w:pos="460"/>
          <w:tab w:val="left" w:pos="461"/>
        </w:tabs>
        <w:ind w:right="346"/>
        <w:rPr>
          <w:rFonts w:ascii="Symbol" w:hAnsi="Symbol"/>
          <w:sz w:val="24"/>
        </w:rPr>
      </w:pPr>
      <w:r>
        <w:rPr>
          <w:sz w:val="24"/>
        </w:rPr>
        <w:t>If immigration status is the basis of a family’s termination, as discussed in section 12-I.D, the special notice requirements in section 16-III.D must be</w:t>
      </w:r>
      <w:r>
        <w:rPr>
          <w:spacing w:val="-12"/>
          <w:sz w:val="24"/>
        </w:rPr>
        <w:t xml:space="preserve"> </w:t>
      </w:r>
      <w:r>
        <w:rPr>
          <w:sz w:val="24"/>
        </w:rPr>
        <w:t>followed.</w:t>
      </w:r>
    </w:p>
    <w:p w:rsidR="004E13A5" w:rsidRDefault="00681463">
      <w:pPr>
        <w:pStyle w:val="Heading4"/>
        <w:spacing w:before="120"/>
        <w:ind w:left="2010"/>
      </w:pPr>
      <w:bookmarkStart w:id="173" w:name="_TOC_250254"/>
      <w:bookmarkEnd w:id="173"/>
      <w:r>
        <w:t>PART III: TERMINATION OF TENANCY BY THE OWNER</w:t>
      </w:r>
    </w:p>
    <w:p w:rsidR="004E13A5" w:rsidRDefault="004E13A5">
      <w:pPr>
        <w:pStyle w:val="BodyText"/>
        <w:spacing w:before="10"/>
        <w:ind w:left="0"/>
        <w:rPr>
          <w:b/>
          <w:sz w:val="20"/>
        </w:rPr>
      </w:pPr>
    </w:p>
    <w:p w:rsidR="004E13A5" w:rsidRDefault="00681463">
      <w:pPr>
        <w:pStyle w:val="Heading4"/>
      </w:pPr>
      <w:bookmarkStart w:id="174" w:name="_TOC_250253"/>
      <w:bookmarkEnd w:id="174"/>
      <w:r>
        <w:t>12-III.A. OVERVIEW</w:t>
      </w:r>
    </w:p>
    <w:p w:rsidR="004E13A5" w:rsidRDefault="00681463">
      <w:pPr>
        <w:pStyle w:val="BodyText"/>
        <w:spacing w:before="120"/>
      </w:pPr>
      <w:r>
        <w:t>Termination of an assisted tenancy is a matter between the owner and the family; the PHA is not directly involved. However, the owner is under some constraints when terminating an assisted tenancy. Termination of tenancy for certain reasons will also result in termination of assistance as discussed in this section.</w:t>
      </w:r>
    </w:p>
    <w:p w:rsidR="004E13A5" w:rsidRDefault="004E13A5">
      <w:pPr>
        <w:pStyle w:val="BodyText"/>
        <w:spacing w:before="9"/>
        <w:ind w:left="0"/>
        <w:rPr>
          <w:sz w:val="20"/>
        </w:rPr>
      </w:pPr>
    </w:p>
    <w:p w:rsidR="004E13A5" w:rsidRDefault="00681463">
      <w:pPr>
        <w:pStyle w:val="Heading4"/>
      </w:pPr>
      <w:r>
        <w:t>12-III.B. GROUNDS FOR OWNER TERMINATION OF TENANCY [24 CFR 982.310, 24</w:t>
      </w:r>
    </w:p>
    <w:p w:rsidR="004E13A5" w:rsidRDefault="00681463">
      <w:pPr>
        <w:ind w:left="100"/>
        <w:rPr>
          <w:b/>
          <w:sz w:val="24"/>
        </w:rPr>
      </w:pPr>
      <w:r>
        <w:rPr>
          <w:b/>
          <w:sz w:val="24"/>
        </w:rPr>
        <w:t>CFR 5.2005(c), and Form HUD-52641-A, Tenancy Addendum]</w:t>
      </w:r>
    </w:p>
    <w:p w:rsidR="004E13A5" w:rsidRDefault="00681463">
      <w:pPr>
        <w:pStyle w:val="BodyText"/>
        <w:spacing w:before="120"/>
        <w:ind w:right="116"/>
      </w:pPr>
      <w:r>
        <w:t>During the term of the lease, the owner is not permitted to terminate the tenancy except for serious or repeated violations of the lease, certain violations of state or local law, or other good cause.</w:t>
      </w:r>
    </w:p>
    <w:p w:rsidR="004E13A5" w:rsidRDefault="00681463">
      <w:pPr>
        <w:pStyle w:val="Heading4"/>
        <w:spacing w:before="119"/>
      </w:pPr>
      <w:bookmarkStart w:id="175" w:name="_TOC_250252"/>
      <w:bookmarkEnd w:id="175"/>
      <w:r>
        <w:t>Serious or Repeated Lease Violations</w:t>
      </w:r>
    </w:p>
    <w:p w:rsidR="004E13A5" w:rsidRDefault="00681463">
      <w:pPr>
        <w:pStyle w:val="BodyText"/>
      </w:pPr>
      <w:r>
        <w:t>The owner is permitted to terminate the family’s tenancy for serious or repeated violations of the terms and conditions of the lease, except when the violations are related to incidents of actual or threatened domestic violence, dating violence, sexual assault or stalking and the victim is protected from eviction by the Violence against Women Act of 2013 (see section 12-II.E). A serious lease violation includes failure to pay rent or other amounts due under the lease. However, the PHA’s failure to make a HAP payment to the owner is not a violation of the lease between the family and the owner.</w:t>
      </w:r>
    </w:p>
    <w:p w:rsidR="004E13A5" w:rsidRDefault="00681463">
      <w:pPr>
        <w:pStyle w:val="Heading4"/>
        <w:spacing w:before="119"/>
      </w:pPr>
      <w:bookmarkStart w:id="176" w:name="_TOC_250251"/>
      <w:bookmarkEnd w:id="176"/>
      <w:r>
        <w:t>Violation of Federal, State, or Local Law</w:t>
      </w:r>
    </w:p>
    <w:p w:rsidR="004E13A5" w:rsidRDefault="00681463">
      <w:pPr>
        <w:pStyle w:val="BodyText"/>
        <w:ind w:right="210"/>
      </w:pPr>
      <w:r>
        <w:t>The owner is permitted to terminate the tenancy if a family member violates federal, state, or local law that imposes obligations in connection with the occupancy or use of the premises.</w:t>
      </w:r>
    </w:p>
    <w:p w:rsidR="004E13A5" w:rsidRDefault="004E13A5">
      <w:pPr>
        <w:sectPr w:rsidR="004E13A5">
          <w:pgSz w:w="12240" w:h="15840"/>
          <w:pgMar w:top="1000" w:right="1240" w:bottom="1240" w:left="1220" w:header="0" w:footer="1023" w:gutter="0"/>
          <w:cols w:space="720"/>
        </w:sectPr>
      </w:pPr>
    </w:p>
    <w:p w:rsidR="004E13A5" w:rsidRDefault="004E13A5">
      <w:pPr>
        <w:pStyle w:val="BodyText"/>
        <w:spacing w:before="5"/>
        <w:ind w:left="0"/>
      </w:pPr>
    </w:p>
    <w:p w:rsidR="004E13A5" w:rsidRDefault="00681463">
      <w:pPr>
        <w:pStyle w:val="Heading4"/>
        <w:spacing w:before="90"/>
      </w:pPr>
      <w:bookmarkStart w:id="177" w:name="_TOC_250250"/>
      <w:bookmarkEnd w:id="177"/>
      <w:r>
        <w:t>Criminal Activity or Alcohol Abuse</w:t>
      </w:r>
    </w:p>
    <w:p w:rsidR="004E13A5" w:rsidRDefault="00681463">
      <w:pPr>
        <w:pStyle w:val="BodyText"/>
        <w:ind w:right="103"/>
      </w:pPr>
      <w:r>
        <w:t xml:space="preserve">The owner may terminate tenancy during the term of the lease if any </w:t>
      </w:r>
      <w:r>
        <w:rPr>
          <w:i/>
        </w:rPr>
        <w:t>covered person</w:t>
      </w:r>
      <w:r>
        <w:t>—meaning any member of the household, a guest, or another person under the tenant’s control—commits any of the following types of criminal activity (for applicable definitions see 24 CFR</w:t>
      </w:r>
      <w:r>
        <w:rPr>
          <w:spacing w:val="-17"/>
        </w:rPr>
        <w:t xml:space="preserve"> </w:t>
      </w:r>
      <w:r>
        <w:t>5.100):</w:t>
      </w:r>
    </w:p>
    <w:p w:rsidR="004E13A5" w:rsidRDefault="00681463">
      <w:pPr>
        <w:pStyle w:val="ListParagraph"/>
        <w:numPr>
          <w:ilvl w:val="0"/>
          <w:numId w:val="93"/>
        </w:numPr>
        <w:tabs>
          <w:tab w:val="left" w:pos="460"/>
          <w:tab w:val="left" w:pos="461"/>
        </w:tabs>
        <w:ind w:right="136"/>
        <w:rPr>
          <w:rFonts w:ascii="Symbol"/>
          <w:sz w:val="24"/>
        </w:rPr>
      </w:pPr>
      <w:r>
        <w:rPr>
          <w:sz w:val="24"/>
        </w:rPr>
        <w:t>Any criminal activity that threatens the health or safety of, or the right to peaceful enjoyment of the premises by, other residents (including property management staff residing on the</w:t>
      </w:r>
      <w:r>
        <w:rPr>
          <w:spacing w:val="-18"/>
          <w:sz w:val="24"/>
        </w:rPr>
        <w:t xml:space="preserve"> </w:t>
      </w:r>
      <w:r>
        <w:rPr>
          <w:sz w:val="24"/>
        </w:rPr>
        <w:t>premises)</w:t>
      </w:r>
    </w:p>
    <w:p w:rsidR="004E13A5" w:rsidRDefault="00681463">
      <w:pPr>
        <w:pStyle w:val="ListParagraph"/>
        <w:numPr>
          <w:ilvl w:val="0"/>
          <w:numId w:val="93"/>
        </w:numPr>
        <w:tabs>
          <w:tab w:val="left" w:pos="460"/>
          <w:tab w:val="left" w:pos="461"/>
        </w:tabs>
        <w:ind w:right="151"/>
        <w:rPr>
          <w:rFonts w:ascii="Symbol"/>
          <w:sz w:val="24"/>
        </w:rPr>
      </w:pPr>
      <w:r>
        <w:rPr>
          <w:sz w:val="24"/>
        </w:rPr>
        <w:t>Any criminal activity that threatens the health or safety of, or the right to peaceful enjoyment</w:t>
      </w:r>
      <w:r>
        <w:rPr>
          <w:spacing w:val="-19"/>
          <w:sz w:val="24"/>
        </w:rPr>
        <w:t xml:space="preserve"> </w:t>
      </w:r>
      <w:r>
        <w:rPr>
          <w:sz w:val="24"/>
        </w:rPr>
        <w:t>of their residences by, persons residing in the immediate vicinity of the</w:t>
      </w:r>
      <w:r>
        <w:rPr>
          <w:spacing w:val="-14"/>
          <w:sz w:val="24"/>
        </w:rPr>
        <w:t xml:space="preserve"> </w:t>
      </w:r>
      <w:r>
        <w:rPr>
          <w:sz w:val="24"/>
        </w:rPr>
        <w:t>premises</w:t>
      </w:r>
    </w:p>
    <w:p w:rsidR="004E13A5" w:rsidRDefault="00681463">
      <w:pPr>
        <w:pStyle w:val="ListParagraph"/>
        <w:numPr>
          <w:ilvl w:val="0"/>
          <w:numId w:val="93"/>
        </w:numPr>
        <w:tabs>
          <w:tab w:val="left" w:pos="460"/>
          <w:tab w:val="left" w:pos="461"/>
        </w:tabs>
        <w:rPr>
          <w:rFonts w:ascii="Symbol"/>
          <w:sz w:val="24"/>
        </w:rPr>
      </w:pPr>
      <w:r>
        <w:rPr>
          <w:sz w:val="24"/>
        </w:rPr>
        <w:t>Any violent criminal activity on or near the</w:t>
      </w:r>
      <w:r>
        <w:rPr>
          <w:spacing w:val="-11"/>
          <w:sz w:val="24"/>
        </w:rPr>
        <w:t xml:space="preserve"> </w:t>
      </w:r>
      <w:r>
        <w:rPr>
          <w:sz w:val="24"/>
        </w:rPr>
        <w:t>premises</w:t>
      </w:r>
    </w:p>
    <w:p w:rsidR="004E13A5" w:rsidRDefault="00681463">
      <w:pPr>
        <w:pStyle w:val="ListParagraph"/>
        <w:numPr>
          <w:ilvl w:val="0"/>
          <w:numId w:val="93"/>
        </w:numPr>
        <w:tabs>
          <w:tab w:val="left" w:pos="460"/>
          <w:tab w:val="left" w:pos="461"/>
        </w:tabs>
        <w:rPr>
          <w:rFonts w:ascii="Symbol"/>
          <w:sz w:val="24"/>
        </w:rPr>
      </w:pPr>
      <w:r>
        <w:rPr>
          <w:sz w:val="24"/>
        </w:rPr>
        <w:t>Any drug-related criminal activity on or near the</w:t>
      </w:r>
      <w:r>
        <w:rPr>
          <w:spacing w:val="-14"/>
          <w:sz w:val="24"/>
        </w:rPr>
        <w:t xml:space="preserve"> </w:t>
      </w:r>
      <w:r>
        <w:rPr>
          <w:sz w:val="24"/>
        </w:rPr>
        <w:t>premises</w:t>
      </w:r>
    </w:p>
    <w:p w:rsidR="004E13A5" w:rsidRDefault="00681463">
      <w:pPr>
        <w:pStyle w:val="BodyText"/>
        <w:spacing w:before="121"/>
        <w:ind w:right="202"/>
      </w:pPr>
      <w:r>
        <w:t>However, in the case of criminal activity directly related to domestic violence, dating violence, sexual assault or stalking, if the tenant or an affiliated individual is the victim, the criminal activity may not be construed as cause for terminating the victim’s tenancy (see section 12-II.E).</w:t>
      </w:r>
    </w:p>
    <w:p w:rsidR="004E13A5" w:rsidRDefault="00681463">
      <w:pPr>
        <w:pStyle w:val="BodyText"/>
      </w:pPr>
      <w:r>
        <w:t>The owner may terminate tenancy during the term of the lease if any member of the household is:</w:t>
      </w:r>
    </w:p>
    <w:p w:rsidR="004E13A5" w:rsidRDefault="00681463">
      <w:pPr>
        <w:pStyle w:val="ListParagraph"/>
        <w:numPr>
          <w:ilvl w:val="0"/>
          <w:numId w:val="93"/>
        </w:numPr>
        <w:tabs>
          <w:tab w:val="left" w:pos="460"/>
          <w:tab w:val="left" w:pos="461"/>
        </w:tabs>
        <w:ind w:right="144"/>
        <w:rPr>
          <w:rFonts w:ascii="Symbol"/>
          <w:sz w:val="24"/>
        </w:rPr>
      </w:pPr>
      <w:r>
        <w:rPr>
          <w:sz w:val="24"/>
        </w:rPr>
        <w:t>Fleeing to avoid prosecution, custody, or confinement after conviction for a crime or an</w:t>
      </w:r>
      <w:r>
        <w:rPr>
          <w:spacing w:val="-15"/>
          <w:sz w:val="24"/>
        </w:rPr>
        <w:t xml:space="preserve"> </w:t>
      </w:r>
      <w:r>
        <w:rPr>
          <w:sz w:val="24"/>
        </w:rPr>
        <w:t>attempt to commit a crime that is a felony under the laws of the place from which the individual flees, or that, in the case of the State of New Jersey, is a high misdemeanor;</w:t>
      </w:r>
      <w:r>
        <w:rPr>
          <w:spacing w:val="-12"/>
          <w:sz w:val="24"/>
        </w:rPr>
        <w:t xml:space="preserve"> </w:t>
      </w:r>
      <w:r>
        <w:rPr>
          <w:sz w:val="24"/>
        </w:rPr>
        <w:t>or</w:t>
      </w:r>
    </w:p>
    <w:p w:rsidR="004E13A5" w:rsidRDefault="00681463">
      <w:pPr>
        <w:pStyle w:val="ListParagraph"/>
        <w:numPr>
          <w:ilvl w:val="0"/>
          <w:numId w:val="93"/>
        </w:numPr>
        <w:tabs>
          <w:tab w:val="left" w:pos="460"/>
          <w:tab w:val="left" w:pos="461"/>
        </w:tabs>
        <w:rPr>
          <w:rFonts w:ascii="Symbol"/>
          <w:sz w:val="24"/>
        </w:rPr>
      </w:pPr>
      <w:r>
        <w:rPr>
          <w:sz w:val="24"/>
        </w:rPr>
        <w:t>Violating a condition of probation or parole imposed under federal or state</w:t>
      </w:r>
      <w:r>
        <w:rPr>
          <w:spacing w:val="-12"/>
          <w:sz w:val="24"/>
        </w:rPr>
        <w:t xml:space="preserve"> </w:t>
      </w:r>
      <w:r>
        <w:rPr>
          <w:sz w:val="24"/>
        </w:rPr>
        <w:t>law.</w:t>
      </w:r>
    </w:p>
    <w:p w:rsidR="004E13A5" w:rsidRDefault="00681463">
      <w:pPr>
        <w:pStyle w:val="BodyText"/>
        <w:spacing w:before="118"/>
        <w:ind w:right="209"/>
      </w:pPr>
      <w:r>
        <w:t>The owner may terminate tenancy during the term of the lease if any member of the household has engaged in abuse of alcohol that threatens the health, safety, or right to peaceful enjoyment of the premises by other residents.</w:t>
      </w:r>
    </w:p>
    <w:p w:rsidR="004E13A5" w:rsidRDefault="00681463">
      <w:pPr>
        <w:pStyle w:val="Heading5"/>
      </w:pPr>
      <w:r>
        <w:t>Evidence of Criminal Activity</w:t>
      </w:r>
    </w:p>
    <w:p w:rsidR="004E13A5" w:rsidRDefault="00681463">
      <w:pPr>
        <w:pStyle w:val="BodyText"/>
        <w:ind w:right="443"/>
      </w:pPr>
      <w:r>
        <w:t>The owner may terminate tenancy and evict by judicial action a family for criminal activity by a covered person if the owner determines the covered person has engaged in the criminal activity, regardless of whether the covered person has been arrested or convicted for such activity and without satisfying the standard of proof used for a criminal conviction.</w:t>
      </w:r>
    </w:p>
    <w:p w:rsidR="004E13A5" w:rsidRDefault="00681463">
      <w:pPr>
        <w:pStyle w:val="Heading4"/>
        <w:spacing w:before="119"/>
      </w:pPr>
      <w:bookmarkStart w:id="178" w:name="_TOC_250249"/>
      <w:bookmarkEnd w:id="178"/>
      <w:r>
        <w:t>Other Good Cause</w:t>
      </w:r>
    </w:p>
    <w:p w:rsidR="004E13A5" w:rsidRDefault="00681463">
      <w:pPr>
        <w:pStyle w:val="BodyText"/>
        <w:ind w:right="183"/>
      </w:pPr>
      <w:r>
        <w:t>During the initial lease term, the owner may not terminate the tenancy for “other good cause” unless the owner is terminating the tenancy because of something the family did or failed to do. During the initial lease term or during any extension term, other good cause includes the disturbance of neighbors, destruction of property, or living or housekeeping habits that cause damage to the unit or premises.</w:t>
      </w:r>
    </w:p>
    <w:p w:rsidR="004E13A5" w:rsidRDefault="00681463">
      <w:pPr>
        <w:pStyle w:val="BodyText"/>
      </w:pPr>
      <w:r>
        <w:t>After the initial lease term, “other good cause” for termination of tenancy by the owner includes:</w:t>
      </w:r>
    </w:p>
    <w:p w:rsidR="004E13A5" w:rsidRDefault="00681463">
      <w:pPr>
        <w:pStyle w:val="ListParagraph"/>
        <w:numPr>
          <w:ilvl w:val="0"/>
          <w:numId w:val="93"/>
        </w:numPr>
        <w:tabs>
          <w:tab w:val="left" w:pos="460"/>
          <w:tab w:val="left" w:pos="461"/>
        </w:tabs>
        <w:rPr>
          <w:rFonts w:ascii="Symbol"/>
          <w:sz w:val="24"/>
        </w:rPr>
      </w:pPr>
      <w:r>
        <w:rPr>
          <w:sz w:val="24"/>
        </w:rPr>
        <w:t>Failure by the family to accept the offer of a new lease or</w:t>
      </w:r>
      <w:r>
        <w:rPr>
          <w:spacing w:val="-13"/>
          <w:sz w:val="24"/>
        </w:rPr>
        <w:t xml:space="preserve"> </w:t>
      </w:r>
      <w:r>
        <w:rPr>
          <w:sz w:val="24"/>
        </w:rPr>
        <w:t>revision</w:t>
      </w:r>
    </w:p>
    <w:p w:rsidR="004E13A5" w:rsidRDefault="00681463">
      <w:pPr>
        <w:pStyle w:val="ListParagraph"/>
        <w:numPr>
          <w:ilvl w:val="0"/>
          <w:numId w:val="93"/>
        </w:numPr>
        <w:tabs>
          <w:tab w:val="left" w:pos="460"/>
          <w:tab w:val="left" w:pos="461"/>
        </w:tabs>
        <w:spacing w:before="118"/>
        <w:ind w:right="449"/>
        <w:rPr>
          <w:rFonts w:ascii="Symbol" w:hAnsi="Symbol"/>
          <w:sz w:val="24"/>
        </w:rPr>
      </w:pPr>
      <w:r>
        <w:rPr>
          <w:sz w:val="24"/>
        </w:rPr>
        <w:t>The owner’s desire to use the unit for personal or family use, or for a purpose other than as</w:t>
      </w:r>
      <w:r>
        <w:rPr>
          <w:spacing w:val="-14"/>
          <w:sz w:val="24"/>
        </w:rPr>
        <w:t xml:space="preserve"> </w:t>
      </w:r>
      <w:r>
        <w:rPr>
          <w:sz w:val="24"/>
        </w:rPr>
        <w:t>a residential rental</w:t>
      </w:r>
      <w:r>
        <w:rPr>
          <w:spacing w:val="-6"/>
          <w:sz w:val="24"/>
        </w:rPr>
        <w:t xml:space="preserve"> </w:t>
      </w:r>
      <w:r>
        <w:rPr>
          <w:sz w:val="24"/>
        </w:rPr>
        <w:t>unit</w:t>
      </w:r>
    </w:p>
    <w:p w:rsidR="004E13A5" w:rsidRDefault="004E13A5">
      <w:pPr>
        <w:rPr>
          <w:rFonts w:ascii="Symbol" w:hAnsi="Symbol"/>
          <w:sz w:val="24"/>
        </w:rPr>
        <w:sectPr w:rsidR="004E13A5">
          <w:pgSz w:w="12240" w:h="15840"/>
          <w:pgMar w:top="1500" w:right="122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568"/>
        <w:rPr>
          <w:rFonts w:ascii="Symbol"/>
          <w:sz w:val="24"/>
        </w:rPr>
      </w:pPr>
      <w:r>
        <w:rPr>
          <w:sz w:val="24"/>
        </w:rPr>
        <w:lastRenderedPageBreak/>
        <w:t>A business or economic reason for termination of the tenancy (such as sale of the</w:t>
      </w:r>
      <w:r>
        <w:rPr>
          <w:spacing w:val="-12"/>
          <w:sz w:val="24"/>
        </w:rPr>
        <w:t xml:space="preserve"> </w:t>
      </w:r>
      <w:r>
        <w:rPr>
          <w:sz w:val="24"/>
        </w:rPr>
        <w:t>property, renovation of the unit, or desire to lease the unit at a higher</w:t>
      </w:r>
      <w:r>
        <w:rPr>
          <w:spacing w:val="-12"/>
          <w:sz w:val="24"/>
        </w:rPr>
        <w:t xml:space="preserve"> </w:t>
      </w:r>
      <w:r>
        <w:rPr>
          <w:sz w:val="24"/>
        </w:rPr>
        <w:t>rent)</w:t>
      </w:r>
    </w:p>
    <w:p w:rsidR="004E13A5" w:rsidRDefault="00681463">
      <w:pPr>
        <w:pStyle w:val="BodyText"/>
        <w:ind w:right="136"/>
      </w:pPr>
      <w:r>
        <w:t>After the initial lease term, the owner may give the family notice at any time, in accordance with the terms of the lease.</w:t>
      </w:r>
    </w:p>
    <w:p w:rsidR="004E13A5" w:rsidRDefault="00681463">
      <w:pPr>
        <w:pStyle w:val="BodyText"/>
        <w:ind w:right="96"/>
      </w:pPr>
      <w:r>
        <w:t>If a property is subject to foreclosure, during the term of the lease, the new owner of the property does not have good cause to terminate the tenant’s lease, unless the new owner will occupy the unit as their primary residence and has provided the tenant with at least 90-day notice to vacate See section 13-II.G for a discussion of PHA policies relating to  units is foreclosure.</w:t>
      </w:r>
    </w:p>
    <w:p w:rsidR="004E13A5" w:rsidRDefault="00681463">
      <w:pPr>
        <w:pStyle w:val="Heading4"/>
        <w:spacing w:before="119"/>
      </w:pPr>
      <w:r>
        <w:t>12-III.C. EVICTION [24 CFR 982.310(e) and (f) and Form HUD-52641-A, Tenancy</w:t>
      </w:r>
    </w:p>
    <w:p w:rsidR="004E13A5" w:rsidRDefault="00681463">
      <w:pPr>
        <w:ind w:left="100"/>
        <w:rPr>
          <w:b/>
          <w:sz w:val="24"/>
        </w:rPr>
      </w:pPr>
      <w:r>
        <w:rPr>
          <w:b/>
          <w:sz w:val="24"/>
        </w:rPr>
        <w:t>Addendum]</w:t>
      </w:r>
    </w:p>
    <w:p w:rsidR="004E13A5" w:rsidRDefault="00681463">
      <w:pPr>
        <w:pStyle w:val="BodyText"/>
        <w:spacing w:before="120"/>
        <w:ind w:right="410"/>
      </w:pPr>
      <w:r>
        <w:t>The owner must give the tenant a written notice that specifies the grounds for termination of tenancy during the term of the lease. The tenancy does not terminate before the owner has given this notice, and the notice must be given at or before commencement of the eviction action.</w:t>
      </w:r>
    </w:p>
    <w:p w:rsidR="004E13A5" w:rsidRDefault="00681463">
      <w:pPr>
        <w:pStyle w:val="BodyText"/>
      </w:pPr>
      <w:r>
        <w:t>The notice of grounds may be included in, or may be combined with, any owner eviction notice to the tenant.</w:t>
      </w:r>
    </w:p>
    <w:p w:rsidR="004E13A5" w:rsidRDefault="00681463">
      <w:pPr>
        <w:pStyle w:val="BodyText"/>
        <w:ind w:right="49"/>
      </w:pPr>
      <w:r>
        <w:t>Owner eviction notice means a notice to vacate, or a complaint or other initial pleading used under state or local law to commence an eviction action. The owner may only evict the tenant from the unit by instituting a court action. The owner must give the PHA a copy of any eviction notice at the same time the owner notifies the family. The family is also required to give the PHA a copy of any eviction notice (see Chapter 5).</w:t>
      </w:r>
    </w:p>
    <w:p w:rsidR="004E13A5" w:rsidRDefault="00681463">
      <w:pPr>
        <w:pStyle w:val="BodyText"/>
        <w:ind w:left="820"/>
      </w:pPr>
      <w:r>
        <w:rPr>
          <w:u w:val="single"/>
        </w:rPr>
        <w:t>PHA Policy</w:t>
      </w:r>
    </w:p>
    <w:p w:rsidR="004E13A5" w:rsidRDefault="00681463">
      <w:pPr>
        <w:pStyle w:val="BodyText"/>
        <w:ind w:left="820" w:right="675"/>
      </w:pPr>
      <w:r>
        <w:t>If the eviction action is finalized in court, the owner must provide the PHA with documentation related to the eviction, including notice of the eviction date, as soon as possible, but no later than 5 business days following the court-ordered eviction.</w:t>
      </w:r>
    </w:p>
    <w:p w:rsidR="004E13A5" w:rsidRDefault="004E13A5">
      <w:pPr>
        <w:pStyle w:val="BodyText"/>
        <w:spacing w:before="9"/>
        <w:ind w:left="0"/>
        <w:rPr>
          <w:sz w:val="20"/>
        </w:rPr>
      </w:pPr>
    </w:p>
    <w:p w:rsidR="004E13A5" w:rsidRDefault="00681463">
      <w:pPr>
        <w:pStyle w:val="Heading4"/>
      </w:pPr>
      <w:r>
        <w:t>12-III.D. DECIDING WHETHER TO TERMINATE TENANCY [24 CFR 982.310(h),</w:t>
      </w:r>
    </w:p>
    <w:p w:rsidR="004E13A5" w:rsidRDefault="00681463">
      <w:pPr>
        <w:ind w:left="100"/>
        <w:rPr>
          <w:b/>
          <w:sz w:val="24"/>
        </w:rPr>
      </w:pPr>
      <w:r>
        <w:rPr>
          <w:b/>
          <w:sz w:val="24"/>
        </w:rPr>
        <w:t>24 CFR 982.310(h)(4)]</w:t>
      </w:r>
    </w:p>
    <w:p w:rsidR="004E13A5" w:rsidRDefault="00681463">
      <w:pPr>
        <w:pStyle w:val="BodyText"/>
        <w:spacing w:before="120"/>
      </w:pPr>
      <w:r>
        <w:t>An owner who has grounds to terminate a tenancy is not required to do so, and may consider all of the circumstances relevant to a particular case before making a decision. These might include:</w:t>
      </w:r>
    </w:p>
    <w:p w:rsidR="004E13A5" w:rsidRDefault="00681463">
      <w:pPr>
        <w:pStyle w:val="ListParagraph"/>
        <w:numPr>
          <w:ilvl w:val="0"/>
          <w:numId w:val="93"/>
        </w:numPr>
        <w:tabs>
          <w:tab w:val="left" w:pos="460"/>
          <w:tab w:val="left" w:pos="461"/>
        </w:tabs>
        <w:rPr>
          <w:rFonts w:ascii="Symbol"/>
          <w:sz w:val="24"/>
        </w:rPr>
      </w:pPr>
      <w:r>
        <w:rPr>
          <w:sz w:val="24"/>
        </w:rPr>
        <w:t>The nature of the offending</w:t>
      </w:r>
      <w:r>
        <w:rPr>
          <w:spacing w:val="-7"/>
          <w:sz w:val="24"/>
        </w:rPr>
        <w:t xml:space="preserve"> </w:t>
      </w:r>
      <w:r>
        <w:rPr>
          <w:sz w:val="24"/>
        </w:rPr>
        <w:t>action</w:t>
      </w:r>
    </w:p>
    <w:p w:rsidR="004E13A5" w:rsidRDefault="00681463">
      <w:pPr>
        <w:pStyle w:val="ListParagraph"/>
        <w:numPr>
          <w:ilvl w:val="0"/>
          <w:numId w:val="93"/>
        </w:numPr>
        <w:tabs>
          <w:tab w:val="left" w:pos="460"/>
          <w:tab w:val="left" w:pos="461"/>
        </w:tabs>
        <w:spacing w:before="118"/>
        <w:rPr>
          <w:rFonts w:ascii="Symbol"/>
          <w:sz w:val="24"/>
        </w:rPr>
      </w:pPr>
      <w:r>
        <w:rPr>
          <w:sz w:val="24"/>
        </w:rPr>
        <w:t>The seriousness of the offending</w:t>
      </w:r>
      <w:r>
        <w:rPr>
          <w:spacing w:val="-7"/>
          <w:sz w:val="24"/>
        </w:rPr>
        <w:t xml:space="preserve"> </w:t>
      </w:r>
      <w:r>
        <w:rPr>
          <w:sz w:val="24"/>
        </w:rPr>
        <w:t>action;</w:t>
      </w:r>
    </w:p>
    <w:p w:rsidR="004E13A5" w:rsidRDefault="00681463">
      <w:pPr>
        <w:pStyle w:val="ListParagraph"/>
        <w:numPr>
          <w:ilvl w:val="0"/>
          <w:numId w:val="93"/>
        </w:numPr>
        <w:tabs>
          <w:tab w:val="left" w:pos="460"/>
          <w:tab w:val="left" w:pos="461"/>
        </w:tabs>
        <w:spacing w:before="118"/>
        <w:ind w:right="717"/>
        <w:rPr>
          <w:rFonts w:ascii="Symbol" w:hAnsi="Symbol"/>
          <w:sz w:val="24"/>
        </w:rPr>
      </w:pPr>
      <w:r>
        <w:rPr>
          <w:sz w:val="24"/>
        </w:rPr>
        <w:t>The effect on the community of the termination, or of the owner’s failure to terminate</w:t>
      </w:r>
      <w:r>
        <w:rPr>
          <w:spacing w:val="-16"/>
          <w:sz w:val="24"/>
        </w:rPr>
        <w:t xml:space="preserve"> </w:t>
      </w:r>
      <w:r>
        <w:rPr>
          <w:sz w:val="24"/>
        </w:rPr>
        <w:t>the tenancy;</w:t>
      </w:r>
    </w:p>
    <w:p w:rsidR="004E13A5" w:rsidRDefault="00681463">
      <w:pPr>
        <w:pStyle w:val="ListParagraph"/>
        <w:numPr>
          <w:ilvl w:val="0"/>
          <w:numId w:val="93"/>
        </w:numPr>
        <w:tabs>
          <w:tab w:val="left" w:pos="460"/>
          <w:tab w:val="left" w:pos="461"/>
        </w:tabs>
        <w:spacing w:before="120"/>
        <w:rPr>
          <w:rFonts w:ascii="Symbol"/>
          <w:sz w:val="24"/>
        </w:rPr>
      </w:pPr>
      <w:r>
        <w:rPr>
          <w:sz w:val="24"/>
        </w:rPr>
        <w:t>The extent of participation by the leaseholder in the offending</w:t>
      </w:r>
      <w:r>
        <w:rPr>
          <w:spacing w:val="-10"/>
          <w:sz w:val="24"/>
        </w:rPr>
        <w:t xml:space="preserve"> </w:t>
      </w:r>
      <w:r>
        <w:rPr>
          <w:sz w:val="24"/>
        </w:rPr>
        <w:t>action;</w:t>
      </w:r>
    </w:p>
    <w:p w:rsidR="004E13A5" w:rsidRDefault="00681463">
      <w:pPr>
        <w:pStyle w:val="ListParagraph"/>
        <w:numPr>
          <w:ilvl w:val="0"/>
          <w:numId w:val="93"/>
        </w:numPr>
        <w:tabs>
          <w:tab w:val="left" w:pos="460"/>
          <w:tab w:val="left" w:pos="461"/>
        </w:tabs>
        <w:spacing w:before="121"/>
        <w:ind w:right="683"/>
        <w:rPr>
          <w:rFonts w:ascii="Symbol"/>
          <w:sz w:val="24"/>
        </w:rPr>
      </w:pPr>
      <w:r>
        <w:rPr>
          <w:sz w:val="24"/>
        </w:rPr>
        <w:t>The effect of termination of tenancy on household members not involved in the</w:t>
      </w:r>
      <w:r>
        <w:rPr>
          <w:spacing w:val="-16"/>
          <w:sz w:val="24"/>
        </w:rPr>
        <w:t xml:space="preserve"> </w:t>
      </w:r>
      <w:r>
        <w:rPr>
          <w:sz w:val="24"/>
        </w:rPr>
        <w:t>offending activity;</w:t>
      </w:r>
    </w:p>
    <w:p w:rsidR="004E13A5" w:rsidRDefault="00681463">
      <w:pPr>
        <w:pStyle w:val="ListParagraph"/>
        <w:numPr>
          <w:ilvl w:val="0"/>
          <w:numId w:val="93"/>
        </w:numPr>
        <w:tabs>
          <w:tab w:val="left" w:pos="460"/>
          <w:tab w:val="left" w:pos="461"/>
        </w:tabs>
        <w:rPr>
          <w:rFonts w:ascii="Symbol"/>
          <w:sz w:val="24"/>
        </w:rPr>
      </w:pPr>
      <w:r>
        <w:rPr>
          <w:sz w:val="24"/>
        </w:rPr>
        <w:t>The demand for assisted housing by families who will adhere to lease</w:t>
      </w:r>
      <w:r>
        <w:rPr>
          <w:spacing w:val="-16"/>
          <w:sz w:val="24"/>
        </w:rPr>
        <w:t xml:space="preserve"> </w:t>
      </w:r>
      <w:r>
        <w:rPr>
          <w:sz w:val="24"/>
        </w:rPr>
        <w:t>responsibilities;</w:t>
      </w:r>
    </w:p>
    <w:p w:rsidR="004E13A5" w:rsidRDefault="00681463">
      <w:pPr>
        <w:pStyle w:val="ListParagraph"/>
        <w:numPr>
          <w:ilvl w:val="0"/>
          <w:numId w:val="93"/>
        </w:numPr>
        <w:tabs>
          <w:tab w:val="left" w:pos="460"/>
          <w:tab w:val="left" w:pos="461"/>
        </w:tabs>
        <w:spacing w:before="118"/>
        <w:ind w:right="203"/>
        <w:rPr>
          <w:rFonts w:ascii="Symbol"/>
          <w:sz w:val="24"/>
        </w:rPr>
      </w:pPr>
      <w:r>
        <w:rPr>
          <w:sz w:val="24"/>
        </w:rPr>
        <w:t>The extent to which the leaseholder has shown personal responsibility and taken all</w:t>
      </w:r>
      <w:r>
        <w:rPr>
          <w:spacing w:val="-14"/>
          <w:sz w:val="24"/>
        </w:rPr>
        <w:t xml:space="preserve"> </w:t>
      </w:r>
      <w:r>
        <w:rPr>
          <w:sz w:val="24"/>
        </w:rPr>
        <w:t>reasonable steps to prevent or mitigate the offending</w:t>
      </w:r>
      <w:r>
        <w:rPr>
          <w:spacing w:val="-8"/>
          <w:sz w:val="24"/>
        </w:rPr>
        <w:t xml:space="preserve"> </w:t>
      </w:r>
      <w:r>
        <w:rPr>
          <w:sz w:val="24"/>
        </w:rPr>
        <w:t>action;</w:t>
      </w:r>
    </w:p>
    <w:p w:rsidR="004E13A5" w:rsidRDefault="00681463">
      <w:pPr>
        <w:pStyle w:val="ListParagraph"/>
        <w:numPr>
          <w:ilvl w:val="0"/>
          <w:numId w:val="93"/>
        </w:numPr>
        <w:tabs>
          <w:tab w:val="left" w:pos="460"/>
          <w:tab w:val="left" w:pos="461"/>
        </w:tabs>
        <w:rPr>
          <w:rFonts w:ascii="Symbol"/>
          <w:sz w:val="24"/>
        </w:rPr>
      </w:pPr>
      <w:r>
        <w:rPr>
          <w:sz w:val="24"/>
        </w:rPr>
        <w:t>The effect of the owner's action on the integrity of the</w:t>
      </w:r>
      <w:r>
        <w:rPr>
          <w:spacing w:val="-15"/>
          <w:sz w:val="24"/>
        </w:rPr>
        <w:t xml:space="preserve"> </w:t>
      </w:r>
      <w:r>
        <w:rPr>
          <w:sz w:val="24"/>
        </w:rPr>
        <w:t>program.</w:t>
      </w:r>
    </w:p>
    <w:p w:rsidR="004E13A5" w:rsidRDefault="004E13A5">
      <w:pPr>
        <w:rPr>
          <w:rFonts w:ascii="Symbol"/>
          <w:sz w:val="24"/>
        </w:rPr>
        <w:sectPr w:rsidR="004E13A5">
          <w:pgSz w:w="12240" w:h="15840"/>
          <w:pgMar w:top="1000" w:right="1260" w:bottom="1240" w:left="1220" w:header="0" w:footer="1023" w:gutter="0"/>
          <w:cols w:space="720"/>
        </w:sectPr>
      </w:pPr>
    </w:p>
    <w:p w:rsidR="004E13A5" w:rsidRDefault="00681463">
      <w:pPr>
        <w:pStyle w:val="BodyText"/>
        <w:spacing w:before="79"/>
        <w:ind w:left="220" w:right="539"/>
        <w:jc w:val="both"/>
      </w:pPr>
      <w:r>
        <w:lastRenderedPageBreak/>
        <w:t>The owner may require a family to exclude a household member in order to continue to reside</w:t>
      </w:r>
      <w:r>
        <w:rPr>
          <w:spacing w:val="-20"/>
        </w:rPr>
        <w:t xml:space="preserve"> </w:t>
      </w:r>
      <w:r>
        <w:t>in the assisted unit, where that household member has participated in or been culpable for action or failure to act that warrants</w:t>
      </w:r>
      <w:r>
        <w:rPr>
          <w:spacing w:val="-8"/>
        </w:rPr>
        <w:t xml:space="preserve"> </w:t>
      </w:r>
      <w:r>
        <w:t>termination.</w:t>
      </w:r>
    </w:p>
    <w:p w:rsidR="004E13A5" w:rsidRDefault="00681463">
      <w:pPr>
        <w:pStyle w:val="BodyText"/>
        <w:spacing w:before="120"/>
        <w:ind w:left="220" w:right="260"/>
      </w:pPr>
      <w:r>
        <w:t>In determining whether to terminate tenancy for illegal use of drugs or alcohol abuse by a household member who is no longer engaged in such behavior, the owner may consider whether such household member is participating in or has successfully completed a supervised drug or alcohol rehabilitation program, or has otherwise been rehabilitated successfully (42 U.S.C. 13661). For this purpose, the owner may require the tenant to submit evidence of the household member's current participation in, or successful completion of, a supervised drug or alcohol rehabilitation program or evidence of otherwise having been rehabilitated successfully.</w:t>
      </w:r>
    </w:p>
    <w:p w:rsidR="004E13A5" w:rsidRDefault="00681463">
      <w:pPr>
        <w:pStyle w:val="BodyText"/>
        <w:spacing w:before="120"/>
        <w:ind w:left="220"/>
      </w:pPr>
      <w:r>
        <w:t>The owner's termination of tenancy actions must be consistent with the fair housing and equal opportunity provisions in 24 CFR 5.105.</w:t>
      </w:r>
    </w:p>
    <w:p w:rsidR="004E13A5" w:rsidRDefault="00681463">
      <w:pPr>
        <w:pStyle w:val="BodyText"/>
        <w:spacing w:before="120"/>
        <w:ind w:left="220" w:right="553"/>
      </w:pPr>
      <w:r>
        <w:t>An owner’s decision to terminate tenancy for incidents related to domestic violence, dating violence, sexual assault or stalking is limited by the Violence against Women Act of 2013 (VAWA) and the conforming regulations in 24 CFR Part 5, Subpart L. (See section 12-II.E.)</w:t>
      </w:r>
    </w:p>
    <w:p w:rsidR="004E13A5" w:rsidRDefault="004E13A5">
      <w:pPr>
        <w:pStyle w:val="BodyText"/>
        <w:spacing w:before="10"/>
        <w:ind w:left="0"/>
        <w:rPr>
          <w:sz w:val="20"/>
        </w:rPr>
      </w:pPr>
    </w:p>
    <w:p w:rsidR="004E13A5" w:rsidRDefault="00681463">
      <w:pPr>
        <w:pStyle w:val="Heading4"/>
        <w:ind w:left="220"/>
      </w:pPr>
      <w:bookmarkStart w:id="179" w:name="_TOC_250248"/>
      <w:bookmarkEnd w:id="179"/>
      <w:r>
        <w:t>12-III.E. EFFECT OF TENANCY TERMINATION ON THE FAMILY’S ASSISTANCE</w:t>
      </w:r>
    </w:p>
    <w:p w:rsidR="004E13A5" w:rsidRDefault="00681463">
      <w:pPr>
        <w:pStyle w:val="BodyText"/>
        <w:spacing w:before="120"/>
        <w:ind w:left="220" w:right="528"/>
      </w:pPr>
      <w:r>
        <w:t>If a termination is not due to a serious or repeated violation of the lease, and if the PHA has no other grounds for termination of assistance, the PHA may issue a new voucher so that the family can move with continued assistance (see Chapter 10).</w:t>
      </w:r>
    </w:p>
    <w:p w:rsidR="004E13A5" w:rsidRDefault="004E13A5">
      <w:pPr>
        <w:pStyle w:val="BodyText"/>
        <w:spacing w:before="0"/>
        <w:ind w:left="0"/>
        <w:rPr>
          <w:sz w:val="20"/>
        </w:rPr>
      </w:pPr>
    </w:p>
    <w:p w:rsidR="004E13A5" w:rsidRDefault="003263D1">
      <w:pPr>
        <w:pStyle w:val="BodyText"/>
        <w:spacing w:before="2"/>
        <w:ind w:left="0"/>
        <w:rPr>
          <w:sz w:val="18"/>
        </w:rPr>
      </w:pPr>
      <w:r>
        <w:rPr>
          <w:noProof/>
        </w:rPr>
        <mc:AlternateContent>
          <mc:Choice Requires="wps">
            <w:drawing>
              <wp:anchor distT="0" distB="0" distL="0" distR="0" simplePos="0" relativeHeight="1648" behindDoc="0" locked="0" layoutInCell="1" allowOverlap="1">
                <wp:simplePos x="0" y="0"/>
                <wp:positionH relativeFrom="page">
                  <wp:posOffset>766445</wp:posOffset>
                </wp:positionH>
                <wp:positionV relativeFrom="paragraph">
                  <wp:posOffset>160655</wp:posOffset>
                </wp:positionV>
                <wp:extent cx="6240780" cy="205740"/>
                <wp:effectExtent l="13970" t="8255" r="12700" b="5080"/>
                <wp:wrapTopAndBottom/>
                <wp:docPr id="5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723"/>
                              <w:rPr>
                                <w:b/>
                                <w:sz w:val="24"/>
                              </w:rPr>
                            </w:pPr>
                            <w:bookmarkStart w:id="180" w:name="_TOC_250247"/>
                            <w:bookmarkEnd w:id="180"/>
                            <w:r>
                              <w:rPr>
                                <w:b/>
                                <w:sz w:val="24"/>
                              </w:rPr>
                              <w:t>EXHIBIT 12-1: STATEMENT OF FAMILY OBLIGATIONS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margin-left:60.35pt;margin-top:12.65pt;width:491.4pt;height:16.2pt;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" filled="f" strokeweight=".48pt">
                <v:textbox inset="0,0,0,0">
                  <w:txbxContent>
                    <w:p w:rsidR="00BA59C9" w:rsidRDefault="00BA59C9">
                      <w:pPr>
                        <w:spacing w:before="18"/>
                        <w:ind w:left="1723"/>
                        <w:rPr>
                          <w:b/>
                          <w:sz w:val="24"/>
                        </w:rPr>
                      </w:pPr>
                      <w:bookmarkStart w:id="181" w:name="_TOC_250247"/>
                      <w:bookmarkEnd w:id="181"/>
                      <w:r>
                        <w:rPr>
                          <w:b/>
                          <w:sz w:val="24"/>
                        </w:rPr>
                        <w:t>EXHIBIT 12-1: STATEMENT OF FAMILY OBLIGATIONS</w:t>
                      </w:r>
                    </w:p>
                  </w:txbxContent>
                </v:textbox>
                <w10:wrap type="topAndBottom" anchorx="page"/>
              </v:shape>
            </w:pict>
          </mc:Fallback>
        </mc:AlternateContent>
      </w:r>
    </w:p>
    <w:p w:rsidR="004E13A5" w:rsidRDefault="00681463">
      <w:pPr>
        <w:pStyle w:val="BodyText"/>
        <w:spacing w:before="90"/>
        <w:ind w:left="220"/>
      </w:pPr>
      <w:r>
        <w:t>Following is a listing of a participant family’s obligations under the HCV program:</w:t>
      </w:r>
    </w:p>
    <w:p w:rsidR="004E13A5" w:rsidRDefault="00681463">
      <w:pPr>
        <w:pStyle w:val="ListParagraph"/>
        <w:numPr>
          <w:ilvl w:val="0"/>
          <w:numId w:val="53"/>
        </w:numPr>
        <w:tabs>
          <w:tab w:val="left" w:pos="580"/>
          <w:tab w:val="left" w:pos="581"/>
        </w:tabs>
        <w:spacing w:before="120"/>
        <w:ind w:right="724"/>
        <w:rPr>
          <w:sz w:val="24"/>
        </w:rPr>
      </w:pPr>
      <w:r>
        <w:rPr>
          <w:sz w:val="24"/>
        </w:rPr>
        <w:t>The family must supply any information that the PHA or HUD determines to be</w:t>
      </w:r>
      <w:r>
        <w:rPr>
          <w:spacing w:val="-17"/>
          <w:sz w:val="24"/>
        </w:rPr>
        <w:t xml:space="preserve"> </w:t>
      </w:r>
      <w:r>
        <w:rPr>
          <w:sz w:val="24"/>
        </w:rPr>
        <w:t>necessary, including submission of required evidence of citizenship or eligible immigration</w:t>
      </w:r>
      <w:r>
        <w:rPr>
          <w:spacing w:val="-15"/>
          <w:sz w:val="24"/>
        </w:rPr>
        <w:t xml:space="preserve"> </w:t>
      </w:r>
      <w:r>
        <w:rPr>
          <w:sz w:val="24"/>
        </w:rPr>
        <w:t>status.</w:t>
      </w:r>
    </w:p>
    <w:p w:rsidR="004E13A5" w:rsidRDefault="00681463">
      <w:pPr>
        <w:pStyle w:val="ListParagraph"/>
        <w:numPr>
          <w:ilvl w:val="0"/>
          <w:numId w:val="53"/>
        </w:numPr>
        <w:tabs>
          <w:tab w:val="left" w:pos="580"/>
          <w:tab w:val="left" w:pos="581"/>
        </w:tabs>
        <w:ind w:right="502"/>
        <w:rPr>
          <w:sz w:val="24"/>
        </w:rPr>
      </w:pPr>
      <w:r>
        <w:rPr>
          <w:sz w:val="24"/>
        </w:rPr>
        <w:t>The family must supply any information requested by the PHA or HUD for use in a</w:t>
      </w:r>
      <w:r>
        <w:rPr>
          <w:spacing w:val="-16"/>
          <w:sz w:val="24"/>
        </w:rPr>
        <w:t xml:space="preserve"> </w:t>
      </w:r>
      <w:r>
        <w:rPr>
          <w:sz w:val="24"/>
        </w:rPr>
        <w:t>regularly scheduled reexamination or interim reexamination of family income and</w:t>
      </w:r>
      <w:r>
        <w:rPr>
          <w:spacing w:val="-13"/>
          <w:sz w:val="24"/>
        </w:rPr>
        <w:t xml:space="preserve"> </w:t>
      </w:r>
      <w:r>
        <w:rPr>
          <w:sz w:val="24"/>
        </w:rPr>
        <w:t>composition.</w:t>
      </w:r>
    </w:p>
    <w:p w:rsidR="004E13A5" w:rsidRDefault="00681463">
      <w:pPr>
        <w:pStyle w:val="ListParagraph"/>
        <w:numPr>
          <w:ilvl w:val="0"/>
          <w:numId w:val="53"/>
        </w:numPr>
        <w:tabs>
          <w:tab w:val="left" w:pos="580"/>
          <w:tab w:val="left" w:pos="581"/>
        </w:tabs>
        <w:ind w:right="271"/>
        <w:rPr>
          <w:sz w:val="24"/>
        </w:rPr>
      </w:pPr>
      <w:r>
        <w:rPr>
          <w:sz w:val="24"/>
        </w:rPr>
        <w:t>The family must disclose and verify social security numbers and sign and submit consent forms for obtaining</w:t>
      </w:r>
      <w:r>
        <w:rPr>
          <w:spacing w:val="-4"/>
          <w:sz w:val="24"/>
        </w:rPr>
        <w:t xml:space="preserve"> </w:t>
      </w:r>
      <w:r>
        <w:rPr>
          <w:sz w:val="24"/>
        </w:rPr>
        <w:t>information.</w:t>
      </w:r>
    </w:p>
    <w:p w:rsidR="004E13A5" w:rsidRDefault="00681463">
      <w:pPr>
        <w:pStyle w:val="ListParagraph"/>
        <w:numPr>
          <w:ilvl w:val="0"/>
          <w:numId w:val="53"/>
        </w:numPr>
        <w:tabs>
          <w:tab w:val="left" w:pos="580"/>
          <w:tab w:val="left" w:pos="581"/>
        </w:tabs>
        <w:rPr>
          <w:sz w:val="24"/>
        </w:rPr>
      </w:pPr>
      <w:r>
        <w:rPr>
          <w:sz w:val="24"/>
        </w:rPr>
        <w:t>Any information supplied by the family must be true and</w:t>
      </w:r>
      <w:r>
        <w:rPr>
          <w:spacing w:val="-16"/>
          <w:sz w:val="24"/>
        </w:rPr>
        <w:t xml:space="preserve"> </w:t>
      </w:r>
      <w:r>
        <w:rPr>
          <w:sz w:val="24"/>
        </w:rPr>
        <w:t>complete.</w:t>
      </w:r>
    </w:p>
    <w:p w:rsidR="004E13A5" w:rsidRDefault="00681463">
      <w:pPr>
        <w:pStyle w:val="ListParagraph"/>
        <w:numPr>
          <w:ilvl w:val="0"/>
          <w:numId w:val="53"/>
        </w:numPr>
        <w:tabs>
          <w:tab w:val="left" w:pos="580"/>
          <w:tab w:val="left" w:pos="581"/>
        </w:tabs>
        <w:spacing w:before="118"/>
        <w:ind w:right="322"/>
        <w:rPr>
          <w:sz w:val="24"/>
        </w:rPr>
      </w:pPr>
      <w:r>
        <w:rPr>
          <w:sz w:val="24"/>
        </w:rPr>
        <w:t>The family is responsible for any Housing Quality Standards (</w:t>
      </w:r>
      <w:r w:rsidR="002C4221">
        <w:rPr>
          <w:sz w:val="24"/>
        </w:rPr>
        <w:t>NSPIRE</w:t>
      </w:r>
      <w:r>
        <w:rPr>
          <w:sz w:val="24"/>
        </w:rPr>
        <w:t>) breach by the family caused by failure to pay tenant-provided utilities or appliances, or damages to the dwelling</w:t>
      </w:r>
      <w:r>
        <w:rPr>
          <w:spacing w:val="-17"/>
          <w:sz w:val="24"/>
        </w:rPr>
        <w:t xml:space="preserve"> </w:t>
      </w:r>
      <w:r>
        <w:rPr>
          <w:sz w:val="24"/>
        </w:rPr>
        <w:t>unit or premises beyond normal wear and tear caused by any member of the household or</w:t>
      </w:r>
      <w:r>
        <w:rPr>
          <w:spacing w:val="-16"/>
          <w:sz w:val="24"/>
        </w:rPr>
        <w:t xml:space="preserve"> </w:t>
      </w:r>
      <w:r>
        <w:rPr>
          <w:sz w:val="24"/>
        </w:rPr>
        <w:t>guest.</w:t>
      </w:r>
    </w:p>
    <w:p w:rsidR="004E13A5" w:rsidRDefault="00681463">
      <w:pPr>
        <w:pStyle w:val="BodyText"/>
        <w:spacing w:before="120"/>
        <w:ind w:left="940"/>
      </w:pPr>
      <w:r>
        <w:rPr>
          <w:u w:val="single"/>
        </w:rPr>
        <w:t>PHA Policy</w:t>
      </w:r>
    </w:p>
    <w:p w:rsidR="004E13A5" w:rsidRDefault="00681463">
      <w:pPr>
        <w:pStyle w:val="BodyText"/>
        <w:ind w:left="940"/>
      </w:pPr>
      <w:r>
        <w:t>Damages beyond normal wear and tear will be considered to be damages which could be assessed against the security deposit.</w:t>
      </w:r>
    </w:p>
    <w:p w:rsidR="004E13A5" w:rsidRDefault="00681463">
      <w:pPr>
        <w:pStyle w:val="ListParagraph"/>
        <w:numPr>
          <w:ilvl w:val="0"/>
          <w:numId w:val="53"/>
        </w:numPr>
        <w:tabs>
          <w:tab w:val="left" w:pos="580"/>
          <w:tab w:val="left" w:pos="581"/>
        </w:tabs>
        <w:ind w:right="724"/>
        <w:rPr>
          <w:sz w:val="24"/>
        </w:rPr>
      </w:pPr>
      <w:r>
        <w:rPr>
          <w:sz w:val="24"/>
        </w:rPr>
        <w:t>The family must allow the PHA to inspect the unit at reasonable times and after</w:t>
      </w:r>
      <w:r>
        <w:rPr>
          <w:spacing w:val="-17"/>
          <w:sz w:val="24"/>
        </w:rPr>
        <w:t xml:space="preserve"> </w:t>
      </w:r>
      <w:r>
        <w:rPr>
          <w:sz w:val="24"/>
        </w:rPr>
        <w:t>reasonable notice, as described in Chapter 8 of this</w:t>
      </w:r>
      <w:r>
        <w:rPr>
          <w:spacing w:val="-11"/>
          <w:sz w:val="24"/>
        </w:rPr>
        <w:t xml:space="preserve"> </w:t>
      </w:r>
      <w:r>
        <w:rPr>
          <w:sz w:val="24"/>
        </w:rPr>
        <w:t>plan.</w:t>
      </w:r>
    </w:p>
    <w:p w:rsidR="004E13A5" w:rsidRDefault="00681463">
      <w:pPr>
        <w:pStyle w:val="ListParagraph"/>
        <w:numPr>
          <w:ilvl w:val="0"/>
          <w:numId w:val="53"/>
        </w:numPr>
        <w:tabs>
          <w:tab w:val="left" w:pos="580"/>
          <w:tab w:val="left" w:pos="581"/>
        </w:tabs>
        <w:rPr>
          <w:sz w:val="24"/>
        </w:rPr>
      </w:pPr>
      <w:r>
        <w:rPr>
          <w:sz w:val="24"/>
        </w:rPr>
        <w:t>The family must not commit any serious or repeated violation of the</w:t>
      </w:r>
      <w:r>
        <w:rPr>
          <w:spacing w:val="-14"/>
          <w:sz w:val="24"/>
        </w:rPr>
        <w:t xml:space="preserve"> </w:t>
      </w:r>
      <w:r>
        <w:rPr>
          <w:sz w:val="24"/>
        </w:rPr>
        <w:t>lease.</w:t>
      </w:r>
    </w:p>
    <w:p w:rsidR="004E13A5" w:rsidRDefault="00681463">
      <w:pPr>
        <w:pStyle w:val="BodyText"/>
        <w:spacing w:before="118"/>
        <w:ind w:left="220"/>
        <w:rPr>
          <w:rFonts w:ascii="Symbol" w:hAnsi="Symbol"/>
        </w:rPr>
      </w:pPr>
      <w:r>
        <w:rPr>
          <w:rFonts w:ascii="Symbol" w:hAnsi="Symbol"/>
        </w:rPr>
        <w:t></w:t>
      </w:r>
    </w:p>
    <w:p w:rsidR="004E13A5" w:rsidRDefault="004E13A5">
      <w:pPr>
        <w:rPr>
          <w:rFonts w:ascii="Symbol" w:hAnsi="Symbol"/>
        </w:rPr>
        <w:sectPr w:rsidR="004E13A5">
          <w:pgSz w:w="12240" w:h="15840"/>
          <w:pgMar w:top="1000" w:right="1100" w:bottom="1240" w:left="110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196"/>
      </w:pPr>
      <w:r>
        <w:t>The PHA will determine if a family has committed serious or repeated violations of the lease based on available evidence, including but not limited to, a court-ordered eviction or an owner’s notice to evict, police reports and affidavits from the owner, neighbors, or other credible parties with direct knowledge.</w:t>
      </w:r>
    </w:p>
    <w:p w:rsidR="004E13A5" w:rsidRDefault="00681463">
      <w:pPr>
        <w:pStyle w:val="BodyText"/>
        <w:ind w:left="820" w:right="142"/>
      </w:pPr>
      <w:r>
        <w:rPr>
          <w:i/>
        </w:rPr>
        <w:t xml:space="preserve">Serious and repeated lease violations </w:t>
      </w:r>
      <w:r>
        <w:t>will include, but not be limited to, nonpayment of rent, disturbance of neighbors, destruction of property, living or housekeeping habits that cause damage to the unit or premises, and criminal activity. Generally, the criterion to be used will be whether or not the reason for the eviction was the fault of the tenant or guests. Any incidents of, or criminal activity related to, domestic violence, dating violence, sexual assault or stalking will not be construed as serious or repeated lease violations by the victim [24 CFR 5.2005(c)(1)].</w:t>
      </w:r>
    </w:p>
    <w:p w:rsidR="004E13A5" w:rsidRDefault="00681463">
      <w:pPr>
        <w:pStyle w:val="ListParagraph"/>
        <w:numPr>
          <w:ilvl w:val="0"/>
          <w:numId w:val="93"/>
        </w:numPr>
        <w:tabs>
          <w:tab w:val="left" w:pos="460"/>
          <w:tab w:val="left" w:pos="461"/>
        </w:tabs>
        <w:ind w:right="150"/>
        <w:rPr>
          <w:rFonts w:ascii="Symbol"/>
          <w:sz w:val="24"/>
        </w:rPr>
      </w:pPr>
      <w:r>
        <w:rPr>
          <w:sz w:val="24"/>
        </w:rPr>
        <w:t>The family must notify the PHA and the owner before moving out of the unit or terminating</w:t>
      </w:r>
      <w:r>
        <w:rPr>
          <w:spacing w:val="-18"/>
          <w:sz w:val="24"/>
        </w:rPr>
        <w:t xml:space="preserve"> </w:t>
      </w:r>
      <w:r>
        <w:rPr>
          <w:sz w:val="24"/>
        </w:rPr>
        <w:t>the lease.</w:t>
      </w:r>
    </w:p>
    <w:p w:rsidR="004E13A5" w:rsidRDefault="00681463">
      <w:pPr>
        <w:pStyle w:val="BodyText"/>
        <w:spacing w:before="120"/>
        <w:ind w:left="820"/>
      </w:pPr>
      <w:r>
        <w:rPr>
          <w:u w:val="single"/>
        </w:rPr>
        <w:t>PHA Policy</w:t>
      </w:r>
    </w:p>
    <w:p w:rsidR="004E13A5" w:rsidRDefault="00681463">
      <w:pPr>
        <w:pStyle w:val="BodyText"/>
        <w:spacing w:before="120"/>
        <w:ind w:left="820" w:right="136"/>
      </w:pPr>
      <w:r>
        <w:t>The family must comply with lease requirements regarding written notice to the owner. The family must provide written notice to the PHA at the same time the owner is notified.</w:t>
      </w:r>
    </w:p>
    <w:p w:rsidR="004E13A5" w:rsidRDefault="00681463">
      <w:pPr>
        <w:pStyle w:val="ListParagraph"/>
        <w:numPr>
          <w:ilvl w:val="0"/>
          <w:numId w:val="93"/>
        </w:numPr>
        <w:tabs>
          <w:tab w:val="left" w:pos="460"/>
          <w:tab w:val="left" w:pos="461"/>
        </w:tabs>
        <w:rPr>
          <w:rFonts w:ascii="Symbol"/>
          <w:sz w:val="24"/>
        </w:rPr>
      </w:pPr>
      <w:r>
        <w:rPr>
          <w:sz w:val="24"/>
        </w:rPr>
        <w:t>The family must promptly give the PHA a copy of any owner eviction</w:t>
      </w:r>
      <w:r>
        <w:rPr>
          <w:spacing w:val="-13"/>
          <w:sz w:val="24"/>
        </w:rPr>
        <w:t xml:space="preserve"> </w:t>
      </w:r>
      <w:r>
        <w:rPr>
          <w:sz w:val="24"/>
        </w:rPr>
        <w:t>notice.</w:t>
      </w:r>
    </w:p>
    <w:p w:rsidR="004E13A5" w:rsidRDefault="00681463">
      <w:pPr>
        <w:pStyle w:val="ListParagraph"/>
        <w:numPr>
          <w:ilvl w:val="0"/>
          <w:numId w:val="93"/>
        </w:numPr>
        <w:tabs>
          <w:tab w:val="left" w:pos="460"/>
          <w:tab w:val="left" w:pos="461"/>
        </w:tabs>
        <w:spacing w:before="118"/>
        <w:ind w:right="167"/>
        <w:rPr>
          <w:rFonts w:ascii="Symbol" w:hAnsi="Symbol"/>
          <w:sz w:val="24"/>
        </w:rPr>
      </w:pPr>
      <w:r>
        <w:rPr>
          <w:sz w:val="24"/>
        </w:rPr>
        <w:t>The family must use the assisted unit for residence by the family. The unit must be the family’s only residence. The composition of the assisted family residing in the unit must be approved</w:t>
      </w:r>
      <w:r>
        <w:rPr>
          <w:spacing w:val="-15"/>
          <w:sz w:val="24"/>
        </w:rPr>
        <w:t xml:space="preserve"> </w:t>
      </w:r>
      <w:r>
        <w:rPr>
          <w:sz w:val="24"/>
        </w:rPr>
        <w:t>by the PHA. The family must promptly notify the PHA in writing of the birth, adoption, or court- awarded custody of a child. The family must request PHA approval to add any other family member as an occupant of the</w:t>
      </w:r>
      <w:r>
        <w:rPr>
          <w:spacing w:val="-5"/>
          <w:sz w:val="24"/>
        </w:rPr>
        <w:t xml:space="preserve"> </w:t>
      </w:r>
      <w:r>
        <w:rPr>
          <w:sz w:val="24"/>
        </w:rPr>
        <w:t>unit.</w:t>
      </w:r>
    </w:p>
    <w:p w:rsidR="004E13A5" w:rsidRDefault="00681463">
      <w:pPr>
        <w:pStyle w:val="BodyText"/>
        <w:spacing w:before="120"/>
        <w:ind w:left="820"/>
      </w:pPr>
      <w:r>
        <w:rPr>
          <w:u w:val="single"/>
        </w:rPr>
        <w:t>PHA Policy</w:t>
      </w:r>
    </w:p>
    <w:p w:rsidR="004E13A5" w:rsidRDefault="00681463">
      <w:pPr>
        <w:pStyle w:val="BodyText"/>
        <w:ind w:left="820" w:right="175"/>
      </w:pPr>
      <w:r>
        <w:t>The request to add a family member must be submitted in writing and approved prior to the person moving into the unit. The PHA will determine eligibility of the new member in accordance with the policies in Chapter 3.</w:t>
      </w:r>
    </w:p>
    <w:p w:rsidR="004E13A5" w:rsidRDefault="00681463">
      <w:pPr>
        <w:pStyle w:val="ListParagraph"/>
        <w:numPr>
          <w:ilvl w:val="0"/>
          <w:numId w:val="93"/>
        </w:numPr>
        <w:tabs>
          <w:tab w:val="left" w:pos="460"/>
          <w:tab w:val="left" w:pos="461"/>
        </w:tabs>
        <w:ind w:right="409"/>
        <w:rPr>
          <w:rFonts w:ascii="Symbol"/>
          <w:sz w:val="24"/>
        </w:rPr>
      </w:pPr>
      <w:r>
        <w:rPr>
          <w:sz w:val="24"/>
        </w:rPr>
        <w:t>The family must promptly notify the PHA in writing if any family member no longer lives</w:t>
      </w:r>
      <w:r>
        <w:rPr>
          <w:spacing w:val="-18"/>
          <w:sz w:val="24"/>
        </w:rPr>
        <w:t xml:space="preserve"> </w:t>
      </w:r>
      <w:r>
        <w:rPr>
          <w:sz w:val="24"/>
        </w:rPr>
        <w:t>in the unit.</w:t>
      </w:r>
    </w:p>
    <w:p w:rsidR="004E13A5" w:rsidRDefault="00681463">
      <w:pPr>
        <w:pStyle w:val="ListParagraph"/>
        <w:numPr>
          <w:ilvl w:val="0"/>
          <w:numId w:val="93"/>
        </w:numPr>
        <w:tabs>
          <w:tab w:val="left" w:pos="460"/>
          <w:tab w:val="left" w:pos="461"/>
        </w:tabs>
        <w:ind w:right="187"/>
        <w:rPr>
          <w:rFonts w:ascii="Symbol"/>
          <w:sz w:val="24"/>
        </w:rPr>
      </w:pPr>
      <w:r>
        <w:rPr>
          <w:sz w:val="24"/>
        </w:rPr>
        <w:t>If the PHA has given approval, a foster child or a live-in aide may reside in the unit. The PHA has the discretion to adopt reasonable policies concerning residency by a foster child or a live- in aide, and to define when PHA consent may be given or denied. For policies related to the request and approval/disapproval of foster children, foster adults, and live-in aides, see Chapter 3 (Sections I.K and I.M), and Chapter 11 (Section</w:t>
      </w:r>
      <w:r>
        <w:rPr>
          <w:spacing w:val="-12"/>
          <w:sz w:val="24"/>
        </w:rPr>
        <w:t xml:space="preserve"> </w:t>
      </w:r>
      <w:r>
        <w:rPr>
          <w:sz w:val="24"/>
        </w:rPr>
        <w:t>II.B).</w:t>
      </w:r>
    </w:p>
    <w:p w:rsidR="004E13A5" w:rsidRDefault="00681463">
      <w:pPr>
        <w:pStyle w:val="ListParagraph"/>
        <w:numPr>
          <w:ilvl w:val="0"/>
          <w:numId w:val="93"/>
        </w:numPr>
        <w:tabs>
          <w:tab w:val="left" w:pos="460"/>
          <w:tab w:val="left" w:pos="461"/>
        </w:tabs>
        <w:spacing w:line="338" w:lineRule="auto"/>
        <w:ind w:left="820" w:right="2154" w:hanging="720"/>
        <w:rPr>
          <w:rFonts w:ascii="Symbol"/>
          <w:sz w:val="24"/>
        </w:rPr>
      </w:pPr>
      <w:r>
        <w:rPr>
          <w:sz w:val="24"/>
        </w:rPr>
        <w:t>The family must not sublease the unit, assign the lease, or transfer the</w:t>
      </w:r>
      <w:r>
        <w:rPr>
          <w:spacing w:val="-11"/>
          <w:sz w:val="24"/>
        </w:rPr>
        <w:t xml:space="preserve"> </w:t>
      </w:r>
      <w:r>
        <w:rPr>
          <w:sz w:val="24"/>
        </w:rPr>
        <w:t xml:space="preserve">unit. </w:t>
      </w:r>
      <w:r>
        <w:rPr>
          <w:sz w:val="24"/>
          <w:u w:val="single"/>
        </w:rPr>
        <w:t>PHA</w:t>
      </w:r>
      <w:r>
        <w:rPr>
          <w:spacing w:val="-1"/>
          <w:sz w:val="24"/>
          <w:u w:val="single"/>
        </w:rPr>
        <w:t xml:space="preserve"> </w:t>
      </w:r>
      <w:r>
        <w:rPr>
          <w:sz w:val="24"/>
          <w:u w:val="single"/>
        </w:rPr>
        <w:t>Policy</w:t>
      </w:r>
    </w:p>
    <w:p w:rsidR="004E13A5" w:rsidRDefault="00681463">
      <w:pPr>
        <w:pStyle w:val="BodyText"/>
        <w:spacing w:before="10"/>
        <w:ind w:left="820" w:right="321"/>
      </w:pPr>
      <w:r>
        <w:t>Subleasing includes receiving payment to cover rent and utility costs by a person living in the unit who is not listed as a family member.</w:t>
      </w:r>
    </w:p>
    <w:p w:rsidR="004E13A5" w:rsidRDefault="00681463">
      <w:pPr>
        <w:pStyle w:val="ListParagraph"/>
        <w:numPr>
          <w:ilvl w:val="0"/>
          <w:numId w:val="93"/>
        </w:numPr>
        <w:tabs>
          <w:tab w:val="left" w:pos="460"/>
          <w:tab w:val="left" w:pos="461"/>
        </w:tabs>
        <w:ind w:right="104"/>
        <w:rPr>
          <w:rFonts w:ascii="Symbol"/>
          <w:sz w:val="24"/>
        </w:rPr>
      </w:pPr>
      <w:r>
        <w:rPr>
          <w:sz w:val="24"/>
        </w:rPr>
        <w:t>The family must supply any information requested by the PHA to verify that the family is</w:t>
      </w:r>
      <w:r>
        <w:rPr>
          <w:spacing w:val="-18"/>
          <w:sz w:val="24"/>
        </w:rPr>
        <w:t xml:space="preserve"> </w:t>
      </w:r>
      <w:r>
        <w:rPr>
          <w:sz w:val="24"/>
        </w:rPr>
        <w:t>living in the unit or information related to family absence from the</w:t>
      </w:r>
      <w:r>
        <w:rPr>
          <w:spacing w:val="-13"/>
          <w:sz w:val="24"/>
        </w:rPr>
        <w:t xml:space="preserve"> </w:t>
      </w:r>
      <w:r>
        <w:rPr>
          <w:sz w:val="24"/>
        </w:rPr>
        <w:t>unit.</w:t>
      </w:r>
    </w:p>
    <w:p w:rsidR="004E13A5" w:rsidRDefault="00681463">
      <w:pPr>
        <w:pStyle w:val="ListParagraph"/>
        <w:numPr>
          <w:ilvl w:val="0"/>
          <w:numId w:val="93"/>
        </w:numPr>
        <w:tabs>
          <w:tab w:val="left" w:pos="460"/>
          <w:tab w:val="left" w:pos="461"/>
        </w:tabs>
        <w:rPr>
          <w:rFonts w:ascii="Symbol"/>
          <w:sz w:val="24"/>
        </w:rPr>
      </w:pPr>
      <w:r>
        <w:rPr>
          <w:sz w:val="24"/>
        </w:rPr>
        <w:t>The family must promptly notify the PHA when the family is absent from the</w:t>
      </w:r>
      <w:r>
        <w:rPr>
          <w:spacing w:val="-13"/>
          <w:sz w:val="24"/>
        </w:rPr>
        <w:t xml:space="preserve"> </w:t>
      </w:r>
      <w:r>
        <w:rPr>
          <w:sz w:val="24"/>
        </w:rPr>
        <w:t>unit.</w:t>
      </w:r>
    </w:p>
    <w:p w:rsidR="004E13A5" w:rsidRDefault="004E13A5">
      <w:pPr>
        <w:rPr>
          <w:rFonts w:ascii="Symbol"/>
          <w:sz w:val="24"/>
        </w:rPr>
        <w:sectPr w:rsidR="004E13A5">
          <w:pgSz w:w="12240" w:h="15840"/>
          <w:pgMar w:top="1000" w:right="12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136"/>
      </w:pPr>
      <w:r>
        <w:t>Notice is required under this provision only when all family members will be absent from the unit for an extended period. An extended period is defined as any period greater than 30 calendar days. Written notice must be provided to the PHA at the start of the extended absence.</w:t>
      </w:r>
    </w:p>
    <w:p w:rsidR="004E13A5" w:rsidRDefault="00681463">
      <w:pPr>
        <w:pStyle w:val="ListParagraph"/>
        <w:numPr>
          <w:ilvl w:val="0"/>
          <w:numId w:val="93"/>
        </w:numPr>
        <w:tabs>
          <w:tab w:val="left" w:pos="460"/>
          <w:tab w:val="left" w:pos="461"/>
        </w:tabs>
        <w:ind w:right="218"/>
        <w:rPr>
          <w:rFonts w:ascii="Symbol"/>
          <w:sz w:val="24"/>
        </w:rPr>
      </w:pPr>
      <w:r>
        <w:rPr>
          <w:sz w:val="24"/>
        </w:rPr>
        <w:t>The family must pay utility bills and provide and maintain any appliances that the owner is</w:t>
      </w:r>
      <w:r>
        <w:rPr>
          <w:spacing w:val="-19"/>
          <w:sz w:val="24"/>
        </w:rPr>
        <w:t xml:space="preserve"> </w:t>
      </w:r>
      <w:r>
        <w:rPr>
          <w:sz w:val="24"/>
        </w:rPr>
        <w:t>not required to provide under the lease [Form HUD-52646,</w:t>
      </w:r>
      <w:r>
        <w:rPr>
          <w:spacing w:val="-9"/>
          <w:sz w:val="24"/>
        </w:rPr>
        <w:t xml:space="preserve"> </w:t>
      </w:r>
      <w:r>
        <w:rPr>
          <w:sz w:val="24"/>
        </w:rPr>
        <w:t>Voucher].</w:t>
      </w:r>
    </w:p>
    <w:p w:rsidR="004E13A5" w:rsidRDefault="00681463">
      <w:pPr>
        <w:pStyle w:val="ListParagraph"/>
        <w:numPr>
          <w:ilvl w:val="0"/>
          <w:numId w:val="93"/>
        </w:numPr>
        <w:tabs>
          <w:tab w:val="left" w:pos="460"/>
          <w:tab w:val="left" w:pos="461"/>
        </w:tabs>
        <w:ind w:right="751"/>
        <w:rPr>
          <w:rFonts w:ascii="Symbol"/>
          <w:sz w:val="24"/>
        </w:rPr>
      </w:pPr>
      <w:r>
        <w:rPr>
          <w:sz w:val="24"/>
        </w:rPr>
        <w:t>The family must not own or have any interest in the unit, (other than in a cooperative</w:t>
      </w:r>
      <w:r>
        <w:rPr>
          <w:spacing w:val="-15"/>
          <w:sz w:val="24"/>
        </w:rPr>
        <w:t xml:space="preserve"> </w:t>
      </w:r>
      <w:r>
        <w:rPr>
          <w:sz w:val="24"/>
        </w:rPr>
        <w:t>and owners of a manufactured home leasing a manufactured home</w:t>
      </w:r>
      <w:r>
        <w:rPr>
          <w:spacing w:val="-12"/>
          <w:sz w:val="24"/>
        </w:rPr>
        <w:t xml:space="preserve"> </w:t>
      </w:r>
      <w:r>
        <w:rPr>
          <w:sz w:val="24"/>
        </w:rPr>
        <w:t>space).</w:t>
      </w:r>
    </w:p>
    <w:p w:rsidR="004E13A5" w:rsidRDefault="00681463">
      <w:pPr>
        <w:pStyle w:val="ListParagraph"/>
        <w:numPr>
          <w:ilvl w:val="0"/>
          <w:numId w:val="93"/>
        </w:numPr>
        <w:tabs>
          <w:tab w:val="left" w:pos="460"/>
          <w:tab w:val="left" w:pos="461"/>
        </w:tabs>
        <w:ind w:right="363"/>
        <w:rPr>
          <w:rFonts w:ascii="Symbol"/>
          <w:sz w:val="24"/>
        </w:rPr>
      </w:pPr>
      <w:r>
        <w:rPr>
          <w:sz w:val="24"/>
        </w:rPr>
        <w:t>Family members must not commit fraud, bribery, or any other corrupt or criminal act in connection with the program. (See Chapter 14, Program Integrity for additional</w:t>
      </w:r>
      <w:r>
        <w:rPr>
          <w:spacing w:val="-19"/>
          <w:sz w:val="24"/>
        </w:rPr>
        <w:t xml:space="preserve"> </w:t>
      </w:r>
      <w:r>
        <w:rPr>
          <w:sz w:val="24"/>
        </w:rPr>
        <w:t>information).</w:t>
      </w:r>
    </w:p>
    <w:p w:rsidR="004E13A5" w:rsidRDefault="00681463">
      <w:pPr>
        <w:pStyle w:val="ListParagraph"/>
        <w:numPr>
          <w:ilvl w:val="0"/>
          <w:numId w:val="93"/>
        </w:numPr>
        <w:tabs>
          <w:tab w:val="left" w:pos="460"/>
          <w:tab w:val="left" w:pos="461"/>
        </w:tabs>
        <w:ind w:right="108"/>
        <w:rPr>
          <w:rFonts w:ascii="Symbol"/>
          <w:sz w:val="24"/>
        </w:rPr>
      </w:pPr>
      <w:r>
        <w:rPr>
          <w:sz w:val="24"/>
        </w:rPr>
        <w:t>Family members must not engage in drug-related criminal activity or violent criminal activity or other criminal activity that threatens the health, safety or right to peaceful enjoyment of other residents and persons residing in the immediate vicinity of the premises. See Chapter 12 for HUD and PHA policies related to drug-related and violent criminal</w:t>
      </w:r>
      <w:r>
        <w:rPr>
          <w:spacing w:val="-16"/>
          <w:sz w:val="24"/>
        </w:rPr>
        <w:t xml:space="preserve"> </w:t>
      </w:r>
      <w:r>
        <w:rPr>
          <w:sz w:val="24"/>
        </w:rPr>
        <w:t>activity.</w:t>
      </w:r>
    </w:p>
    <w:p w:rsidR="004E13A5" w:rsidRDefault="00681463">
      <w:pPr>
        <w:pStyle w:val="ListParagraph"/>
        <w:numPr>
          <w:ilvl w:val="0"/>
          <w:numId w:val="93"/>
        </w:numPr>
        <w:tabs>
          <w:tab w:val="left" w:pos="460"/>
          <w:tab w:val="left" w:pos="461"/>
        </w:tabs>
        <w:ind w:right="245"/>
        <w:rPr>
          <w:rFonts w:ascii="Symbol"/>
          <w:sz w:val="24"/>
        </w:rPr>
      </w:pPr>
      <w:r>
        <w:rPr>
          <w:sz w:val="24"/>
        </w:rPr>
        <w:t>Members of the household must not engage in abuse of alcohol in a way that threatens the health, safety or right to peaceful enjoyment of the other residents and persons residing in the immediate vicinity of the premises. See Chapter 12 for a discussion of HUD and PHA</w:t>
      </w:r>
      <w:r>
        <w:rPr>
          <w:spacing w:val="-18"/>
          <w:sz w:val="24"/>
        </w:rPr>
        <w:t xml:space="preserve"> </w:t>
      </w:r>
      <w:r>
        <w:rPr>
          <w:sz w:val="24"/>
        </w:rPr>
        <w:t>policies related to alcohol</w:t>
      </w:r>
      <w:r>
        <w:rPr>
          <w:spacing w:val="-5"/>
          <w:sz w:val="24"/>
        </w:rPr>
        <w:t xml:space="preserve"> </w:t>
      </w:r>
      <w:r>
        <w:rPr>
          <w:sz w:val="24"/>
        </w:rPr>
        <w:t>abuse.</w:t>
      </w:r>
    </w:p>
    <w:p w:rsidR="004E13A5" w:rsidRDefault="00681463">
      <w:pPr>
        <w:pStyle w:val="ListParagraph"/>
        <w:numPr>
          <w:ilvl w:val="0"/>
          <w:numId w:val="93"/>
        </w:numPr>
        <w:tabs>
          <w:tab w:val="left" w:pos="460"/>
          <w:tab w:val="left" w:pos="461"/>
        </w:tabs>
        <w:ind w:right="198"/>
        <w:rPr>
          <w:rFonts w:ascii="Symbol"/>
          <w:sz w:val="24"/>
        </w:rPr>
      </w:pPr>
      <w:r>
        <w:rPr>
          <w:sz w:val="24"/>
        </w:rPr>
        <w:t>An assisted family or member of the family must not receive HCV program assistance while receiving another housing subsidy, for the same unit or a different unit under any other</w:t>
      </w:r>
      <w:r>
        <w:rPr>
          <w:spacing w:val="-21"/>
          <w:sz w:val="24"/>
        </w:rPr>
        <w:t xml:space="preserve"> </w:t>
      </w:r>
      <w:r>
        <w:rPr>
          <w:sz w:val="24"/>
        </w:rPr>
        <w:t>federal, state or local housing assistance</w:t>
      </w:r>
      <w:r>
        <w:rPr>
          <w:spacing w:val="-9"/>
          <w:sz w:val="24"/>
        </w:rPr>
        <w:t xml:space="preserve"> </w:t>
      </w:r>
      <w:r>
        <w:rPr>
          <w:sz w:val="24"/>
        </w:rPr>
        <w:t>program.</w:t>
      </w:r>
    </w:p>
    <w:p w:rsidR="004E13A5" w:rsidRDefault="00681463">
      <w:pPr>
        <w:pStyle w:val="ListParagraph"/>
        <w:numPr>
          <w:ilvl w:val="0"/>
          <w:numId w:val="93"/>
        </w:numPr>
        <w:tabs>
          <w:tab w:val="left" w:pos="460"/>
          <w:tab w:val="left" w:pos="461"/>
        </w:tabs>
        <w:ind w:right="196"/>
        <w:rPr>
          <w:rFonts w:ascii="Symbol"/>
          <w:sz w:val="24"/>
        </w:rPr>
      </w:pPr>
      <w:r>
        <w:rPr>
          <w:sz w:val="24"/>
        </w:rPr>
        <w:t>A family must not receive HCV program assistance while residing in a unit owned by a</w:t>
      </w:r>
      <w:r>
        <w:rPr>
          <w:spacing w:val="-15"/>
          <w:sz w:val="24"/>
        </w:rPr>
        <w:t xml:space="preserve"> </w:t>
      </w:r>
      <w:r>
        <w:rPr>
          <w:sz w:val="24"/>
        </w:rPr>
        <w:t>parent, child, grandparent, grandchild, sister or brother of any member of the family, unless the PHA has determined (and has notified the owner and the family of such determination) that approving rental of the unit, notwithstanding such relationship, would provide reasonable accommodation for a family member who is a person with disabilities. [Form HUD-52646, Voucher]</w:t>
      </w:r>
    </w:p>
    <w:p w:rsidR="004E13A5" w:rsidRDefault="004E13A5">
      <w:pPr>
        <w:rPr>
          <w:rFonts w:ascii="Symbol"/>
          <w:sz w:val="24"/>
        </w:rPr>
        <w:sectPr w:rsidR="004E13A5">
          <w:pgSz w:w="12240" w:h="15840"/>
          <w:pgMar w:top="1000" w:right="1240" w:bottom="1240" w:left="1220" w:header="0" w:footer="1023"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14"/>
      </w:pPr>
      <w:r>
        <w:rPr>
          <w:spacing w:val="-1"/>
        </w:rPr>
        <w:t>INTRODUCTION</w:t>
      </w:r>
    </w:p>
    <w:p w:rsidR="004E13A5" w:rsidRDefault="00681463">
      <w:pPr>
        <w:pStyle w:val="Heading4"/>
        <w:spacing w:before="79" w:line="448" w:lineRule="auto"/>
        <w:ind w:left="143" w:right="4305" w:hanging="44"/>
      </w:pPr>
      <w:bookmarkStart w:id="182" w:name="_TOC_250246"/>
      <w:r>
        <w:rPr>
          <w:b w:val="0"/>
        </w:rPr>
        <w:br w:type="column"/>
      </w:r>
      <w:bookmarkEnd w:id="182"/>
      <w:r>
        <w:t>Chapter 13 OWNERS</w:t>
      </w:r>
    </w:p>
    <w:p w:rsidR="004E13A5" w:rsidRDefault="004E13A5">
      <w:pPr>
        <w:spacing w:line="448" w:lineRule="auto"/>
        <w:sectPr w:rsidR="004E13A5">
          <w:pgSz w:w="12240" w:h="15840"/>
          <w:pgMar w:top="1240" w:right="1220" w:bottom="1240" w:left="1220" w:header="0" w:footer="1023" w:gutter="0"/>
          <w:cols w:num="2" w:space="720" w:equalWidth="0">
            <w:col w:w="2020" w:space="2202"/>
            <w:col w:w="5578"/>
          </w:cols>
        </w:sectPr>
      </w:pPr>
    </w:p>
    <w:p w:rsidR="004E13A5" w:rsidRDefault="00681463">
      <w:pPr>
        <w:pStyle w:val="BodyText"/>
        <w:ind w:right="255"/>
      </w:pPr>
      <w:r>
        <w:t>Owners play a major role in the HCV program by supplying decent, safe, and sanitary housing for participating families.</w:t>
      </w:r>
    </w:p>
    <w:p w:rsidR="004E13A5" w:rsidRDefault="00681463">
      <w:pPr>
        <w:pStyle w:val="BodyText"/>
        <w:ind w:right="142"/>
      </w:pPr>
      <w:r>
        <w:t>The term “owner” refers to any person or entity with the legal right to lease or sublease a unit to a participant in the HCV program [24 CFR 982.4(b)]. The term “owner” includes a principal or other interested party [24 CFR 982.453; 24 CFR 982.306(f)], such as a designated agent of the owner.</w:t>
      </w:r>
    </w:p>
    <w:p w:rsidR="004E13A5" w:rsidRDefault="00681463">
      <w:pPr>
        <w:pStyle w:val="BodyText"/>
        <w:ind w:right="89"/>
      </w:pPr>
      <w:r>
        <w:t>Owners have numerous responsibilities under the program, including screening and leasing to families, maintaining the dwelling unit, enforcing the lease, and complying with various contractual obligations.</w:t>
      </w:r>
    </w:p>
    <w:p w:rsidR="004E13A5" w:rsidRDefault="00681463">
      <w:pPr>
        <w:pStyle w:val="BodyText"/>
      </w:pPr>
      <w:r>
        <w:t>The chapter is organized in two parts:</w:t>
      </w:r>
    </w:p>
    <w:p w:rsidR="004E13A5" w:rsidRDefault="00681463">
      <w:pPr>
        <w:pStyle w:val="BodyText"/>
        <w:ind w:left="784" w:right="304"/>
      </w:pPr>
      <w:r>
        <w:rPr>
          <w:u w:val="single"/>
        </w:rPr>
        <w:t>Part I: Owners in the HCV Program</w:t>
      </w:r>
      <w:r>
        <w:t>. This part discusses the role of an owner in the PHA’s HCV program and highlights key owner rights and responsibilities.</w:t>
      </w:r>
    </w:p>
    <w:p w:rsidR="004E13A5" w:rsidRDefault="00681463">
      <w:pPr>
        <w:pStyle w:val="BodyText"/>
        <w:ind w:left="784" w:right="1157"/>
      </w:pPr>
      <w:r>
        <w:rPr>
          <w:u w:val="single"/>
        </w:rPr>
        <w:t>Part II: HAP Contracts</w:t>
      </w:r>
      <w:r>
        <w:t>. This part explains provisions of the HAP contract and the relationship between the PHA and the owner as expressed in the HAP contract.</w:t>
      </w:r>
    </w:p>
    <w:p w:rsidR="004E13A5" w:rsidRDefault="00681463">
      <w:pPr>
        <w:pStyle w:val="BodyText"/>
        <w:ind w:right="834"/>
      </w:pPr>
      <w:r>
        <w:t>For detailed information about HCV program responsibilities and processes, including PHA policies in key areas, owners will need to refer to several other chapters in this plan. Where appropriate, Chapter 13 will reference the other chapters.</w:t>
      </w:r>
    </w:p>
    <w:p w:rsidR="004E13A5" w:rsidRDefault="004E13A5">
      <w:pPr>
        <w:pStyle w:val="BodyText"/>
        <w:spacing w:before="9"/>
        <w:ind w:left="0"/>
        <w:rPr>
          <w:sz w:val="20"/>
        </w:rPr>
      </w:pPr>
    </w:p>
    <w:p w:rsidR="004E13A5" w:rsidRDefault="00681463">
      <w:pPr>
        <w:pStyle w:val="Heading4"/>
        <w:ind w:left="2495"/>
      </w:pPr>
      <w:bookmarkStart w:id="183" w:name="_TOC_250245"/>
      <w:bookmarkEnd w:id="183"/>
      <w:r>
        <w:t>PART I. OWNERS IN THE HCV PROGRAM</w:t>
      </w:r>
    </w:p>
    <w:p w:rsidR="004E13A5" w:rsidRDefault="004E13A5">
      <w:pPr>
        <w:pStyle w:val="BodyText"/>
        <w:spacing w:before="9"/>
        <w:ind w:left="0"/>
        <w:rPr>
          <w:b/>
          <w:sz w:val="20"/>
        </w:rPr>
      </w:pPr>
    </w:p>
    <w:p w:rsidR="004E13A5" w:rsidRDefault="00681463">
      <w:pPr>
        <w:spacing w:before="1"/>
        <w:ind w:left="100"/>
        <w:rPr>
          <w:b/>
          <w:sz w:val="24"/>
        </w:rPr>
      </w:pPr>
      <w:r>
        <w:rPr>
          <w:b/>
          <w:sz w:val="24"/>
        </w:rPr>
        <w:t>13-I.A. OWNER RECRUITMENT AND RETENTION [HCV GB, pp. 2-4 to 2-6; HCV</w:t>
      </w:r>
    </w:p>
    <w:p w:rsidR="004E13A5" w:rsidRDefault="00681463">
      <w:pPr>
        <w:spacing w:line="343" w:lineRule="auto"/>
        <w:ind w:left="100" w:right="5479"/>
        <w:rPr>
          <w:b/>
          <w:sz w:val="24"/>
        </w:rPr>
      </w:pPr>
      <w:r>
        <w:rPr>
          <w:b/>
          <w:sz w:val="24"/>
        </w:rPr>
        <w:t>Landlord Strategy Guidebook for PHAs] Recruitment</w:t>
      </w:r>
    </w:p>
    <w:p w:rsidR="004E13A5" w:rsidRDefault="00681463">
      <w:pPr>
        <w:pStyle w:val="BodyText"/>
        <w:spacing w:before="5"/>
        <w:ind w:right="208"/>
      </w:pPr>
      <w:r>
        <w:t>PHAs are responsible for ensuring that very low-income families have access to all types and ranges of affordable housing in the PHA’s jurisdiction, particularly housing outside areas of poverty or minority concentration. A critical element in fulfilling this responsibility is for the PHA to ensure that a sufficient number of owners, representing all types and ranges of affordable housing in the PHA’s jurisdiction, are willing to participate in the HCV program.</w:t>
      </w:r>
    </w:p>
    <w:p w:rsidR="004E13A5" w:rsidRDefault="00681463">
      <w:pPr>
        <w:pStyle w:val="BodyText"/>
        <w:ind w:right="662"/>
      </w:pPr>
      <w:r>
        <w:t>To accomplish this objective, PHAs must identify and recruit new owners to participate in the program.</w:t>
      </w:r>
    </w:p>
    <w:p w:rsidR="004E13A5" w:rsidRDefault="00681463">
      <w:pPr>
        <w:pStyle w:val="BodyText"/>
        <w:spacing w:before="120"/>
        <w:ind w:right="229"/>
      </w:pPr>
      <w:r>
        <w:t>If the PHA will be conducting outreach events, the PHA must ensure that notices and communications during outreach events are provided in a manner that is effective for persons with hearing, visual, and other communications-related disabilities. PHAs must also take reasonable steps to ensure meaningful access to programs to persons with limited English proficiency.</w:t>
      </w:r>
    </w:p>
    <w:p w:rsidR="004E13A5" w:rsidRDefault="00681463">
      <w:pPr>
        <w:pStyle w:val="BodyText"/>
        <w:spacing w:before="120"/>
        <w:ind w:left="820"/>
      </w:pPr>
      <w:r>
        <w:rPr>
          <w:u w:val="single"/>
        </w:rPr>
        <w:t>PHA Policy</w:t>
      </w:r>
    </w:p>
    <w:p w:rsidR="004E13A5" w:rsidRDefault="00681463">
      <w:pPr>
        <w:pStyle w:val="BodyText"/>
        <w:spacing w:before="120"/>
        <w:ind w:left="820"/>
      </w:pPr>
      <w:r>
        <w:t xml:space="preserve">The PHA will conduct owner outreach to ensure that owners are familiar with the program and its advantages. The PHA will actively recruit property owners with property located </w:t>
      </w:r>
      <w:r>
        <w:lastRenderedPageBreak/>
        <w:t>outside areas of poverty and minority concentration. These outreach strategies will include:</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BodyText"/>
        <w:spacing w:before="79" w:line="345" w:lineRule="auto"/>
        <w:ind w:left="1540"/>
      </w:pPr>
      <w:r>
        <w:lastRenderedPageBreak/>
        <w:t>Distributing printed material about the program to property owners and managers Contacting property owners and managers by phone or in-person</w:t>
      </w:r>
    </w:p>
    <w:p w:rsidR="004E13A5" w:rsidRDefault="00681463">
      <w:pPr>
        <w:pStyle w:val="BodyText"/>
        <w:spacing w:before="3"/>
        <w:ind w:left="1540"/>
      </w:pPr>
      <w:r>
        <w:t>Holding owner recruitment/information meetings at least once a year</w:t>
      </w:r>
    </w:p>
    <w:p w:rsidR="004E13A5" w:rsidRDefault="00681463">
      <w:pPr>
        <w:pStyle w:val="BodyText"/>
        <w:spacing w:before="120"/>
        <w:ind w:left="1540"/>
      </w:pPr>
      <w:r>
        <w:t>Participating in community-based organizations comprised of private property and apartment owners and managers</w:t>
      </w:r>
    </w:p>
    <w:p w:rsidR="004E13A5" w:rsidRDefault="00681463">
      <w:pPr>
        <w:pStyle w:val="BodyText"/>
        <w:spacing w:before="120"/>
        <w:ind w:left="1540" w:right="428"/>
      </w:pPr>
      <w:r>
        <w:t>Developing working relationships with owners, apartment associations, industry investor groups, and real estate brokers associations</w:t>
      </w:r>
    </w:p>
    <w:p w:rsidR="004E13A5" w:rsidRDefault="00681463">
      <w:pPr>
        <w:pStyle w:val="BodyText"/>
        <w:spacing w:before="120"/>
        <w:ind w:left="1540" w:right="362"/>
      </w:pPr>
      <w:r>
        <w:t>To the extent practical, partnering with and attending events hosted by other area agencies to deliver information about the HCV program</w:t>
      </w:r>
    </w:p>
    <w:p w:rsidR="004E13A5" w:rsidRDefault="00681463">
      <w:pPr>
        <w:pStyle w:val="BodyText"/>
        <w:spacing w:before="120"/>
        <w:ind w:left="820"/>
      </w:pPr>
      <w:r>
        <w:t>Outreach strategies will be monitored for effectiveness, and adapted accordingly.</w:t>
      </w:r>
    </w:p>
    <w:p w:rsidR="004E13A5" w:rsidRDefault="00681463">
      <w:pPr>
        <w:pStyle w:val="Heading4"/>
        <w:spacing w:before="120"/>
      </w:pPr>
      <w:bookmarkStart w:id="184" w:name="_TOC_250244"/>
      <w:bookmarkEnd w:id="184"/>
      <w:r>
        <w:t>Retention</w:t>
      </w:r>
    </w:p>
    <w:p w:rsidR="004E13A5" w:rsidRDefault="00681463">
      <w:pPr>
        <w:pStyle w:val="BodyText"/>
        <w:spacing w:before="120"/>
      </w:pPr>
      <w:r>
        <w:t>In addition to recruiting owners to participate in the HCV program, the PHA must also provide the kind of customer service that will encourage participating owners to remain active in the program.</w:t>
      </w:r>
    </w:p>
    <w:p w:rsidR="004E13A5" w:rsidRDefault="00681463">
      <w:pPr>
        <w:pStyle w:val="BodyText"/>
        <w:ind w:left="820"/>
      </w:pPr>
      <w:r>
        <w:rPr>
          <w:u w:val="single"/>
        </w:rPr>
        <w:t>PHA Policy</w:t>
      </w:r>
    </w:p>
    <w:p w:rsidR="004E13A5" w:rsidRDefault="00681463">
      <w:pPr>
        <w:pStyle w:val="BodyText"/>
        <w:ind w:left="820"/>
      </w:pPr>
      <w:r>
        <w:t>All PHA activities that may affect an owner’s ability to lease a unit will be processed as rapidly as possible, in order to minimize vacancy losses for owners.</w:t>
      </w:r>
    </w:p>
    <w:p w:rsidR="004E13A5" w:rsidRDefault="00681463">
      <w:pPr>
        <w:pStyle w:val="BodyText"/>
        <w:ind w:left="820"/>
      </w:pPr>
      <w:r>
        <w:t>The PHA will provide owners with a handbook that explains the program, including HUD and PHA policies and procedures, in easy-to-understand language.</w:t>
      </w:r>
    </w:p>
    <w:p w:rsidR="004E13A5" w:rsidRDefault="00681463">
      <w:pPr>
        <w:pStyle w:val="BodyText"/>
        <w:ind w:left="820" w:right="122"/>
      </w:pPr>
      <w:r>
        <w:t>The PHA will give special attention to helping new owners succeed through activities such as:</w:t>
      </w:r>
    </w:p>
    <w:p w:rsidR="004E13A5" w:rsidRDefault="00681463">
      <w:pPr>
        <w:pStyle w:val="BodyText"/>
        <w:ind w:left="1540"/>
        <w:jc w:val="both"/>
      </w:pPr>
      <w:r>
        <w:t>Providing the owner with a designated PHA contact person.</w:t>
      </w:r>
    </w:p>
    <w:p w:rsidR="004E13A5" w:rsidRDefault="00681463">
      <w:pPr>
        <w:pStyle w:val="BodyText"/>
        <w:spacing w:before="120"/>
        <w:ind w:left="1540"/>
      </w:pPr>
      <w:r>
        <w:t>Coordinating inspection and leasing activities between the PHA, the owner, and the family.</w:t>
      </w:r>
    </w:p>
    <w:p w:rsidR="004E13A5" w:rsidRDefault="00681463">
      <w:pPr>
        <w:pStyle w:val="BodyText"/>
        <w:spacing w:before="120"/>
        <w:ind w:left="1540" w:right="346"/>
        <w:jc w:val="both"/>
      </w:pPr>
      <w:r>
        <w:t>Initiating telephone contact with the owner to explain the inspection process, and providing an inspection booklet and other resource materials about HUD housing quality standards.</w:t>
      </w:r>
    </w:p>
    <w:p w:rsidR="004E13A5" w:rsidRDefault="00681463">
      <w:pPr>
        <w:pStyle w:val="BodyText"/>
        <w:spacing w:before="120"/>
        <w:ind w:left="1540" w:right="528"/>
      </w:pPr>
      <w:r>
        <w:t>Providing other written information about how the program operates, including answers to frequently asked questions.</w:t>
      </w:r>
    </w:p>
    <w:p w:rsidR="004E13A5" w:rsidRDefault="00681463">
      <w:pPr>
        <w:pStyle w:val="BodyText"/>
        <w:spacing w:before="120"/>
        <w:ind w:left="1540"/>
        <w:jc w:val="both"/>
      </w:pPr>
      <w:r>
        <w:t>Contacting owners via emails or texts to disseminate information.</w:t>
      </w:r>
    </w:p>
    <w:p w:rsidR="004E13A5" w:rsidRDefault="00681463">
      <w:pPr>
        <w:pStyle w:val="BodyText"/>
        <w:spacing w:before="120"/>
        <w:ind w:left="820"/>
      </w:pPr>
      <w:r>
        <w:t>Additional services may be undertaken on an as-needed basis, and as resources permit.</w:t>
      </w:r>
    </w:p>
    <w:p w:rsidR="004E13A5" w:rsidRDefault="004E13A5">
      <w:pPr>
        <w:pStyle w:val="BodyText"/>
        <w:spacing w:before="10"/>
        <w:ind w:left="0"/>
        <w:rPr>
          <w:sz w:val="20"/>
        </w:rPr>
      </w:pPr>
    </w:p>
    <w:p w:rsidR="004E13A5" w:rsidRDefault="00681463">
      <w:pPr>
        <w:pStyle w:val="Heading4"/>
      </w:pPr>
      <w:bookmarkStart w:id="185" w:name="_TOC_250243"/>
      <w:bookmarkEnd w:id="185"/>
      <w:r>
        <w:t>13-I.B. BASIC HCV PROGRAM REQUIREMENTS</w:t>
      </w:r>
    </w:p>
    <w:p w:rsidR="004E13A5" w:rsidRDefault="00681463">
      <w:pPr>
        <w:pStyle w:val="BodyText"/>
        <w:spacing w:before="120"/>
      </w:pPr>
      <w:r>
        <w:t>HUD requires the PHA to assist families in their housing search by providing the family with a list of landlords or other parties known to the PHA who may be willing to lease a unit to the family, or to help the family find a unit. Although the PHA cannot maintain a list of owners that are pre- qualified to participate in the program, owners may indicate to the PHA their willingness to lease a unit to an eligible HCV family, or to help the HCV family find a unit [24 CFR 982.301(b)(11)].</w:t>
      </w:r>
    </w:p>
    <w:p w:rsidR="004E13A5" w:rsidRDefault="004E13A5">
      <w:pPr>
        <w:sectPr w:rsidR="004E13A5">
          <w:pgSz w:w="12240" w:h="15840"/>
          <w:pgMar w:top="1000" w:right="132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Owners that wish to indicate their willingness to lease a unit to an eligible HCV family or to help the HCV family find a unit must notify the PHA. The PHA will maintain a listing of such owners and provide this listing to the HCV family as part of the informational briefing packet.</w:t>
      </w:r>
    </w:p>
    <w:p w:rsidR="004E13A5" w:rsidRDefault="00681463">
      <w:pPr>
        <w:pStyle w:val="BodyText"/>
        <w:ind w:right="162"/>
      </w:pPr>
      <w:r>
        <w:t>When a family approaches an owner to apply for tenancy, the owner is responsible for screening the family and deciding whether to lease to the family, just as the owner would with any potential unassisted tenant. The PHA has no liability or responsibility to the owner or other persons for the family’s behavior or suitability for tenancy. See chapters 3 and 9 for more detail on tenant family screening policies and process.</w:t>
      </w:r>
    </w:p>
    <w:p w:rsidR="004E13A5" w:rsidRDefault="00681463">
      <w:pPr>
        <w:pStyle w:val="BodyText"/>
        <w:ind w:right="143"/>
      </w:pPr>
      <w:r>
        <w:t>If the owner is willing, the family and the owner must jointly complete a Request for Tenancy Approval (RTA, Form HUD 52517), which constitutes the family's request for assistance in the specified unit, and which documents the owner’s willingness to lease to the family and to follow the program’s requirements. When submitted to the PHA, this document is the first step in the process of obtaining approval for the family to receive the financial assistance it will need in order to occupy the unit. Also submitted with the RTA is a copy of the owner’s proposed dwelling lease, including the HUD-required Tenancy Addendum (Form HUD-52641-A). See Chapter 9 for more detail on request for tenancy approval policies and process.</w:t>
      </w:r>
    </w:p>
    <w:p w:rsidR="004E13A5" w:rsidRDefault="00681463">
      <w:pPr>
        <w:pStyle w:val="BodyText"/>
      </w:pPr>
      <w:r>
        <w:t>HUD regulations stipulate requirements for the approval of an assisted tenancy.</w:t>
      </w:r>
    </w:p>
    <w:p w:rsidR="004E13A5" w:rsidRDefault="00681463">
      <w:pPr>
        <w:pStyle w:val="BodyText"/>
        <w:ind w:right="143"/>
      </w:pPr>
      <w:r>
        <w:t>The owner must be qualified to participate in the program [24 CFR 982.306]. Some owners are precluded from participating in the program, or from renting to a particular family, either because of their past history with this or another federal housing program, or because of certain conflicts of interest. Owner qualifications are discussed later in this chapter.</w:t>
      </w:r>
    </w:p>
    <w:p w:rsidR="004E13A5" w:rsidRDefault="00681463">
      <w:pPr>
        <w:pStyle w:val="BodyText"/>
        <w:ind w:right="435"/>
        <w:jc w:val="both"/>
      </w:pPr>
      <w:r>
        <w:t>The selected unit must be of a type that is eligible for the program [24 CFR 982.305(a)]. Certain types of dwelling units cannot be assisted under the HCV program. Other types may be assisted under certain conditions. See chapter 9 for more detail on unit eligibility policies and process.</w:t>
      </w:r>
    </w:p>
    <w:p w:rsidR="004E13A5" w:rsidRDefault="00681463">
      <w:pPr>
        <w:pStyle w:val="BodyText"/>
        <w:ind w:right="142"/>
      </w:pPr>
      <w:r>
        <w:t>The selected unit must meet HUD’s Housing Quality Standards (</w:t>
      </w:r>
      <w:r w:rsidR="002C4221">
        <w:t>NSPIRE</w:t>
      </w:r>
      <w:r>
        <w:t xml:space="preserve">) and/or equivalent state or local standards approved by HUD [24 CFR 982.305(a)]. The PHA will inspect the owner’s dwelling unit at least annually to ensure that the unit continues to meet </w:t>
      </w:r>
      <w:r w:rsidR="002C4221">
        <w:t>NSPIRE</w:t>
      </w:r>
      <w:r>
        <w:t xml:space="preserve"> requirements. See chapter 8 for a discussion of the </w:t>
      </w:r>
      <w:r w:rsidR="002C4221">
        <w:t>NSPIRE</w:t>
      </w:r>
      <w:r>
        <w:t xml:space="preserve"> standards and policies for </w:t>
      </w:r>
      <w:r w:rsidR="002C4221">
        <w:t>NSPIRE</w:t>
      </w:r>
      <w:r>
        <w:t xml:space="preserve"> inspections at initial lease-up and throughout the family’s tenancy.</w:t>
      </w:r>
    </w:p>
    <w:p w:rsidR="004E13A5" w:rsidRDefault="00681463">
      <w:pPr>
        <w:pStyle w:val="BodyText"/>
        <w:ind w:right="269"/>
      </w:pPr>
      <w:r>
        <w:t>The PHA must determine that the proposed rent for the unit is reasonable [24 CFR 982.305(a)]. The rent must be reasonable in relation to comparable unassisted units in the area and must not be in excess of rents charged by the owner for comparable, unassisted units on the premises. See chapter 8 for a discussion of requirements and policies on rent reasonableness, rent comparability and the rent reasonableness determination process.</w:t>
      </w:r>
    </w:p>
    <w:p w:rsidR="004E13A5" w:rsidRDefault="00681463">
      <w:pPr>
        <w:pStyle w:val="BodyText"/>
        <w:spacing w:before="120"/>
        <w:ind w:right="395"/>
      </w:pPr>
      <w:r>
        <w:t>At initial lease-up of a unit, if the gross rent exceeds the applicable payment standard, the PHA must ensure that the family share does not exceed 40 percent of the family’s monthly adjusted income [24 CFR 982.305(a)]. See chapter 6 for a discussion of the calculation of family income, family share of rent and HAP.</w:t>
      </w:r>
    </w:p>
    <w:p w:rsidR="004E13A5" w:rsidRDefault="00681463">
      <w:pPr>
        <w:pStyle w:val="BodyText"/>
        <w:spacing w:before="120"/>
        <w:ind w:right="449"/>
      </w:pPr>
      <w:r>
        <w:t>The dwelling lease must comply with all program requirements [24 CFR 982.308]. Owners are encouraged to use their standard leases when renting to an assisted family. The HUD Tenancy Addendum includes the HUD requirements governing the tenancy and must be added word-for-</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right="969"/>
      </w:pPr>
      <w:r>
        <w:lastRenderedPageBreak/>
        <w:t>word to the owner’s lease. See chapter 9 for a discussion of the dwelling lease and tenancy addendum, including lease terms and provisions.</w:t>
      </w:r>
    </w:p>
    <w:p w:rsidR="004E13A5" w:rsidRDefault="00681463">
      <w:pPr>
        <w:pStyle w:val="BodyText"/>
        <w:spacing w:before="120"/>
        <w:ind w:right="114"/>
        <w:jc w:val="both"/>
      </w:pPr>
      <w:r>
        <w:t>The PHA and the owner must execute a Housing Assistance Payment (HAP) Contract (Form HUD- 52641). The HAP contract format is prescribed by HUD. See chapter 9 for a discussion of the HUD requirements for execution of the HAP contract.</w:t>
      </w:r>
    </w:p>
    <w:p w:rsidR="004E13A5" w:rsidRDefault="004E13A5">
      <w:pPr>
        <w:pStyle w:val="BodyText"/>
        <w:spacing w:before="9"/>
        <w:ind w:left="0"/>
        <w:rPr>
          <w:sz w:val="20"/>
        </w:rPr>
      </w:pPr>
    </w:p>
    <w:p w:rsidR="004E13A5" w:rsidRDefault="00681463">
      <w:pPr>
        <w:pStyle w:val="Heading4"/>
      </w:pPr>
      <w:bookmarkStart w:id="186" w:name="_TOC_250242"/>
      <w:bookmarkEnd w:id="186"/>
      <w:r>
        <w:t>13-I.C. OWNER RESPONSIBILITIES [24 CFR 982.452]</w:t>
      </w:r>
    </w:p>
    <w:p w:rsidR="004E13A5" w:rsidRDefault="00681463">
      <w:pPr>
        <w:pStyle w:val="BodyText"/>
      </w:pPr>
      <w:r>
        <w:t>The basic owner responsibilities in the HCV program are outlined in the regulations as follows:</w:t>
      </w:r>
    </w:p>
    <w:p w:rsidR="004E13A5" w:rsidRDefault="00681463">
      <w:pPr>
        <w:pStyle w:val="ListParagraph"/>
        <w:numPr>
          <w:ilvl w:val="0"/>
          <w:numId w:val="52"/>
        </w:numPr>
        <w:tabs>
          <w:tab w:val="left" w:pos="1180"/>
          <w:tab w:val="left" w:pos="1181"/>
        </w:tabs>
        <w:ind w:right="402" w:firstLine="0"/>
        <w:rPr>
          <w:sz w:val="24"/>
        </w:rPr>
      </w:pPr>
      <w:r>
        <w:rPr>
          <w:sz w:val="24"/>
        </w:rPr>
        <w:t>Complying with all of the owner’s obligations under the housing assistance</w:t>
      </w:r>
      <w:r>
        <w:rPr>
          <w:spacing w:val="-14"/>
          <w:sz w:val="24"/>
        </w:rPr>
        <w:t xml:space="preserve"> </w:t>
      </w:r>
      <w:r>
        <w:rPr>
          <w:sz w:val="24"/>
        </w:rPr>
        <w:t>payments (HAP) contract and the</w:t>
      </w:r>
      <w:r>
        <w:rPr>
          <w:spacing w:val="-8"/>
          <w:sz w:val="24"/>
        </w:rPr>
        <w:t xml:space="preserve"> </w:t>
      </w:r>
      <w:r>
        <w:rPr>
          <w:sz w:val="24"/>
        </w:rPr>
        <w:t>lease</w:t>
      </w:r>
    </w:p>
    <w:p w:rsidR="004E13A5" w:rsidRDefault="00681463">
      <w:pPr>
        <w:pStyle w:val="ListParagraph"/>
        <w:numPr>
          <w:ilvl w:val="0"/>
          <w:numId w:val="52"/>
        </w:numPr>
        <w:tabs>
          <w:tab w:val="left" w:pos="1180"/>
          <w:tab w:val="left" w:pos="1181"/>
        </w:tabs>
        <w:ind w:right="102" w:firstLine="0"/>
        <w:rPr>
          <w:sz w:val="24"/>
        </w:rPr>
      </w:pPr>
      <w:r>
        <w:rPr>
          <w:sz w:val="24"/>
        </w:rPr>
        <w:t>Performing all management and rental functions for the assisted unit, including</w:t>
      </w:r>
      <w:r>
        <w:rPr>
          <w:spacing w:val="-16"/>
          <w:sz w:val="24"/>
        </w:rPr>
        <w:t xml:space="preserve"> </w:t>
      </w:r>
      <w:r>
        <w:rPr>
          <w:sz w:val="24"/>
        </w:rPr>
        <w:t>selecting a voucher-holder to lease the unit, and deciding if the family is suitable for tenancy of the</w:t>
      </w:r>
      <w:r>
        <w:rPr>
          <w:spacing w:val="-21"/>
          <w:sz w:val="24"/>
        </w:rPr>
        <w:t xml:space="preserve"> </w:t>
      </w:r>
      <w:r>
        <w:rPr>
          <w:sz w:val="24"/>
        </w:rPr>
        <w:t>unit</w:t>
      </w:r>
    </w:p>
    <w:p w:rsidR="004E13A5" w:rsidRDefault="00681463">
      <w:pPr>
        <w:pStyle w:val="ListParagraph"/>
        <w:numPr>
          <w:ilvl w:val="0"/>
          <w:numId w:val="52"/>
        </w:numPr>
        <w:tabs>
          <w:tab w:val="left" w:pos="1180"/>
          <w:tab w:val="left" w:pos="1181"/>
        </w:tabs>
        <w:spacing w:before="120"/>
        <w:ind w:right="1014" w:firstLine="0"/>
        <w:rPr>
          <w:sz w:val="24"/>
        </w:rPr>
      </w:pPr>
      <w:r>
        <w:rPr>
          <w:sz w:val="24"/>
        </w:rPr>
        <w:t>Maintaining the unit in accordance with the Housing Quality Standards</w:t>
      </w:r>
      <w:r>
        <w:rPr>
          <w:spacing w:val="-15"/>
          <w:sz w:val="24"/>
        </w:rPr>
        <w:t xml:space="preserve"> </w:t>
      </w:r>
      <w:r>
        <w:rPr>
          <w:sz w:val="24"/>
        </w:rPr>
        <w:t>(</w:t>
      </w:r>
      <w:r w:rsidR="002C4221">
        <w:rPr>
          <w:sz w:val="24"/>
        </w:rPr>
        <w:t>NSPIRE</w:t>
      </w:r>
      <w:r>
        <w:rPr>
          <w:sz w:val="24"/>
        </w:rPr>
        <w:t>), including performance of ordinary and extraordinary</w:t>
      </w:r>
      <w:r>
        <w:rPr>
          <w:spacing w:val="-11"/>
          <w:sz w:val="24"/>
        </w:rPr>
        <w:t xml:space="preserve"> </w:t>
      </w:r>
      <w:r>
        <w:rPr>
          <w:sz w:val="24"/>
        </w:rPr>
        <w:t>maintenance</w:t>
      </w:r>
    </w:p>
    <w:p w:rsidR="004E13A5" w:rsidRDefault="00681463">
      <w:pPr>
        <w:pStyle w:val="ListParagraph"/>
        <w:numPr>
          <w:ilvl w:val="0"/>
          <w:numId w:val="52"/>
        </w:numPr>
        <w:tabs>
          <w:tab w:val="left" w:pos="1180"/>
          <w:tab w:val="left" w:pos="1181"/>
        </w:tabs>
        <w:ind w:left="1180"/>
        <w:rPr>
          <w:sz w:val="24"/>
        </w:rPr>
      </w:pPr>
      <w:r>
        <w:rPr>
          <w:sz w:val="24"/>
        </w:rPr>
        <w:t>Complying with equal opportunity</w:t>
      </w:r>
      <w:r>
        <w:rPr>
          <w:spacing w:val="-11"/>
          <w:sz w:val="24"/>
        </w:rPr>
        <w:t xml:space="preserve"> </w:t>
      </w:r>
      <w:r>
        <w:rPr>
          <w:sz w:val="24"/>
        </w:rPr>
        <w:t>requirements</w:t>
      </w:r>
    </w:p>
    <w:p w:rsidR="004E13A5" w:rsidRDefault="00681463">
      <w:pPr>
        <w:pStyle w:val="ListParagraph"/>
        <w:numPr>
          <w:ilvl w:val="0"/>
          <w:numId w:val="52"/>
        </w:numPr>
        <w:tabs>
          <w:tab w:val="left" w:pos="1180"/>
          <w:tab w:val="left" w:pos="1181"/>
        </w:tabs>
        <w:ind w:left="1180"/>
        <w:rPr>
          <w:sz w:val="24"/>
        </w:rPr>
      </w:pPr>
      <w:r>
        <w:rPr>
          <w:sz w:val="24"/>
        </w:rPr>
        <w:t>Preparing and furnishing to the PHA information required under the HAP</w:t>
      </w:r>
      <w:r>
        <w:rPr>
          <w:spacing w:val="-19"/>
          <w:sz w:val="24"/>
        </w:rPr>
        <w:t xml:space="preserve"> </w:t>
      </w:r>
      <w:r>
        <w:rPr>
          <w:sz w:val="24"/>
        </w:rPr>
        <w:t>contract</w:t>
      </w:r>
    </w:p>
    <w:p w:rsidR="004E13A5" w:rsidRDefault="00681463">
      <w:pPr>
        <w:pStyle w:val="ListParagraph"/>
        <w:numPr>
          <w:ilvl w:val="0"/>
          <w:numId w:val="52"/>
        </w:numPr>
        <w:tabs>
          <w:tab w:val="left" w:pos="1180"/>
          <w:tab w:val="left" w:pos="1181"/>
        </w:tabs>
        <w:ind w:right="651" w:firstLine="0"/>
        <w:rPr>
          <w:sz w:val="24"/>
        </w:rPr>
      </w:pPr>
      <w:r>
        <w:rPr>
          <w:sz w:val="24"/>
        </w:rPr>
        <w:t>Collecting the security deposit, the tenant rent, and any charges for unit damage by the</w:t>
      </w:r>
      <w:r>
        <w:rPr>
          <w:spacing w:val="-6"/>
          <w:sz w:val="24"/>
        </w:rPr>
        <w:t xml:space="preserve"> </w:t>
      </w:r>
      <w:r>
        <w:rPr>
          <w:sz w:val="24"/>
        </w:rPr>
        <w:t>family.</w:t>
      </w:r>
    </w:p>
    <w:p w:rsidR="004E13A5" w:rsidRDefault="00681463">
      <w:pPr>
        <w:pStyle w:val="ListParagraph"/>
        <w:numPr>
          <w:ilvl w:val="0"/>
          <w:numId w:val="52"/>
        </w:numPr>
        <w:tabs>
          <w:tab w:val="left" w:pos="1180"/>
          <w:tab w:val="left" w:pos="1181"/>
        </w:tabs>
        <w:ind w:left="1180"/>
        <w:rPr>
          <w:sz w:val="24"/>
        </w:rPr>
      </w:pPr>
      <w:r>
        <w:rPr>
          <w:sz w:val="24"/>
        </w:rPr>
        <w:t>Enforcing tenant obligations under the dwelling</w:t>
      </w:r>
      <w:r>
        <w:rPr>
          <w:spacing w:val="-12"/>
          <w:sz w:val="24"/>
        </w:rPr>
        <w:t xml:space="preserve"> </w:t>
      </w:r>
      <w:r>
        <w:rPr>
          <w:sz w:val="24"/>
        </w:rPr>
        <w:t>lease</w:t>
      </w:r>
    </w:p>
    <w:p w:rsidR="004E13A5" w:rsidRDefault="00681463">
      <w:pPr>
        <w:pStyle w:val="ListParagraph"/>
        <w:numPr>
          <w:ilvl w:val="0"/>
          <w:numId w:val="52"/>
        </w:numPr>
        <w:tabs>
          <w:tab w:val="left" w:pos="1180"/>
          <w:tab w:val="left" w:pos="1181"/>
        </w:tabs>
        <w:ind w:right="255" w:firstLine="0"/>
        <w:rPr>
          <w:sz w:val="24"/>
        </w:rPr>
      </w:pPr>
      <w:r>
        <w:rPr>
          <w:sz w:val="24"/>
        </w:rPr>
        <w:t>Paying for utilities and services that are not the responsibility of the family as</w:t>
      </w:r>
      <w:r>
        <w:rPr>
          <w:spacing w:val="-25"/>
          <w:sz w:val="24"/>
        </w:rPr>
        <w:t xml:space="preserve"> </w:t>
      </w:r>
      <w:r>
        <w:rPr>
          <w:sz w:val="24"/>
        </w:rPr>
        <w:t>specified in the</w:t>
      </w:r>
      <w:r>
        <w:rPr>
          <w:spacing w:val="-4"/>
          <w:sz w:val="24"/>
        </w:rPr>
        <w:t xml:space="preserve"> </w:t>
      </w:r>
      <w:r>
        <w:rPr>
          <w:sz w:val="24"/>
        </w:rPr>
        <w:t>lease</w:t>
      </w:r>
    </w:p>
    <w:p w:rsidR="004E13A5" w:rsidRDefault="00681463">
      <w:pPr>
        <w:pStyle w:val="ListParagraph"/>
        <w:numPr>
          <w:ilvl w:val="0"/>
          <w:numId w:val="52"/>
        </w:numPr>
        <w:tabs>
          <w:tab w:val="left" w:pos="1180"/>
          <w:tab w:val="left" w:pos="1181"/>
        </w:tabs>
        <w:ind w:right="388" w:firstLine="0"/>
        <w:rPr>
          <w:sz w:val="24"/>
        </w:rPr>
      </w:pPr>
      <w:r>
        <w:rPr>
          <w:sz w:val="24"/>
        </w:rPr>
        <w:t>Allowing reasonable modifications to a dwelling unit occupied or to be occupied by</w:t>
      </w:r>
      <w:r>
        <w:rPr>
          <w:spacing w:val="-11"/>
          <w:sz w:val="24"/>
        </w:rPr>
        <w:t xml:space="preserve"> </w:t>
      </w:r>
      <w:r>
        <w:rPr>
          <w:sz w:val="24"/>
        </w:rPr>
        <w:t>a disabled person [24 CFR</w:t>
      </w:r>
      <w:r>
        <w:rPr>
          <w:spacing w:val="-5"/>
          <w:sz w:val="24"/>
        </w:rPr>
        <w:t xml:space="preserve"> </w:t>
      </w:r>
      <w:r>
        <w:rPr>
          <w:sz w:val="24"/>
        </w:rPr>
        <w:t>100.203]</w:t>
      </w:r>
    </w:p>
    <w:p w:rsidR="004E13A5" w:rsidRDefault="00681463">
      <w:pPr>
        <w:pStyle w:val="ListParagraph"/>
        <w:numPr>
          <w:ilvl w:val="0"/>
          <w:numId w:val="52"/>
        </w:numPr>
        <w:tabs>
          <w:tab w:val="left" w:pos="1180"/>
          <w:tab w:val="left" w:pos="1181"/>
        </w:tabs>
        <w:ind w:right="239" w:firstLine="0"/>
        <w:rPr>
          <w:sz w:val="24"/>
        </w:rPr>
      </w:pPr>
      <w:r>
        <w:rPr>
          <w:sz w:val="24"/>
        </w:rPr>
        <w:t>Complying with the Violence against Women Reauthorization Act of 2013 (VAWA) when screening prospective HCV tenants or terminating the tenancy of an HCV family (see</w:t>
      </w:r>
      <w:r>
        <w:rPr>
          <w:spacing w:val="-19"/>
          <w:sz w:val="24"/>
        </w:rPr>
        <w:t xml:space="preserve"> </w:t>
      </w:r>
      <w:r>
        <w:rPr>
          <w:sz w:val="24"/>
        </w:rPr>
        <w:t xml:space="preserve">24 CFR Part 5, Subpart </w:t>
      </w:r>
      <w:r>
        <w:rPr>
          <w:spacing w:val="-3"/>
          <w:sz w:val="24"/>
        </w:rPr>
        <w:t xml:space="preserve">L; </w:t>
      </w:r>
      <w:r>
        <w:rPr>
          <w:sz w:val="24"/>
        </w:rPr>
        <w:t>24 CFR 982.310(h)(4); and 24 CFR</w:t>
      </w:r>
      <w:r>
        <w:rPr>
          <w:spacing w:val="-5"/>
          <w:sz w:val="24"/>
        </w:rPr>
        <w:t xml:space="preserve"> </w:t>
      </w:r>
      <w:r>
        <w:rPr>
          <w:sz w:val="24"/>
        </w:rPr>
        <w:t>982.452(b)(1))</w:t>
      </w:r>
    </w:p>
    <w:p w:rsidR="004E13A5" w:rsidRDefault="004E13A5">
      <w:pPr>
        <w:pStyle w:val="BodyText"/>
        <w:spacing w:before="9"/>
        <w:ind w:left="0"/>
        <w:rPr>
          <w:sz w:val="20"/>
        </w:rPr>
      </w:pPr>
    </w:p>
    <w:p w:rsidR="004E13A5" w:rsidRDefault="00681463">
      <w:pPr>
        <w:pStyle w:val="Heading4"/>
      </w:pPr>
      <w:bookmarkStart w:id="187" w:name="_TOC_250241"/>
      <w:bookmarkEnd w:id="187"/>
      <w:r>
        <w:t>13-I.D. OWNER QUALIFICATIONS</w:t>
      </w:r>
    </w:p>
    <w:p w:rsidR="004E13A5" w:rsidRDefault="00681463">
      <w:pPr>
        <w:pStyle w:val="BodyText"/>
        <w:ind w:right="183"/>
      </w:pPr>
      <w:r>
        <w:t>The PHA does not formally approve an owner to participate in the HCV program. However, there are a number of criteria where the PHA may deny approval of an assisted tenancy based on past owner behavior, conflict of interest, or other owner-related issues. No owner has a right to participate in the HCV program [24 CFR 982.306(e)].</w:t>
      </w:r>
    </w:p>
    <w:p w:rsidR="004E13A5" w:rsidRDefault="00681463">
      <w:pPr>
        <w:pStyle w:val="Heading4"/>
        <w:spacing w:before="119"/>
      </w:pPr>
      <w:bookmarkStart w:id="188" w:name="_TOC_250240"/>
      <w:bookmarkEnd w:id="188"/>
      <w:r>
        <w:t>Owners Barred from Participation [24 CFR 982.306(a) and (b)]</w:t>
      </w:r>
    </w:p>
    <w:p w:rsidR="004E13A5" w:rsidRDefault="00681463">
      <w:pPr>
        <w:pStyle w:val="BodyText"/>
        <w:spacing w:before="120"/>
        <w:ind w:right="328"/>
      </w:pPr>
      <w:r>
        <w:t>The PHA must not approve the assisted tenancy if the PHA has been informed that the owner has been debarred, suspended, or subject to a limited denial of participation under 24 CFR part 24.</w:t>
      </w:r>
    </w:p>
    <w:p w:rsidR="004E13A5" w:rsidRDefault="00681463">
      <w:pPr>
        <w:pStyle w:val="BodyText"/>
        <w:spacing w:before="0"/>
      </w:pPr>
      <w:r>
        <w:t>HUD may direct the PHA not to approve a tenancy request if a court or administrative agency has determined that the owner violated the Fair Housing Act or other federal equal opportunity requirements, or if such an action is pending.</w:t>
      </w:r>
    </w:p>
    <w:p w:rsidR="004E13A5" w:rsidRDefault="00681463">
      <w:pPr>
        <w:pStyle w:val="Heading4"/>
        <w:spacing w:before="120"/>
      </w:pPr>
      <w:bookmarkStart w:id="189" w:name="_TOC_250239"/>
      <w:bookmarkEnd w:id="189"/>
      <w:r>
        <w:t>Leasing to Relatives [24 CFR 982.306(d), HCV GB p. 11-2]</w:t>
      </w:r>
    </w:p>
    <w:p w:rsidR="004E13A5" w:rsidRDefault="00681463">
      <w:pPr>
        <w:pStyle w:val="BodyText"/>
        <w:ind w:right="183"/>
      </w:pPr>
      <w:r>
        <w:t>The PHA must not approve a tenancy if the owner is the parent, child, grandparent, grandchild, sister, or brother of any member of the family. The PHA may make an exception as a reasonable</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119"/>
      </w:pPr>
      <w:r>
        <w:lastRenderedPageBreak/>
        <w:t>accommodation for a family member with a disability. The owner is required to certify that no such relationship exists. This restriction applies at the time that the family receives assistance under the HCV program for occupancy of a particular unit. Current contracts on behalf of owners and families that are related may continue, but any new leases or contracts for these families may not</w:t>
      </w:r>
      <w:r>
        <w:rPr>
          <w:spacing w:val="-18"/>
        </w:rPr>
        <w:t xml:space="preserve"> </w:t>
      </w:r>
      <w:r>
        <w:t>be approved.</w:t>
      </w:r>
    </w:p>
    <w:p w:rsidR="004E13A5" w:rsidRDefault="00681463">
      <w:pPr>
        <w:pStyle w:val="Heading4"/>
        <w:spacing w:before="120"/>
      </w:pPr>
      <w:r>
        <w:t>Conflict of Interest [24 CFR 982.161; HCV GB p. 8-19 ; Form HUD-52641, Section 13]</w:t>
      </w:r>
    </w:p>
    <w:p w:rsidR="004E13A5" w:rsidRDefault="00681463">
      <w:pPr>
        <w:pStyle w:val="BodyText"/>
        <w:spacing w:before="120"/>
        <w:ind w:right="595"/>
      </w:pPr>
      <w:r>
        <w:t>The PHA must not approve a tenancy in which any of the following classes of persons has any interest, direct or indirect, during tenure or for one year thereafter:</w:t>
      </w:r>
    </w:p>
    <w:p w:rsidR="004E13A5" w:rsidRDefault="00681463">
      <w:pPr>
        <w:pStyle w:val="ListParagraph"/>
        <w:numPr>
          <w:ilvl w:val="0"/>
          <w:numId w:val="52"/>
        </w:numPr>
        <w:tabs>
          <w:tab w:val="left" w:pos="1180"/>
          <w:tab w:val="left" w:pos="1181"/>
        </w:tabs>
        <w:spacing w:before="120"/>
        <w:ind w:right="1502" w:firstLine="0"/>
        <w:rPr>
          <w:sz w:val="24"/>
        </w:rPr>
      </w:pPr>
      <w:r>
        <w:rPr>
          <w:sz w:val="24"/>
        </w:rPr>
        <w:t>Any present or former member or officer of the PHA (except a</w:t>
      </w:r>
      <w:r>
        <w:rPr>
          <w:spacing w:val="-14"/>
          <w:sz w:val="24"/>
        </w:rPr>
        <w:t xml:space="preserve"> </w:t>
      </w:r>
      <w:r>
        <w:rPr>
          <w:sz w:val="24"/>
        </w:rPr>
        <w:t>participant commissioner)</w:t>
      </w:r>
    </w:p>
    <w:p w:rsidR="004E13A5" w:rsidRDefault="00681463">
      <w:pPr>
        <w:pStyle w:val="ListParagraph"/>
        <w:numPr>
          <w:ilvl w:val="0"/>
          <w:numId w:val="52"/>
        </w:numPr>
        <w:tabs>
          <w:tab w:val="left" w:pos="1180"/>
          <w:tab w:val="left" w:pos="1181"/>
        </w:tabs>
        <w:spacing w:before="120"/>
        <w:ind w:right="350" w:firstLine="0"/>
        <w:rPr>
          <w:sz w:val="24"/>
        </w:rPr>
      </w:pPr>
      <w:r>
        <w:rPr>
          <w:sz w:val="24"/>
        </w:rPr>
        <w:t>Any employee of the PHA, or any contractor, subcontractor or agent of the PHA,</w:t>
      </w:r>
      <w:r>
        <w:rPr>
          <w:spacing w:val="-19"/>
          <w:sz w:val="24"/>
        </w:rPr>
        <w:t xml:space="preserve"> </w:t>
      </w:r>
      <w:r>
        <w:rPr>
          <w:sz w:val="24"/>
        </w:rPr>
        <w:t>who formulates policy or who influences decisions with respect to the</w:t>
      </w:r>
      <w:r>
        <w:rPr>
          <w:spacing w:val="-14"/>
          <w:sz w:val="24"/>
        </w:rPr>
        <w:t xml:space="preserve"> </w:t>
      </w:r>
      <w:r>
        <w:rPr>
          <w:sz w:val="24"/>
        </w:rPr>
        <w:t>programs</w:t>
      </w:r>
    </w:p>
    <w:p w:rsidR="004E13A5" w:rsidRDefault="00681463">
      <w:pPr>
        <w:pStyle w:val="ListParagraph"/>
        <w:numPr>
          <w:ilvl w:val="0"/>
          <w:numId w:val="52"/>
        </w:numPr>
        <w:tabs>
          <w:tab w:val="left" w:pos="1180"/>
          <w:tab w:val="left" w:pos="1181"/>
        </w:tabs>
        <w:spacing w:before="120"/>
        <w:ind w:right="114" w:firstLine="0"/>
        <w:rPr>
          <w:sz w:val="24"/>
        </w:rPr>
      </w:pPr>
      <w:r>
        <w:rPr>
          <w:sz w:val="24"/>
        </w:rPr>
        <w:t>Any public official, member of a governing body, or State or local legislator, who exercises functions or responsibilities with respect to the programsAny member of the</w:t>
      </w:r>
      <w:r>
        <w:rPr>
          <w:spacing w:val="-18"/>
          <w:sz w:val="24"/>
        </w:rPr>
        <w:t xml:space="preserve"> </w:t>
      </w:r>
      <w:r>
        <w:rPr>
          <w:sz w:val="24"/>
        </w:rPr>
        <w:t>Congress of the United</w:t>
      </w:r>
      <w:r>
        <w:rPr>
          <w:spacing w:val="-4"/>
          <w:sz w:val="24"/>
        </w:rPr>
        <w:t xml:space="preserve"> </w:t>
      </w:r>
      <w:r>
        <w:rPr>
          <w:sz w:val="24"/>
        </w:rPr>
        <w:t>States</w:t>
      </w:r>
    </w:p>
    <w:p w:rsidR="004E13A5" w:rsidRDefault="00681463">
      <w:pPr>
        <w:pStyle w:val="BodyText"/>
        <w:spacing w:before="138"/>
        <w:ind w:right="163"/>
      </w:pPr>
      <w:r>
        <w:t>Such “covered individual” may not have any direct or indirect interest in the HAP contract or in any benefits or payments under the contract (including the interest of an immediate family member of such covered individual) while such person is a covered individual or for one year thereafter.</w:t>
      </w:r>
    </w:p>
    <w:p w:rsidR="004E13A5" w:rsidRDefault="00681463">
      <w:pPr>
        <w:pStyle w:val="BodyText"/>
        <w:spacing w:before="138"/>
        <w:ind w:left="820" w:right="262"/>
      </w:pPr>
      <w:r>
        <w:rPr>
          <w:i/>
        </w:rPr>
        <w:t xml:space="preserve">Immediate family member </w:t>
      </w:r>
      <w:r>
        <w:t>means the spouse, parent (including a stepparent), child (including a stepchild), grandparent, grandchild, sister, or brother (including a stepsister or stepbrother) of any covered individual.</w:t>
      </w:r>
    </w:p>
    <w:p w:rsidR="004E13A5" w:rsidRDefault="00681463">
      <w:pPr>
        <w:spacing w:before="164"/>
        <w:ind w:left="460"/>
        <w:rPr>
          <w:rFonts w:ascii="Symbol" w:hAnsi="Symbol"/>
          <w:sz w:val="20"/>
        </w:rPr>
      </w:pPr>
      <w:r>
        <w:rPr>
          <w:rFonts w:ascii="Symbol" w:hAnsi="Symbol"/>
          <w:w w:val="99"/>
          <w:sz w:val="20"/>
        </w:rPr>
        <w:t></w:t>
      </w:r>
    </w:p>
    <w:p w:rsidR="004E13A5" w:rsidRDefault="00681463">
      <w:pPr>
        <w:pStyle w:val="BodyText"/>
        <w:spacing w:before="128"/>
        <w:ind w:right="389"/>
      </w:pPr>
      <w:r>
        <w:t>HUD may waive the conflict of interest requirements, except for members of Congress, for good cause. The PHA must submit a waiver request to the appropriate HUD Field Office for determination.</w:t>
      </w:r>
    </w:p>
    <w:p w:rsidR="004E13A5" w:rsidRDefault="00681463">
      <w:pPr>
        <w:pStyle w:val="BodyText"/>
        <w:spacing w:before="120"/>
        <w:ind w:right="387"/>
      </w:pPr>
      <w:r>
        <w:t>Any waiver request submitted by the PHA must include the following [HCV Guidebook pp.11-2 and 11-3]:</w:t>
      </w:r>
    </w:p>
    <w:p w:rsidR="004E13A5" w:rsidRDefault="00681463">
      <w:pPr>
        <w:pStyle w:val="ListParagraph"/>
        <w:numPr>
          <w:ilvl w:val="0"/>
          <w:numId w:val="52"/>
        </w:numPr>
        <w:tabs>
          <w:tab w:val="left" w:pos="1180"/>
          <w:tab w:val="left" w:pos="1181"/>
        </w:tabs>
        <w:spacing w:before="120"/>
        <w:ind w:left="1180"/>
        <w:rPr>
          <w:sz w:val="24"/>
        </w:rPr>
      </w:pPr>
      <w:r>
        <w:rPr>
          <w:sz w:val="24"/>
        </w:rPr>
        <w:t>Complete statement of the facts of the</w:t>
      </w:r>
      <w:r>
        <w:rPr>
          <w:spacing w:val="-8"/>
          <w:sz w:val="24"/>
        </w:rPr>
        <w:t xml:space="preserve"> </w:t>
      </w:r>
      <w:r>
        <w:rPr>
          <w:sz w:val="24"/>
        </w:rPr>
        <w:t>case;</w:t>
      </w:r>
    </w:p>
    <w:p w:rsidR="004E13A5" w:rsidRDefault="00681463">
      <w:pPr>
        <w:pStyle w:val="ListParagraph"/>
        <w:numPr>
          <w:ilvl w:val="0"/>
          <w:numId w:val="52"/>
        </w:numPr>
        <w:tabs>
          <w:tab w:val="left" w:pos="1180"/>
          <w:tab w:val="left" w:pos="1181"/>
        </w:tabs>
        <w:spacing w:before="120"/>
        <w:ind w:right="1181" w:firstLine="0"/>
        <w:rPr>
          <w:sz w:val="24"/>
        </w:rPr>
      </w:pPr>
      <w:r>
        <w:rPr>
          <w:sz w:val="24"/>
        </w:rPr>
        <w:t>Analysis of the specific conflict of interest provision of the HAP contract</w:t>
      </w:r>
      <w:r>
        <w:rPr>
          <w:spacing w:val="-10"/>
          <w:sz w:val="24"/>
        </w:rPr>
        <w:t xml:space="preserve"> </w:t>
      </w:r>
      <w:r>
        <w:rPr>
          <w:sz w:val="24"/>
        </w:rPr>
        <w:t>and justification as to why the provision should be</w:t>
      </w:r>
      <w:r>
        <w:rPr>
          <w:spacing w:val="-6"/>
          <w:sz w:val="24"/>
        </w:rPr>
        <w:t xml:space="preserve"> </w:t>
      </w:r>
      <w:r>
        <w:rPr>
          <w:sz w:val="24"/>
        </w:rPr>
        <w:t>waived;</w:t>
      </w:r>
    </w:p>
    <w:p w:rsidR="004E13A5" w:rsidRDefault="00681463">
      <w:pPr>
        <w:pStyle w:val="ListParagraph"/>
        <w:numPr>
          <w:ilvl w:val="0"/>
          <w:numId w:val="52"/>
        </w:numPr>
        <w:tabs>
          <w:tab w:val="left" w:pos="1180"/>
          <w:tab w:val="left" w:pos="1181"/>
        </w:tabs>
        <w:spacing w:before="120"/>
        <w:ind w:right="430" w:firstLine="0"/>
        <w:rPr>
          <w:sz w:val="24"/>
        </w:rPr>
      </w:pPr>
      <w:r>
        <w:rPr>
          <w:sz w:val="24"/>
        </w:rPr>
        <w:t>Analysis of and statement of consistency with state and local laws. The local HUD office, the PHA, or both parties may conduct this analysis. Where appropriate, an opinion by the state’s attorney general should be</w:t>
      </w:r>
      <w:r>
        <w:rPr>
          <w:spacing w:val="-8"/>
          <w:sz w:val="24"/>
        </w:rPr>
        <w:t xml:space="preserve"> </w:t>
      </w:r>
      <w:r>
        <w:rPr>
          <w:sz w:val="24"/>
        </w:rPr>
        <w:t>obtained;</w:t>
      </w:r>
    </w:p>
    <w:p w:rsidR="004E13A5" w:rsidRDefault="00681463">
      <w:pPr>
        <w:pStyle w:val="ListParagraph"/>
        <w:numPr>
          <w:ilvl w:val="0"/>
          <w:numId w:val="52"/>
        </w:numPr>
        <w:tabs>
          <w:tab w:val="left" w:pos="1180"/>
          <w:tab w:val="left" w:pos="1181"/>
        </w:tabs>
        <w:spacing w:before="120"/>
        <w:ind w:right="943" w:firstLine="0"/>
        <w:rPr>
          <w:sz w:val="24"/>
        </w:rPr>
      </w:pPr>
      <w:r>
        <w:rPr>
          <w:sz w:val="24"/>
        </w:rPr>
        <w:t>Opinion by the local HUD office as to whether there would be an appearance</w:t>
      </w:r>
      <w:r>
        <w:rPr>
          <w:spacing w:val="-12"/>
          <w:sz w:val="24"/>
        </w:rPr>
        <w:t xml:space="preserve"> </w:t>
      </w:r>
      <w:r>
        <w:rPr>
          <w:sz w:val="24"/>
        </w:rPr>
        <w:t>of impropriety if the waiver were</w:t>
      </w:r>
      <w:r>
        <w:rPr>
          <w:spacing w:val="-9"/>
          <w:sz w:val="24"/>
        </w:rPr>
        <w:t xml:space="preserve"> </w:t>
      </w:r>
      <w:r>
        <w:rPr>
          <w:sz w:val="24"/>
        </w:rPr>
        <w:t>granted;</w:t>
      </w:r>
    </w:p>
    <w:p w:rsidR="004E13A5" w:rsidRDefault="00681463">
      <w:pPr>
        <w:pStyle w:val="ListParagraph"/>
        <w:numPr>
          <w:ilvl w:val="0"/>
          <w:numId w:val="52"/>
        </w:numPr>
        <w:tabs>
          <w:tab w:val="left" w:pos="1180"/>
          <w:tab w:val="left" w:pos="1181"/>
        </w:tabs>
        <w:ind w:right="633" w:firstLine="0"/>
        <w:rPr>
          <w:sz w:val="24"/>
        </w:rPr>
      </w:pPr>
      <w:r>
        <w:rPr>
          <w:sz w:val="24"/>
        </w:rPr>
        <w:t>Statement regarding alternative existing housing available for lease under the HCV program or other assisted housing if the waiver is</w:t>
      </w:r>
      <w:r>
        <w:rPr>
          <w:spacing w:val="-8"/>
          <w:sz w:val="24"/>
        </w:rPr>
        <w:t xml:space="preserve"> </w:t>
      </w:r>
      <w:r>
        <w:rPr>
          <w:sz w:val="24"/>
        </w:rPr>
        <w:t>denied;</w:t>
      </w:r>
    </w:p>
    <w:p w:rsidR="004E13A5" w:rsidRDefault="00681463">
      <w:pPr>
        <w:pStyle w:val="ListParagraph"/>
        <w:numPr>
          <w:ilvl w:val="0"/>
          <w:numId w:val="52"/>
        </w:numPr>
        <w:tabs>
          <w:tab w:val="left" w:pos="1180"/>
          <w:tab w:val="left" w:pos="1181"/>
        </w:tabs>
        <w:ind w:right="465" w:firstLine="0"/>
        <w:rPr>
          <w:sz w:val="24"/>
        </w:rPr>
      </w:pPr>
      <w:r>
        <w:rPr>
          <w:sz w:val="24"/>
        </w:rPr>
        <w:t>If the case involves a hardship for a particular family, statement of the</w:t>
      </w:r>
      <w:r>
        <w:rPr>
          <w:spacing w:val="-17"/>
          <w:sz w:val="24"/>
        </w:rPr>
        <w:t xml:space="preserve"> </w:t>
      </w:r>
      <w:r>
        <w:rPr>
          <w:sz w:val="24"/>
        </w:rPr>
        <w:t>circumstances and discussion of possible</w:t>
      </w:r>
      <w:r>
        <w:rPr>
          <w:spacing w:val="-10"/>
          <w:sz w:val="24"/>
        </w:rPr>
        <w:t xml:space="preserve"> </w:t>
      </w:r>
      <w:r>
        <w:rPr>
          <w:sz w:val="24"/>
        </w:rPr>
        <w:t>alternatives;</w:t>
      </w:r>
    </w:p>
    <w:p w:rsidR="004E13A5" w:rsidRDefault="004E13A5">
      <w:pPr>
        <w:rPr>
          <w:sz w:val="24"/>
        </w:rPr>
        <w:sectPr w:rsidR="004E13A5">
          <w:pgSz w:w="12240" w:h="15840"/>
          <w:pgMar w:top="1000" w:right="1220" w:bottom="1240" w:left="1220" w:header="0" w:footer="1023" w:gutter="0"/>
          <w:cols w:space="720"/>
        </w:sectPr>
      </w:pPr>
    </w:p>
    <w:p w:rsidR="004E13A5" w:rsidRDefault="00681463">
      <w:pPr>
        <w:pStyle w:val="ListParagraph"/>
        <w:numPr>
          <w:ilvl w:val="0"/>
          <w:numId w:val="52"/>
        </w:numPr>
        <w:tabs>
          <w:tab w:val="left" w:pos="1180"/>
          <w:tab w:val="left" w:pos="1181"/>
        </w:tabs>
        <w:spacing w:before="79"/>
        <w:ind w:right="388" w:firstLine="0"/>
        <w:jc w:val="both"/>
        <w:rPr>
          <w:sz w:val="24"/>
        </w:rPr>
      </w:pPr>
      <w:r>
        <w:rPr>
          <w:sz w:val="24"/>
        </w:rPr>
        <w:lastRenderedPageBreak/>
        <w:t>If the case involves a public official or member of the governing body, explanation</w:t>
      </w:r>
      <w:r>
        <w:rPr>
          <w:spacing w:val="-13"/>
          <w:sz w:val="24"/>
        </w:rPr>
        <w:t xml:space="preserve"> </w:t>
      </w:r>
      <w:r>
        <w:rPr>
          <w:sz w:val="24"/>
        </w:rPr>
        <w:t>of theirtheir duties under state or local law, including reference to any responsibilities involving the HCV</w:t>
      </w:r>
      <w:r>
        <w:rPr>
          <w:spacing w:val="-7"/>
          <w:sz w:val="24"/>
        </w:rPr>
        <w:t xml:space="preserve"> </w:t>
      </w:r>
      <w:r>
        <w:rPr>
          <w:sz w:val="24"/>
        </w:rPr>
        <w:t>program;</w:t>
      </w:r>
    </w:p>
    <w:p w:rsidR="004E13A5" w:rsidRDefault="00681463">
      <w:pPr>
        <w:pStyle w:val="ListParagraph"/>
        <w:numPr>
          <w:ilvl w:val="0"/>
          <w:numId w:val="52"/>
        </w:numPr>
        <w:tabs>
          <w:tab w:val="left" w:pos="1180"/>
          <w:tab w:val="left" w:pos="1181"/>
        </w:tabs>
        <w:spacing w:before="120"/>
        <w:ind w:right="104" w:firstLine="0"/>
        <w:rPr>
          <w:sz w:val="24"/>
        </w:rPr>
      </w:pPr>
      <w:r>
        <w:rPr>
          <w:sz w:val="24"/>
        </w:rPr>
        <w:t>If the case involves employment of a family member by the PHA or assistance under the HCV program for an eligible PHA employee, explanation of the responsibilities and duties of the position, including any related to the HCV</w:t>
      </w:r>
      <w:r>
        <w:rPr>
          <w:spacing w:val="-8"/>
          <w:sz w:val="24"/>
        </w:rPr>
        <w:t xml:space="preserve"> </w:t>
      </w:r>
      <w:r>
        <w:rPr>
          <w:sz w:val="24"/>
        </w:rPr>
        <w:t>program;</w:t>
      </w:r>
    </w:p>
    <w:p w:rsidR="004E13A5" w:rsidRDefault="00681463">
      <w:pPr>
        <w:pStyle w:val="ListParagraph"/>
        <w:numPr>
          <w:ilvl w:val="0"/>
          <w:numId w:val="52"/>
        </w:numPr>
        <w:tabs>
          <w:tab w:val="left" w:pos="1180"/>
          <w:tab w:val="left" w:pos="1181"/>
        </w:tabs>
        <w:spacing w:before="120"/>
        <w:ind w:right="320" w:firstLine="0"/>
        <w:rPr>
          <w:sz w:val="24"/>
        </w:rPr>
      </w:pPr>
      <w:r>
        <w:rPr>
          <w:sz w:val="24"/>
        </w:rPr>
        <w:t>If the case involves an investment on the part of a member, officer, or employee of</w:t>
      </w:r>
      <w:r>
        <w:rPr>
          <w:spacing w:val="-15"/>
          <w:sz w:val="24"/>
        </w:rPr>
        <w:t xml:space="preserve"> </w:t>
      </w:r>
      <w:r>
        <w:rPr>
          <w:sz w:val="24"/>
        </w:rPr>
        <w:t>the PHA, description of the nature of the investment, including disclosure/divestiture</w:t>
      </w:r>
      <w:r>
        <w:rPr>
          <w:spacing w:val="-13"/>
          <w:sz w:val="24"/>
        </w:rPr>
        <w:t xml:space="preserve"> </w:t>
      </w:r>
      <w:r>
        <w:rPr>
          <w:sz w:val="24"/>
        </w:rPr>
        <w:t>plans.</w:t>
      </w:r>
    </w:p>
    <w:p w:rsidR="004E13A5" w:rsidRDefault="00681463">
      <w:pPr>
        <w:pStyle w:val="BodyText"/>
        <w:spacing w:before="120"/>
      </w:pPr>
      <w:r>
        <w:t>Where the PHA has requested a conflict of interest waiver, the PHA may not execute the HAP contract until HUD has made a decision on the waiver request.</w:t>
      </w:r>
    </w:p>
    <w:p w:rsidR="004E13A5" w:rsidRDefault="00681463">
      <w:pPr>
        <w:pStyle w:val="BodyText"/>
        <w:spacing w:before="120"/>
        <w:ind w:left="820"/>
      </w:pPr>
      <w:r>
        <w:rPr>
          <w:u w:val="single"/>
        </w:rPr>
        <w:t>PHA Policy</w:t>
      </w:r>
    </w:p>
    <w:p w:rsidR="004E13A5" w:rsidRDefault="00681463">
      <w:pPr>
        <w:pStyle w:val="BodyText"/>
        <w:spacing w:before="120"/>
        <w:ind w:left="820" w:right="555"/>
      </w:pPr>
      <w:r>
        <w:t>In considering whether to request a conflict of interest waiver from HUD, the PHA will consider certain factors such as consistency of the waiver with state and local laws, the existence of alternative housing available to families, the individual circumstances of a particular family, the specific duties of individuals whose positions present a possible conflict of interest, the nature of any financial investment in the property and plans for disclosure/divestiture, and the possible appearance of impropriety.</w:t>
      </w:r>
    </w:p>
    <w:p w:rsidR="004E13A5" w:rsidRDefault="00681463">
      <w:pPr>
        <w:pStyle w:val="Heading4"/>
        <w:spacing w:before="120"/>
      </w:pPr>
      <w:r>
        <w:t>Owner Actions That May Result in Disapproval of a Tenancy Request [24 CFR 982.306(c)]</w:t>
      </w:r>
    </w:p>
    <w:p w:rsidR="004E13A5" w:rsidRDefault="00681463">
      <w:pPr>
        <w:pStyle w:val="BodyText"/>
        <w:spacing w:before="120"/>
      </w:pPr>
      <w:r>
        <w:t>HUD regulations permit the PHA to disapprove a request for tenancy for various actions and inactions of the owner.</w:t>
      </w:r>
    </w:p>
    <w:p w:rsidR="004E13A5" w:rsidRDefault="00681463">
      <w:pPr>
        <w:pStyle w:val="BodyText"/>
        <w:spacing w:before="120"/>
        <w:ind w:right="755"/>
      </w:pPr>
      <w:r>
        <w:t>If the PHA disapproves a request for tenancy because an owner is not qualified, it may not terminate the HAP contract for any assisted families that are already living in the owner’s properties unless the owner has violated the HAP contract for those units [HCV GB p. 11-4].</w:t>
      </w:r>
    </w:p>
    <w:p w:rsidR="004E13A5" w:rsidRDefault="00681463">
      <w:pPr>
        <w:pStyle w:val="BodyText"/>
        <w:spacing w:before="120"/>
        <w:ind w:left="820"/>
      </w:pPr>
      <w:r>
        <w:rPr>
          <w:u w:val="single"/>
        </w:rPr>
        <w:t>PHA Policy</w:t>
      </w:r>
    </w:p>
    <w:p w:rsidR="004E13A5" w:rsidRDefault="00681463">
      <w:pPr>
        <w:pStyle w:val="BodyText"/>
        <w:ind w:left="820" w:right="103"/>
      </w:pPr>
      <w:r>
        <w:t>The PHA will refuse to approve a request for tenancy if the PHA becomes aware that any of the following are true:</w:t>
      </w:r>
    </w:p>
    <w:p w:rsidR="004E13A5" w:rsidRDefault="00681463">
      <w:pPr>
        <w:pStyle w:val="BodyText"/>
        <w:ind w:left="1540" w:right="542"/>
      </w:pPr>
      <w:r>
        <w:t>The owner has violated obligations under a HAP contract under Section 8 of the 1937 Act (42 U.S.C. 1437f);</w:t>
      </w:r>
    </w:p>
    <w:p w:rsidR="004E13A5" w:rsidRDefault="00681463">
      <w:pPr>
        <w:pStyle w:val="BodyText"/>
        <w:ind w:left="1540" w:right="682"/>
      </w:pPr>
      <w:r>
        <w:t>The owner has committed fraud, bribery or any other corrupt or criminal act in connection with any federal housing program;</w:t>
      </w:r>
    </w:p>
    <w:p w:rsidR="004E13A5" w:rsidRDefault="00681463">
      <w:pPr>
        <w:pStyle w:val="BodyText"/>
        <w:ind w:left="1540" w:right="189"/>
      </w:pPr>
      <w:r>
        <w:t>The owner has engaged in any drug-related criminal activity or any violent criminal activity;</w:t>
      </w:r>
    </w:p>
    <w:p w:rsidR="004E13A5" w:rsidRDefault="00681463">
      <w:pPr>
        <w:pStyle w:val="BodyText"/>
        <w:ind w:left="1540" w:right="82"/>
      </w:pPr>
      <w:r>
        <w:t xml:space="preserve">The owner has a history or practice of non-compliance with the </w:t>
      </w:r>
      <w:r w:rsidR="002C4221">
        <w:t>NSPIRE</w:t>
      </w:r>
      <w:r>
        <w:t xml:space="preserve"> for units leased under the tenant-based programs, or with applicable housing standards for units leased with project-based Section 8 assistance or leased under any other federal housing program;</w:t>
      </w:r>
    </w:p>
    <w:p w:rsidR="004E13A5" w:rsidRDefault="00681463">
      <w:pPr>
        <w:pStyle w:val="BodyText"/>
        <w:ind w:left="1540"/>
      </w:pPr>
      <w:r>
        <w:t>The owner has a history or practice of failing to terminate tenancy of tenants of units assisted under Section 8 or any other federally assisted housing program for activity engaged in by the tenant, any member of the household, a guest or another person under the control of any member of the household that:</w:t>
      </w:r>
    </w:p>
    <w:p w:rsidR="004E13A5" w:rsidRDefault="00681463">
      <w:pPr>
        <w:pStyle w:val="ListParagraph"/>
        <w:numPr>
          <w:ilvl w:val="1"/>
          <w:numId w:val="54"/>
        </w:numPr>
        <w:tabs>
          <w:tab w:val="left" w:pos="2260"/>
          <w:tab w:val="left" w:pos="2261"/>
        </w:tabs>
        <w:rPr>
          <w:sz w:val="24"/>
        </w:rPr>
      </w:pPr>
      <w:r>
        <w:rPr>
          <w:sz w:val="24"/>
        </w:rPr>
        <w:t>Threatens the right to peaceful enjoyment of the premises by other</w:t>
      </w:r>
      <w:r>
        <w:rPr>
          <w:spacing w:val="-12"/>
          <w:sz w:val="24"/>
        </w:rPr>
        <w:t xml:space="preserve"> </w:t>
      </w:r>
      <w:r>
        <w:rPr>
          <w:sz w:val="24"/>
        </w:rPr>
        <w:t>residents;</w:t>
      </w:r>
    </w:p>
    <w:p w:rsidR="004E13A5" w:rsidRDefault="004E13A5">
      <w:pPr>
        <w:rPr>
          <w:sz w:val="24"/>
        </w:rPr>
        <w:sectPr w:rsidR="004E13A5">
          <w:pgSz w:w="12240" w:h="15840"/>
          <w:pgMar w:top="1000" w:right="1220" w:bottom="1240" w:left="1220" w:header="0" w:footer="1023" w:gutter="0"/>
          <w:cols w:space="720"/>
        </w:sectPr>
      </w:pPr>
    </w:p>
    <w:p w:rsidR="004E13A5" w:rsidRDefault="00681463">
      <w:pPr>
        <w:pStyle w:val="ListParagraph"/>
        <w:numPr>
          <w:ilvl w:val="1"/>
          <w:numId w:val="54"/>
        </w:numPr>
        <w:tabs>
          <w:tab w:val="left" w:pos="2320"/>
          <w:tab w:val="left" w:pos="2321"/>
        </w:tabs>
        <w:spacing w:before="79"/>
        <w:ind w:right="100"/>
        <w:rPr>
          <w:sz w:val="24"/>
        </w:rPr>
      </w:pPr>
      <w:r>
        <w:rPr>
          <w:sz w:val="24"/>
        </w:rPr>
        <w:lastRenderedPageBreak/>
        <w:t>(ii) Threatens the health or safety of other residents, of employees of the PHA, or of owner employees or other persons engaged in management of the housing;</w:t>
      </w:r>
    </w:p>
    <w:p w:rsidR="004E13A5" w:rsidRDefault="00681463">
      <w:pPr>
        <w:pStyle w:val="ListParagraph"/>
        <w:numPr>
          <w:ilvl w:val="1"/>
          <w:numId w:val="54"/>
        </w:numPr>
        <w:tabs>
          <w:tab w:val="left" w:pos="2260"/>
          <w:tab w:val="left" w:pos="2261"/>
        </w:tabs>
        <w:spacing w:before="120"/>
        <w:ind w:right="359"/>
        <w:rPr>
          <w:sz w:val="24"/>
        </w:rPr>
      </w:pPr>
      <w:r>
        <w:rPr>
          <w:sz w:val="24"/>
        </w:rPr>
        <w:t>(iii) Threatens the health or safety of, or the right to peaceful enjoyment of their residences, by persons residing in the immediate vicinity of the premises;</w:t>
      </w:r>
      <w:r>
        <w:rPr>
          <w:spacing w:val="-4"/>
          <w:sz w:val="24"/>
        </w:rPr>
        <w:t xml:space="preserve"> </w:t>
      </w:r>
      <w:r>
        <w:rPr>
          <w:sz w:val="24"/>
        </w:rPr>
        <w:t>or</w:t>
      </w:r>
    </w:p>
    <w:p w:rsidR="004E13A5" w:rsidRDefault="00681463">
      <w:pPr>
        <w:pStyle w:val="ListParagraph"/>
        <w:numPr>
          <w:ilvl w:val="1"/>
          <w:numId w:val="54"/>
        </w:numPr>
        <w:tabs>
          <w:tab w:val="left" w:pos="2260"/>
          <w:tab w:val="left" w:pos="2261"/>
        </w:tabs>
        <w:spacing w:before="120"/>
        <w:rPr>
          <w:sz w:val="24"/>
        </w:rPr>
      </w:pPr>
      <w:r>
        <w:rPr>
          <w:sz w:val="24"/>
        </w:rPr>
        <w:t>(iv) Is drug-related criminal activity or violent criminal</w:t>
      </w:r>
      <w:r>
        <w:rPr>
          <w:spacing w:val="-17"/>
          <w:sz w:val="24"/>
        </w:rPr>
        <w:t xml:space="preserve"> </w:t>
      </w:r>
      <w:r>
        <w:rPr>
          <w:sz w:val="24"/>
        </w:rPr>
        <w:t>activity;</w:t>
      </w:r>
    </w:p>
    <w:p w:rsidR="004E13A5" w:rsidRDefault="00681463">
      <w:pPr>
        <w:pStyle w:val="BodyText"/>
        <w:spacing w:before="120"/>
        <w:ind w:left="1540" w:right="449"/>
      </w:pPr>
      <w:r>
        <w:t>The owner has a history or practice of renting units that fail to meet state or local housing codes; or</w:t>
      </w:r>
    </w:p>
    <w:p w:rsidR="004E13A5" w:rsidRDefault="00681463">
      <w:pPr>
        <w:pStyle w:val="BodyText"/>
        <w:spacing w:before="120"/>
        <w:ind w:left="1540"/>
      </w:pPr>
      <w:r>
        <w:t>The owner has not paid state or local real estate taxes, fines, or assessment.</w:t>
      </w:r>
    </w:p>
    <w:p w:rsidR="004E13A5" w:rsidRDefault="00681463">
      <w:pPr>
        <w:pStyle w:val="BodyText"/>
        <w:spacing w:before="120"/>
        <w:ind w:left="820" w:right="138"/>
      </w:pPr>
      <w:r>
        <w:t>In considering whether to disapprove owners for any of the discretionary reasons listed above, the PHA will consider any mitigating factors. Such factors may include, but are not limited to, the seriousness of the violation in relation to program requirements, the impact on the ability of families to lease units under the program, health and safety of participating families, among others. Upon consideration of such circumstances, the PHA may, on a case-by-case basis, choose to approve an owner.</w:t>
      </w:r>
    </w:p>
    <w:p w:rsidR="004E13A5" w:rsidRDefault="00681463">
      <w:pPr>
        <w:pStyle w:val="Heading4"/>
        <w:spacing w:before="120"/>
      </w:pPr>
      <w:bookmarkStart w:id="190" w:name="_TOC_250238"/>
      <w:bookmarkEnd w:id="190"/>
      <w:r>
        <w:t>Legal Ownership of Unit</w:t>
      </w:r>
    </w:p>
    <w:p w:rsidR="004E13A5" w:rsidRDefault="00681463">
      <w:pPr>
        <w:pStyle w:val="BodyText"/>
        <w:spacing w:before="120"/>
        <w:ind w:right="115"/>
      </w:pPr>
      <w:r>
        <w:t>The following represents PHA policy on legal ownership of a dwelling unit to be assisted under the HCV program.</w:t>
      </w:r>
    </w:p>
    <w:p w:rsidR="004E13A5" w:rsidRDefault="00681463">
      <w:pPr>
        <w:pStyle w:val="BodyText"/>
        <w:spacing w:before="120"/>
        <w:ind w:left="820"/>
      </w:pPr>
      <w:r>
        <w:rPr>
          <w:u w:val="single"/>
        </w:rPr>
        <w:t>PHA Policy</w:t>
      </w:r>
    </w:p>
    <w:p w:rsidR="004E13A5" w:rsidRDefault="00681463">
      <w:pPr>
        <w:pStyle w:val="BodyText"/>
        <w:spacing w:before="120"/>
        <w:ind w:left="820" w:right="282"/>
      </w:pPr>
      <w:r>
        <w:t>The PHA will only enter into a contractual relationship with the legal owner of a qualified unit. No tenancy will be approved without acceptable documentation of legal ownership (e.g., deed of trust, proof of taxes for most recent year).</w:t>
      </w:r>
    </w:p>
    <w:p w:rsidR="004E13A5" w:rsidRDefault="004E13A5">
      <w:pPr>
        <w:pStyle w:val="BodyText"/>
        <w:spacing w:before="10"/>
        <w:ind w:left="0"/>
        <w:rPr>
          <w:sz w:val="20"/>
        </w:rPr>
      </w:pPr>
    </w:p>
    <w:p w:rsidR="004E13A5" w:rsidRDefault="00681463">
      <w:pPr>
        <w:pStyle w:val="Heading4"/>
      </w:pPr>
      <w:bookmarkStart w:id="191" w:name="_TOC_250237"/>
      <w:bookmarkEnd w:id="191"/>
      <w:r>
        <w:t>13-I.E. NON-DISCRIMINATION [HAP Contract – Form HUD-52641]</w:t>
      </w:r>
    </w:p>
    <w:p w:rsidR="004E13A5" w:rsidRDefault="00681463">
      <w:pPr>
        <w:pStyle w:val="BodyText"/>
        <w:ind w:right="101"/>
      </w:pPr>
      <w:r>
        <w:t>The owner must not discriminate against any person because of race, color, religion, sex, national origin, age, familial status, or disability, in connection with any actions or responsibilities under the HCV program and the HAP contract with the PHA.</w:t>
      </w:r>
    </w:p>
    <w:p w:rsidR="004E13A5" w:rsidRDefault="00681463">
      <w:pPr>
        <w:pStyle w:val="BodyText"/>
        <w:ind w:right="116"/>
      </w:pPr>
      <w:r>
        <w:t>The owner must cooperate with the PHA and with HUD in conducting any equal opportunity compliance reviews and complaint investigations in connection with the HCV program and the HAP contract with the PHA.</w:t>
      </w:r>
    </w:p>
    <w:p w:rsidR="004E13A5" w:rsidRDefault="00681463">
      <w:pPr>
        <w:pStyle w:val="BodyText"/>
      </w:pPr>
      <w:r>
        <w:t>See Chapter 2 for a more thorough discussion of Fair Housing and Equal Opportunity requirements in the HCV program.</w:t>
      </w:r>
    </w:p>
    <w:p w:rsidR="004E13A5" w:rsidRDefault="004E13A5">
      <w:pPr>
        <w:pStyle w:val="BodyText"/>
        <w:spacing w:before="0"/>
        <w:ind w:left="0"/>
        <w:rPr>
          <w:sz w:val="13"/>
        </w:rPr>
      </w:pPr>
    </w:p>
    <w:p w:rsidR="004E13A5" w:rsidRDefault="00681463">
      <w:pPr>
        <w:pStyle w:val="Heading4"/>
        <w:spacing w:before="90"/>
        <w:ind w:left="3353"/>
      </w:pPr>
      <w:bookmarkStart w:id="192" w:name="_TOC_250236"/>
      <w:bookmarkEnd w:id="192"/>
      <w:r>
        <w:t>PART II. HAP CONTRACTS</w:t>
      </w:r>
    </w:p>
    <w:p w:rsidR="004E13A5" w:rsidRDefault="004E13A5">
      <w:pPr>
        <w:pStyle w:val="BodyText"/>
        <w:spacing w:before="9"/>
        <w:ind w:left="0"/>
        <w:rPr>
          <w:b/>
          <w:sz w:val="20"/>
        </w:rPr>
      </w:pPr>
    </w:p>
    <w:p w:rsidR="004E13A5" w:rsidRDefault="00681463">
      <w:pPr>
        <w:pStyle w:val="Heading4"/>
      </w:pPr>
      <w:bookmarkStart w:id="193" w:name="_TOC_250235"/>
      <w:bookmarkEnd w:id="193"/>
      <w:r>
        <w:t>13-II.A. OVERVIEW</w:t>
      </w:r>
    </w:p>
    <w:p w:rsidR="004E13A5" w:rsidRDefault="00681463">
      <w:pPr>
        <w:pStyle w:val="BodyText"/>
        <w:ind w:right="228"/>
      </w:pPr>
      <w:r>
        <w:t>The HAP contract represents a written agreement between the PHA and the owner of the dwelling unit occupied by a HCV assisted family. The contract spells out the owner’s responsibilities under the program, as well as the PHA’s obligations. Under the HAP contract, the PHA agrees to make housing assistance payments to the owner on behalf of the family approved by the PHA to occupy the unit.</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right="176"/>
      </w:pPr>
      <w:r>
        <w:lastRenderedPageBreak/>
        <w:t>The HAP contract is used for all HCV tenant-based program tenancies except for assistance under the Section 8 homeownership program, and assistance to families that own a manufactured home and use their assistance to lease the space for the manufactured home. See chapter 15 for a discussion of any special housing types included in the PHA’s HCV program.</w:t>
      </w:r>
    </w:p>
    <w:p w:rsidR="004E13A5" w:rsidRDefault="00681463">
      <w:pPr>
        <w:pStyle w:val="BodyText"/>
        <w:spacing w:before="120"/>
        <w:ind w:right="229"/>
      </w:pPr>
      <w:r>
        <w:t>When the PHA has determined that the unit meets program requirements and the tenancy is approvable, the PHA and owner must execute the HAP contract. See chapter 9 for a discussion of the leasing process, including provisions for execution of the HAP contract.</w:t>
      </w:r>
    </w:p>
    <w:p w:rsidR="004E13A5" w:rsidRDefault="004E13A5">
      <w:pPr>
        <w:pStyle w:val="BodyText"/>
        <w:spacing w:before="10"/>
        <w:ind w:left="0"/>
        <w:rPr>
          <w:sz w:val="20"/>
        </w:rPr>
      </w:pPr>
    </w:p>
    <w:p w:rsidR="004E13A5" w:rsidRDefault="00681463">
      <w:pPr>
        <w:pStyle w:val="Heading4"/>
      </w:pPr>
      <w:bookmarkStart w:id="194" w:name="_TOC_250234"/>
      <w:bookmarkEnd w:id="194"/>
      <w:r>
        <w:t>13-II.B. HAP CONTRACT CONTENTS</w:t>
      </w:r>
    </w:p>
    <w:p w:rsidR="004E13A5" w:rsidRDefault="00681463">
      <w:pPr>
        <w:pStyle w:val="BodyText"/>
        <w:spacing w:before="120"/>
      </w:pPr>
      <w:r>
        <w:t>The HAP contract format is required by HUD, specifically Housing Assistance Payment (HAP) Contract, Form HUD-52641.</w:t>
      </w:r>
    </w:p>
    <w:p w:rsidR="004E13A5" w:rsidRDefault="00681463">
      <w:pPr>
        <w:pStyle w:val="BodyText"/>
        <w:spacing w:before="120"/>
      </w:pPr>
      <w:r>
        <w:t>The HAP contract contains three parts.</w:t>
      </w:r>
    </w:p>
    <w:p w:rsidR="004E13A5" w:rsidRDefault="00681463">
      <w:pPr>
        <w:pStyle w:val="BodyText"/>
        <w:spacing w:before="120"/>
        <w:ind w:right="136"/>
      </w:pPr>
      <w:r>
        <w:t>Part A of the contract includes basic contract information: the names of the tenant and all household members, the address of the contract unit, start and end dates of initial lease term, the amount of initial monthly rent to owner, the amount of initial housing assistance payment, the utilities and appliances to be supplied by owner and tenant, and the signatures of the PHA representative and owner [HCV Guidebook, pp. 11-10 and 11-11].</w:t>
      </w:r>
    </w:p>
    <w:p w:rsidR="004E13A5" w:rsidRDefault="00681463">
      <w:pPr>
        <w:pStyle w:val="BodyText"/>
        <w:spacing w:before="120"/>
        <w:ind w:right="89"/>
      </w:pPr>
      <w:r>
        <w:t>In general, the HAP contract cannot be modified. However, PHAs do have the discretion to add language to Part A of the HAP contract which prohibits the owner from collecting a security deposit in excess of private market practices or in excess of amounts charged to unassisted tenants. PHA policy on the amount of security deposit an owner may collect is found in Chapter 9.</w:t>
      </w:r>
    </w:p>
    <w:p w:rsidR="004E13A5" w:rsidRDefault="00681463">
      <w:pPr>
        <w:pStyle w:val="BodyText"/>
        <w:spacing w:before="120"/>
        <w:ind w:right="95"/>
      </w:pPr>
      <w:r>
        <w:t>PHAs also have the discretion to add language to Part A of the HAP contract that defines when the housing assistance payment by the PHA is deemed received by the owner (e.g., upon mailing by the PHA or actual receipt by the owner).</w:t>
      </w:r>
    </w:p>
    <w:p w:rsidR="004E13A5" w:rsidRDefault="00681463">
      <w:pPr>
        <w:pStyle w:val="BodyText"/>
        <w:spacing w:before="120"/>
        <w:ind w:left="820"/>
      </w:pPr>
      <w:r>
        <w:rPr>
          <w:u w:val="single"/>
        </w:rPr>
        <w:t>PHA Policy</w:t>
      </w:r>
    </w:p>
    <w:p w:rsidR="004E13A5" w:rsidRDefault="00681463">
      <w:pPr>
        <w:pStyle w:val="BodyText"/>
        <w:ind w:left="820" w:right="75"/>
      </w:pPr>
      <w:r>
        <w:t>The PHA has not adopted a policy that defines when the housing assistance payment by the PHA is deemed received by the owner. Therefore, no modifications to the HAP contract will be necessary.</w:t>
      </w:r>
    </w:p>
    <w:p w:rsidR="004E13A5" w:rsidRDefault="00681463">
      <w:pPr>
        <w:pStyle w:val="BodyText"/>
        <w:ind w:right="215"/>
      </w:pPr>
      <w:r>
        <w:t>Part B is the body of the contract. It describes in detail program requirements affecting the owner and owner roles and responsibilities under the HCV program. Most of the requirements contained in Part B of the HAP contract are outlined elsewhere in this plan. Topics addressed in Part B include:</w:t>
      </w:r>
    </w:p>
    <w:p w:rsidR="004E13A5" w:rsidRDefault="00681463">
      <w:pPr>
        <w:pStyle w:val="ListParagraph"/>
        <w:numPr>
          <w:ilvl w:val="0"/>
          <w:numId w:val="52"/>
        </w:numPr>
        <w:tabs>
          <w:tab w:val="left" w:pos="805"/>
          <w:tab w:val="left" w:pos="806"/>
        </w:tabs>
        <w:spacing w:before="98"/>
        <w:ind w:left="806" w:hanging="346"/>
        <w:rPr>
          <w:sz w:val="24"/>
        </w:rPr>
      </w:pPr>
      <w:r>
        <w:rPr>
          <w:sz w:val="24"/>
        </w:rPr>
        <w:t>Lease of Contract</w:t>
      </w:r>
      <w:r>
        <w:rPr>
          <w:spacing w:val="-5"/>
          <w:sz w:val="24"/>
        </w:rPr>
        <w:t xml:space="preserve"> </w:t>
      </w:r>
      <w:r>
        <w:rPr>
          <w:sz w:val="24"/>
        </w:rPr>
        <w:t>Unit</w:t>
      </w:r>
    </w:p>
    <w:p w:rsidR="004E13A5" w:rsidRDefault="00681463">
      <w:pPr>
        <w:pStyle w:val="ListParagraph"/>
        <w:numPr>
          <w:ilvl w:val="0"/>
          <w:numId w:val="52"/>
        </w:numPr>
        <w:tabs>
          <w:tab w:val="left" w:pos="805"/>
          <w:tab w:val="left" w:pos="806"/>
        </w:tabs>
        <w:spacing w:before="101"/>
        <w:ind w:left="806" w:hanging="346"/>
        <w:rPr>
          <w:sz w:val="24"/>
        </w:rPr>
      </w:pPr>
      <w:r>
        <w:rPr>
          <w:sz w:val="24"/>
        </w:rPr>
        <w:t>Maintenance, Utilities, and Other</w:t>
      </w:r>
      <w:r>
        <w:rPr>
          <w:spacing w:val="-10"/>
          <w:sz w:val="24"/>
        </w:rPr>
        <w:t xml:space="preserve"> </w:t>
      </w:r>
      <w:r>
        <w:rPr>
          <w:sz w:val="24"/>
        </w:rPr>
        <w:t>Services</w:t>
      </w:r>
    </w:p>
    <w:p w:rsidR="004E13A5" w:rsidRDefault="00681463">
      <w:pPr>
        <w:pStyle w:val="ListParagraph"/>
        <w:numPr>
          <w:ilvl w:val="0"/>
          <w:numId w:val="52"/>
        </w:numPr>
        <w:tabs>
          <w:tab w:val="left" w:pos="805"/>
          <w:tab w:val="left" w:pos="806"/>
        </w:tabs>
        <w:spacing w:before="101"/>
        <w:ind w:left="806" w:hanging="346"/>
        <w:rPr>
          <w:sz w:val="24"/>
        </w:rPr>
      </w:pPr>
      <w:r>
        <w:rPr>
          <w:sz w:val="24"/>
        </w:rPr>
        <w:t>Term of HAP</w:t>
      </w:r>
      <w:r>
        <w:rPr>
          <w:spacing w:val="-5"/>
          <w:sz w:val="24"/>
        </w:rPr>
        <w:t xml:space="preserve"> </w:t>
      </w:r>
      <w:r>
        <w:rPr>
          <w:sz w:val="24"/>
        </w:rPr>
        <w:t>Contract</w:t>
      </w:r>
    </w:p>
    <w:p w:rsidR="004E13A5" w:rsidRDefault="00681463">
      <w:pPr>
        <w:pStyle w:val="ListParagraph"/>
        <w:numPr>
          <w:ilvl w:val="0"/>
          <w:numId w:val="52"/>
        </w:numPr>
        <w:tabs>
          <w:tab w:val="left" w:pos="805"/>
          <w:tab w:val="left" w:pos="806"/>
        </w:tabs>
        <w:spacing w:before="98"/>
        <w:ind w:left="806" w:hanging="346"/>
        <w:rPr>
          <w:sz w:val="24"/>
        </w:rPr>
      </w:pPr>
      <w:r>
        <w:rPr>
          <w:sz w:val="24"/>
        </w:rPr>
        <w:t>Provision and Payment of Utilities and</w:t>
      </w:r>
      <w:r>
        <w:rPr>
          <w:spacing w:val="-9"/>
          <w:sz w:val="24"/>
        </w:rPr>
        <w:t xml:space="preserve"> </w:t>
      </w:r>
      <w:r>
        <w:rPr>
          <w:sz w:val="24"/>
        </w:rPr>
        <w:t>Appliances</w:t>
      </w:r>
    </w:p>
    <w:p w:rsidR="004E13A5" w:rsidRDefault="00681463">
      <w:pPr>
        <w:pStyle w:val="ListParagraph"/>
        <w:numPr>
          <w:ilvl w:val="0"/>
          <w:numId w:val="52"/>
        </w:numPr>
        <w:tabs>
          <w:tab w:val="left" w:pos="805"/>
          <w:tab w:val="left" w:pos="806"/>
        </w:tabs>
        <w:spacing w:before="101"/>
        <w:ind w:left="806" w:hanging="346"/>
        <w:rPr>
          <w:sz w:val="24"/>
        </w:rPr>
      </w:pPr>
      <w:r>
        <w:rPr>
          <w:sz w:val="24"/>
        </w:rPr>
        <w:t>Rent to Owner: Reasonable</w:t>
      </w:r>
      <w:r>
        <w:rPr>
          <w:spacing w:val="-6"/>
          <w:sz w:val="24"/>
        </w:rPr>
        <w:t xml:space="preserve"> </w:t>
      </w:r>
      <w:r>
        <w:rPr>
          <w:sz w:val="24"/>
        </w:rPr>
        <w:t>Rent</w:t>
      </w:r>
    </w:p>
    <w:p w:rsidR="004E13A5" w:rsidRDefault="00681463">
      <w:pPr>
        <w:pStyle w:val="ListParagraph"/>
        <w:numPr>
          <w:ilvl w:val="0"/>
          <w:numId w:val="52"/>
        </w:numPr>
        <w:tabs>
          <w:tab w:val="left" w:pos="805"/>
          <w:tab w:val="left" w:pos="806"/>
        </w:tabs>
        <w:spacing w:before="101"/>
        <w:ind w:left="806" w:hanging="346"/>
        <w:rPr>
          <w:sz w:val="24"/>
        </w:rPr>
      </w:pPr>
      <w:r>
        <w:rPr>
          <w:sz w:val="24"/>
        </w:rPr>
        <w:t>PHA Payment to</w:t>
      </w:r>
      <w:r>
        <w:rPr>
          <w:spacing w:val="-6"/>
          <w:sz w:val="24"/>
        </w:rPr>
        <w:t xml:space="preserve"> </w:t>
      </w:r>
      <w:r>
        <w:rPr>
          <w:sz w:val="24"/>
        </w:rPr>
        <w:t>Owner</w:t>
      </w:r>
    </w:p>
    <w:p w:rsidR="004E13A5" w:rsidRDefault="00681463">
      <w:pPr>
        <w:pStyle w:val="ListParagraph"/>
        <w:numPr>
          <w:ilvl w:val="0"/>
          <w:numId w:val="52"/>
        </w:numPr>
        <w:tabs>
          <w:tab w:val="left" w:pos="805"/>
          <w:tab w:val="left" w:pos="806"/>
        </w:tabs>
        <w:spacing w:before="98"/>
        <w:ind w:left="806" w:hanging="346"/>
        <w:rPr>
          <w:sz w:val="24"/>
        </w:rPr>
      </w:pPr>
      <w:r>
        <w:rPr>
          <w:sz w:val="24"/>
        </w:rPr>
        <w:t>Prohibition of</w:t>
      </w:r>
      <w:r>
        <w:rPr>
          <w:spacing w:val="-7"/>
          <w:sz w:val="24"/>
        </w:rPr>
        <w:t xml:space="preserve"> </w:t>
      </w:r>
      <w:r>
        <w:rPr>
          <w:sz w:val="24"/>
        </w:rPr>
        <w:t>Discrimination</w:t>
      </w:r>
    </w:p>
    <w:p w:rsidR="004E13A5" w:rsidRDefault="00681463">
      <w:pPr>
        <w:pStyle w:val="ListParagraph"/>
        <w:numPr>
          <w:ilvl w:val="0"/>
          <w:numId w:val="52"/>
        </w:numPr>
        <w:tabs>
          <w:tab w:val="left" w:pos="805"/>
          <w:tab w:val="left" w:pos="806"/>
        </w:tabs>
        <w:spacing w:before="100"/>
        <w:ind w:left="806" w:hanging="346"/>
        <w:rPr>
          <w:sz w:val="24"/>
        </w:rPr>
      </w:pPr>
      <w:r>
        <w:rPr>
          <w:sz w:val="24"/>
        </w:rPr>
        <w:t>Owner’s Breach of HAP</w:t>
      </w:r>
      <w:r>
        <w:rPr>
          <w:spacing w:val="-7"/>
          <w:sz w:val="24"/>
        </w:rPr>
        <w:t xml:space="preserve"> </w:t>
      </w:r>
      <w:r>
        <w:rPr>
          <w:sz w:val="24"/>
        </w:rPr>
        <w:t>Contract</w:t>
      </w:r>
    </w:p>
    <w:p w:rsidR="004E13A5" w:rsidRDefault="00681463">
      <w:pPr>
        <w:pStyle w:val="ListParagraph"/>
        <w:numPr>
          <w:ilvl w:val="0"/>
          <w:numId w:val="52"/>
        </w:numPr>
        <w:tabs>
          <w:tab w:val="left" w:pos="805"/>
          <w:tab w:val="left" w:pos="806"/>
        </w:tabs>
        <w:spacing w:before="100"/>
        <w:ind w:left="806" w:hanging="346"/>
        <w:rPr>
          <w:sz w:val="24"/>
        </w:rPr>
      </w:pPr>
      <w:r>
        <w:rPr>
          <w:sz w:val="24"/>
        </w:rPr>
        <w:t>PHA and HUD Access to Premises and Owner’s</w:t>
      </w:r>
      <w:r>
        <w:rPr>
          <w:spacing w:val="-9"/>
          <w:sz w:val="24"/>
        </w:rPr>
        <w:t xml:space="preserve"> </w:t>
      </w:r>
      <w:r>
        <w:rPr>
          <w:sz w:val="24"/>
        </w:rPr>
        <w:t>Records</w:t>
      </w:r>
    </w:p>
    <w:p w:rsidR="004E13A5" w:rsidRDefault="004E13A5">
      <w:pPr>
        <w:rPr>
          <w:sz w:val="24"/>
        </w:rPr>
        <w:sectPr w:rsidR="004E13A5">
          <w:pgSz w:w="12240" w:h="15840"/>
          <w:pgMar w:top="1000" w:right="1300" w:bottom="1240" w:left="1220" w:header="0" w:footer="1023" w:gutter="0"/>
          <w:cols w:space="720"/>
        </w:sectPr>
      </w:pPr>
    </w:p>
    <w:p w:rsidR="004E13A5" w:rsidRDefault="00681463">
      <w:pPr>
        <w:pStyle w:val="ListParagraph"/>
        <w:numPr>
          <w:ilvl w:val="0"/>
          <w:numId w:val="52"/>
        </w:numPr>
        <w:tabs>
          <w:tab w:val="left" w:pos="805"/>
          <w:tab w:val="left" w:pos="806"/>
        </w:tabs>
        <w:spacing w:before="79"/>
        <w:ind w:left="806" w:hanging="346"/>
        <w:rPr>
          <w:sz w:val="24"/>
        </w:rPr>
      </w:pPr>
      <w:r>
        <w:rPr>
          <w:sz w:val="24"/>
        </w:rPr>
        <w:lastRenderedPageBreak/>
        <w:t>Exclusion of Third Party</w:t>
      </w:r>
      <w:r>
        <w:rPr>
          <w:spacing w:val="-7"/>
          <w:sz w:val="24"/>
        </w:rPr>
        <w:t xml:space="preserve"> </w:t>
      </w:r>
      <w:r>
        <w:rPr>
          <w:sz w:val="24"/>
        </w:rPr>
        <w:t>Rights</w:t>
      </w:r>
    </w:p>
    <w:p w:rsidR="004E13A5" w:rsidRDefault="00681463">
      <w:pPr>
        <w:pStyle w:val="ListParagraph"/>
        <w:numPr>
          <w:ilvl w:val="0"/>
          <w:numId w:val="52"/>
        </w:numPr>
        <w:tabs>
          <w:tab w:val="left" w:pos="805"/>
          <w:tab w:val="left" w:pos="806"/>
        </w:tabs>
        <w:spacing w:before="101"/>
        <w:ind w:left="806" w:hanging="346"/>
        <w:rPr>
          <w:sz w:val="24"/>
        </w:rPr>
      </w:pPr>
      <w:r>
        <w:rPr>
          <w:sz w:val="24"/>
        </w:rPr>
        <w:t>Conflict of</w:t>
      </w:r>
      <w:r>
        <w:rPr>
          <w:spacing w:val="-8"/>
          <w:sz w:val="24"/>
        </w:rPr>
        <w:t xml:space="preserve"> </w:t>
      </w:r>
      <w:r>
        <w:rPr>
          <w:sz w:val="24"/>
        </w:rPr>
        <w:t>Interest</w:t>
      </w:r>
    </w:p>
    <w:p w:rsidR="004E13A5" w:rsidRDefault="00681463">
      <w:pPr>
        <w:pStyle w:val="ListParagraph"/>
        <w:numPr>
          <w:ilvl w:val="0"/>
          <w:numId w:val="52"/>
        </w:numPr>
        <w:tabs>
          <w:tab w:val="left" w:pos="805"/>
          <w:tab w:val="left" w:pos="806"/>
        </w:tabs>
        <w:spacing w:before="98"/>
        <w:ind w:left="806" w:hanging="346"/>
        <w:rPr>
          <w:sz w:val="24"/>
        </w:rPr>
      </w:pPr>
      <w:r>
        <w:rPr>
          <w:sz w:val="24"/>
        </w:rPr>
        <w:t>Assignment of the HAP</w:t>
      </w:r>
      <w:r>
        <w:rPr>
          <w:spacing w:val="-7"/>
          <w:sz w:val="24"/>
        </w:rPr>
        <w:t xml:space="preserve"> </w:t>
      </w:r>
      <w:r>
        <w:rPr>
          <w:sz w:val="24"/>
        </w:rPr>
        <w:t>Contract</w:t>
      </w:r>
    </w:p>
    <w:p w:rsidR="004E13A5" w:rsidRDefault="00681463">
      <w:pPr>
        <w:pStyle w:val="ListParagraph"/>
        <w:numPr>
          <w:ilvl w:val="0"/>
          <w:numId w:val="52"/>
        </w:numPr>
        <w:tabs>
          <w:tab w:val="left" w:pos="805"/>
          <w:tab w:val="left" w:pos="806"/>
        </w:tabs>
        <w:spacing w:before="100"/>
        <w:ind w:left="806" w:hanging="346"/>
        <w:rPr>
          <w:sz w:val="24"/>
        </w:rPr>
      </w:pPr>
      <w:r>
        <w:rPr>
          <w:sz w:val="24"/>
        </w:rPr>
        <w:t>Written</w:t>
      </w:r>
      <w:r>
        <w:rPr>
          <w:spacing w:val="-3"/>
          <w:sz w:val="24"/>
        </w:rPr>
        <w:t xml:space="preserve"> </w:t>
      </w:r>
      <w:r>
        <w:rPr>
          <w:sz w:val="24"/>
        </w:rPr>
        <w:t>Notices</w:t>
      </w:r>
    </w:p>
    <w:p w:rsidR="004E13A5" w:rsidRDefault="00681463">
      <w:pPr>
        <w:pStyle w:val="ListParagraph"/>
        <w:numPr>
          <w:ilvl w:val="0"/>
          <w:numId w:val="52"/>
        </w:numPr>
        <w:tabs>
          <w:tab w:val="left" w:pos="805"/>
          <w:tab w:val="left" w:pos="806"/>
        </w:tabs>
        <w:spacing w:before="100"/>
        <w:ind w:left="806" w:hanging="346"/>
        <w:rPr>
          <w:sz w:val="24"/>
        </w:rPr>
      </w:pPr>
      <w:r>
        <w:rPr>
          <w:sz w:val="24"/>
        </w:rPr>
        <w:t>Entire Agreement</w:t>
      </w:r>
      <w:r>
        <w:rPr>
          <w:spacing w:val="-6"/>
          <w:sz w:val="24"/>
        </w:rPr>
        <w:t xml:space="preserve"> </w:t>
      </w:r>
      <w:r>
        <w:rPr>
          <w:sz w:val="24"/>
        </w:rPr>
        <w:t>Interpretation</w:t>
      </w:r>
    </w:p>
    <w:p w:rsidR="004E13A5" w:rsidRDefault="00681463">
      <w:pPr>
        <w:pStyle w:val="BodyText"/>
        <w:ind w:right="155"/>
      </w:pPr>
      <w:r>
        <w:t xml:space="preserve">Part C of the contract includes the </w:t>
      </w:r>
      <w:r>
        <w:rPr>
          <w:u w:val="single"/>
        </w:rPr>
        <w:t xml:space="preserve">Tenancy Addendum </w:t>
      </w:r>
      <w:r>
        <w:t>(Form HUD-52641-A). The addendum sets forth the tenancy requirements for the program and the composition of the household, as approved by the PHA. The tenant has the right to enforce the Tenancy Addendum against the owner. The terms of the Tenancy Addendum prevail over any other provisions of the lease.</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57"/>
      </w:pPr>
      <w:bookmarkStart w:id="195" w:name="_TOC_250233"/>
      <w:bookmarkEnd w:id="195"/>
      <w:r>
        <w:t>13-II.C. HAP CONTRACT PAYMENTS</w:t>
      </w:r>
    </w:p>
    <w:p w:rsidR="004E13A5" w:rsidRDefault="00681463">
      <w:pPr>
        <w:pStyle w:val="Heading4"/>
        <w:spacing w:before="120"/>
      </w:pPr>
      <w:bookmarkStart w:id="196" w:name="_TOC_250232"/>
      <w:bookmarkEnd w:id="196"/>
      <w:r>
        <w:t>General</w:t>
      </w:r>
    </w:p>
    <w:p w:rsidR="004E13A5" w:rsidRDefault="00681463">
      <w:pPr>
        <w:pStyle w:val="BodyText"/>
        <w:ind w:right="288"/>
      </w:pPr>
      <w:r>
        <w:t>During the term of the HAP contract, and subject to the provisions of the HAP contract, the PHA must make monthly HAP payments to the owner on behalf of the family, at the beginning of each month. If a lease term begins after the first of the month, the HAP payment for the first month is prorated for a partial month.</w:t>
      </w:r>
    </w:p>
    <w:p w:rsidR="004E13A5" w:rsidRDefault="00681463">
      <w:pPr>
        <w:pStyle w:val="BodyText"/>
        <w:ind w:right="116"/>
      </w:pPr>
      <w:r>
        <w:t>The amount of the HAP payment is determined according to the policies described in Chapter 6, and is subject to change during the term of the HAP contract. The PHA must notify the owner and the family in writing of any changes in the HAP payment.</w:t>
      </w:r>
    </w:p>
    <w:p w:rsidR="004E13A5" w:rsidRDefault="00681463">
      <w:pPr>
        <w:pStyle w:val="BodyText"/>
        <w:ind w:right="135"/>
      </w:pPr>
      <w:r>
        <w:t>HAP payments can be made only during the lease term, and only while the family is residing in the unit.</w:t>
      </w:r>
    </w:p>
    <w:p w:rsidR="004E13A5" w:rsidRDefault="00681463">
      <w:pPr>
        <w:pStyle w:val="BodyText"/>
      </w:pPr>
      <w:r>
        <w:t>The monthly HAP payment by the PHA is credited toward the monthly rent to owner under the family’s lease. The total of the rent paid by the tenant and the HAP payment is equal to the rent to owner as specified in the lease.</w:t>
      </w:r>
    </w:p>
    <w:p w:rsidR="004E13A5" w:rsidRDefault="00681463">
      <w:pPr>
        <w:pStyle w:val="BodyText"/>
        <w:ind w:right="155"/>
      </w:pPr>
      <w:r>
        <w:t>The family is not responsible for payment of the HAP payment, and the PHA is not responsible for payment of the family share of rent.</w:t>
      </w:r>
    </w:p>
    <w:p w:rsidR="004E13A5" w:rsidRDefault="00681463">
      <w:pPr>
        <w:pStyle w:val="BodyText"/>
        <w:ind w:right="103"/>
      </w:pPr>
      <w:r>
        <w:t>The family’s share of the rent cannot be more than the difference between the rent to owner and the HAP payment. The owner may not demand or accept any rent payment from the tenant in excess of this maximum [24 CFR 982.451(b)(4)]. The owner may not charge the tenant extra amounts for items customarily included in rent in the locality, or provided at no additional cost to unsubsidized tenants in the premises [24 CFR 982.510(c)]. See chapter 9 for a discussion of separate, non-lease agreements for services, appliances and other items that are not included in the lease.</w:t>
      </w:r>
    </w:p>
    <w:p w:rsidR="004E13A5" w:rsidRDefault="00681463">
      <w:pPr>
        <w:pStyle w:val="BodyText"/>
        <w:spacing w:before="120"/>
        <w:ind w:right="95"/>
      </w:pPr>
      <w:r>
        <w:t>If the owner receives any excess HAP from the PHA, the excess amount must be returned immediately. If the PHA determines that the owner is not entitled to all or a portion of the HAP, the PHA may deduct the amount of overpayment from any amounts due to the owner, including amounts due under any other Section 8 HCV contract. See Chapter 16 for additional detail on owner reimbursement of HAP overpayments.</w:t>
      </w:r>
    </w:p>
    <w:p w:rsidR="004E13A5" w:rsidRDefault="00681463">
      <w:pPr>
        <w:pStyle w:val="Heading4"/>
        <w:spacing w:before="120"/>
      </w:pPr>
      <w:bookmarkStart w:id="197" w:name="_TOC_250231"/>
      <w:bookmarkEnd w:id="197"/>
      <w:r>
        <w:t>Owner Certification of Compliance</w:t>
      </w:r>
    </w:p>
    <w:p w:rsidR="004E13A5" w:rsidRDefault="00681463">
      <w:pPr>
        <w:pStyle w:val="BodyText"/>
        <w:spacing w:before="120"/>
        <w:ind w:right="148"/>
      </w:pPr>
      <w:r>
        <w:t>Unless the owner complies with all provisions of the HAP contract, the owner is not entitled to receive housing assistance payments under the HAP contract [HAP Contract – Form HUD-52641].</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pPr>
      <w:r>
        <w:lastRenderedPageBreak/>
        <w:t xml:space="preserve">By accepting the monthly check from the PHA, the owner certifies to compliance with the terms of the HAP contract. This includes certification that the owner is maintaining the unit and premises in accordance with </w:t>
      </w:r>
      <w:r w:rsidR="002C4221">
        <w:t>NSPIRE</w:t>
      </w:r>
      <w:r>
        <w:t>; that the contract unit is leased to the tenant family and, to the best of the owner’s knowledge, the family resides in the unit as the family’s only residence; the rent to owner does not exceed rents charged by the owner for comparable unassisted units on the premises; and that the owner does not receive (other than rent to owner) any additional payments or other consideration for rent of the contract unit during the HAP term.</w:t>
      </w:r>
    </w:p>
    <w:p w:rsidR="004E13A5" w:rsidRDefault="00681463">
      <w:pPr>
        <w:pStyle w:val="Heading4"/>
        <w:spacing w:before="120"/>
      </w:pPr>
      <w:bookmarkStart w:id="198" w:name="_TOC_250230"/>
      <w:bookmarkEnd w:id="198"/>
      <w:r>
        <w:t>Late HAP Payments [24 CFR 982.451(a)(5)]</w:t>
      </w:r>
    </w:p>
    <w:p w:rsidR="004E13A5" w:rsidRDefault="00681463">
      <w:pPr>
        <w:pStyle w:val="BodyText"/>
        <w:spacing w:before="120"/>
        <w:ind w:right="82"/>
      </w:pPr>
      <w:r>
        <w:t>The PHA is responsible for making HAP payments promptly when due to the owner, in accordance with the terms of the HAP contract. After the first two calendar months of the HAP contract term, the HAP contract provides for late penalties if the PHA fails to make the HAP payment on time.</w:t>
      </w:r>
    </w:p>
    <w:p w:rsidR="004E13A5" w:rsidRDefault="00681463">
      <w:pPr>
        <w:pStyle w:val="BodyText"/>
        <w:spacing w:before="120"/>
        <w:ind w:right="136"/>
      </w:pPr>
      <w:r>
        <w:t>Penalties for late HAP payments can only be imposed if 1) the penalties are in accordance with generally accepted local rental market practices and law governing penalties for late payment by tenants; 2) it is the owner’s normal business practice to charge late payment penalties for both assisted and unassisted families; and 3) the owner charges the assisted family for late payment of the family’s share of the rent.</w:t>
      </w:r>
    </w:p>
    <w:p w:rsidR="004E13A5" w:rsidRDefault="00681463">
      <w:pPr>
        <w:pStyle w:val="BodyText"/>
        <w:spacing w:before="120"/>
      </w:pPr>
      <w:r>
        <w:t>The PHA is not required to pay a late payment penalty if HUD determines that the payment is late for reasons beyond the PHA’s control. In addition, late payment penalties are not required if the PHA intentionally delays or denies payment as a remedy to an owner breach of the HAP contract [HCV Guidebook p. 11-7].</w:t>
      </w:r>
    </w:p>
    <w:p w:rsidR="004E13A5" w:rsidRDefault="00681463">
      <w:pPr>
        <w:pStyle w:val="Heading4"/>
        <w:spacing w:before="120"/>
      </w:pPr>
      <w:bookmarkStart w:id="199" w:name="_TOC_250229"/>
      <w:bookmarkEnd w:id="199"/>
      <w:r>
        <w:t>Termination of HAP Payments [24 CFR 982.311(b)]</w:t>
      </w:r>
    </w:p>
    <w:p w:rsidR="004E13A5" w:rsidRDefault="00681463">
      <w:pPr>
        <w:pStyle w:val="BodyText"/>
        <w:spacing w:before="120"/>
        <w:ind w:right="136"/>
      </w:pPr>
      <w:r>
        <w:t>The PHA must continue making housing assistance payments to the owner in accordance with the HAP contract as long as the tenant continues to occupy the unit and the HAP contract is not violated.</w:t>
      </w:r>
    </w:p>
    <w:p w:rsidR="004E13A5" w:rsidRDefault="00681463">
      <w:pPr>
        <w:pStyle w:val="BodyText"/>
        <w:spacing w:before="120"/>
        <w:ind w:right="296"/>
      </w:pPr>
      <w:r>
        <w:t>HAP payments terminate when the HAP contract terminates or when the tenancy is terminated in accordance with the terms of the lease.</w:t>
      </w:r>
    </w:p>
    <w:p w:rsidR="004E13A5" w:rsidRDefault="00681463">
      <w:pPr>
        <w:pStyle w:val="BodyText"/>
      </w:pPr>
      <w:r>
        <w:t>If the owner has initiated eviction proceedings against the family and the family continues to reside in the unit, the PHA must continue to make housing assistance payments to the owner until the owner has obtained a court judgment or other process allowing the owner to evict the tenant.</w:t>
      </w:r>
    </w:p>
    <w:p w:rsidR="004E13A5" w:rsidRDefault="00681463">
      <w:pPr>
        <w:pStyle w:val="BodyText"/>
        <w:ind w:left="820"/>
      </w:pPr>
      <w:r>
        <w:rPr>
          <w:u w:val="single"/>
        </w:rPr>
        <w:t>PHA Policy</w:t>
      </w:r>
    </w:p>
    <w:p w:rsidR="004E13A5" w:rsidRDefault="00681463">
      <w:pPr>
        <w:pStyle w:val="BodyText"/>
        <w:ind w:left="820"/>
      </w:pPr>
      <w:r>
        <w:t>The owner must inform the PHA when the owner has initiated eviction proceedings against the family and the family continues to reside in the unit.</w:t>
      </w:r>
    </w:p>
    <w:p w:rsidR="004E13A5" w:rsidRDefault="00681463">
      <w:pPr>
        <w:pStyle w:val="BodyText"/>
        <w:ind w:left="820" w:right="415"/>
        <w:jc w:val="both"/>
      </w:pPr>
      <w:r>
        <w:t>The owner must inform the PHA when the owner has obtained a court judgment or other process allowing the owner to evict the tenant, and provide the PHA with a copy of such judgment or determination.</w:t>
      </w:r>
    </w:p>
    <w:p w:rsidR="004E13A5" w:rsidRDefault="00681463">
      <w:pPr>
        <w:pStyle w:val="BodyText"/>
        <w:ind w:left="820" w:right="136"/>
      </w:pPr>
      <w:r>
        <w:t>After the owner has obtained a court judgment or other process allowing the owner to evict the tenant, the PHA will continue to make HAP payments to the owner until the family actually moves from the unit or until the family is physically evicted from the unit, whichever is earlier. The owner must inform the PHA of the date when the family actually moves from the unit or the family is physically evicted from the unit.</w:t>
      </w:r>
    </w:p>
    <w:p w:rsidR="004E13A5" w:rsidRDefault="004E13A5">
      <w:pPr>
        <w:sectPr w:rsidR="004E13A5">
          <w:pgSz w:w="12240" w:h="15840"/>
          <w:pgMar w:top="1000" w:right="1260" w:bottom="1240" w:left="1220" w:header="0" w:footer="1023" w:gutter="0"/>
          <w:cols w:space="720"/>
        </w:sectPr>
      </w:pPr>
    </w:p>
    <w:p w:rsidR="004E13A5" w:rsidRDefault="00681463">
      <w:pPr>
        <w:pStyle w:val="Heading4"/>
        <w:spacing w:before="79"/>
      </w:pPr>
      <w:bookmarkStart w:id="200" w:name="_TOC_250228"/>
      <w:bookmarkEnd w:id="200"/>
      <w:r>
        <w:lastRenderedPageBreak/>
        <w:t>13-II.D. BREACH OF HAP CONTRACT [24 CFR 982.453]</w:t>
      </w:r>
    </w:p>
    <w:p w:rsidR="004E13A5" w:rsidRDefault="00681463">
      <w:pPr>
        <w:pStyle w:val="BodyText"/>
        <w:spacing w:before="120"/>
      </w:pPr>
      <w:r>
        <w:t>Any of the following actions by the owner constitutes a breach of the HAP contract:</w:t>
      </w:r>
    </w:p>
    <w:p w:rsidR="004E13A5" w:rsidRDefault="00681463">
      <w:pPr>
        <w:pStyle w:val="ListParagraph"/>
        <w:numPr>
          <w:ilvl w:val="0"/>
          <w:numId w:val="52"/>
        </w:numPr>
        <w:tabs>
          <w:tab w:val="left" w:pos="820"/>
          <w:tab w:val="left" w:pos="821"/>
        </w:tabs>
        <w:ind w:right="337" w:firstLine="0"/>
        <w:rPr>
          <w:sz w:val="24"/>
        </w:rPr>
      </w:pPr>
      <w:r>
        <w:rPr>
          <w:sz w:val="24"/>
        </w:rPr>
        <w:t>If the owner violates any obligations under the HAP contract including failure to</w:t>
      </w:r>
      <w:r>
        <w:rPr>
          <w:spacing w:val="-17"/>
          <w:sz w:val="24"/>
        </w:rPr>
        <w:t xml:space="preserve"> </w:t>
      </w:r>
      <w:r>
        <w:rPr>
          <w:sz w:val="24"/>
        </w:rPr>
        <w:t>maintain the unit in accordance with</w:t>
      </w:r>
      <w:r>
        <w:rPr>
          <w:spacing w:val="-4"/>
          <w:sz w:val="24"/>
        </w:rPr>
        <w:t xml:space="preserve"> </w:t>
      </w:r>
      <w:r w:rsidR="002C4221">
        <w:rPr>
          <w:sz w:val="24"/>
        </w:rPr>
        <w:t>NSPIRE</w:t>
      </w:r>
    </w:p>
    <w:p w:rsidR="004E13A5" w:rsidRDefault="00681463">
      <w:pPr>
        <w:pStyle w:val="ListParagraph"/>
        <w:numPr>
          <w:ilvl w:val="0"/>
          <w:numId w:val="52"/>
        </w:numPr>
        <w:tabs>
          <w:tab w:val="left" w:pos="820"/>
          <w:tab w:val="left" w:pos="821"/>
        </w:tabs>
        <w:ind w:left="820" w:hanging="360"/>
        <w:rPr>
          <w:sz w:val="24"/>
        </w:rPr>
      </w:pPr>
      <w:r>
        <w:rPr>
          <w:sz w:val="24"/>
        </w:rPr>
        <w:t>If the owner has violated any obligation under any other HAP contract under Section</w:t>
      </w:r>
      <w:r>
        <w:rPr>
          <w:spacing w:val="-15"/>
          <w:sz w:val="24"/>
        </w:rPr>
        <w:t xml:space="preserve"> </w:t>
      </w:r>
      <w:r>
        <w:rPr>
          <w:sz w:val="24"/>
        </w:rPr>
        <w:t>8</w:t>
      </w:r>
    </w:p>
    <w:p w:rsidR="004E13A5" w:rsidRDefault="00681463">
      <w:pPr>
        <w:pStyle w:val="ListParagraph"/>
        <w:numPr>
          <w:ilvl w:val="0"/>
          <w:numId w:val="52"/>
        </w:numPr>
        <w:tabs>
          <w:tab w:val="left" w:pos="820"/>
          <w:tab w:val="left" w:pos="821"/>
        </w:tabs>
        <w:ind w:right="170" w:firstLine="0"/>
        <w:rPr>
          <w:sz w:val="24"/>
        </w:rPr>
      </w:pPr>
      <w:r>
        <w:rPr>
          <w:sz w:val="24"/>
        </w:rPr>
        <w:t>If the owner has committed fraud, bribery or any other corrupt or criminal act in</w:t>
      </w:r>
      <w:r>
        <w:rPr>
          <w:spacing w:val="-18"/>
          <w:sz w:val="24"/>
        </w:rPr>
        <w:t xml:space="preserve"> </w:t>
      </w:r>
      <w:r>
        <w:rPr>
          <w:sz w:val="24"/>
        </w:rPr>
        <w:t>connection with any federal housing</w:t>
      </w:r>
      <w:r>
        <w:rPr>
          <w:spacing w:val="-8"/>
          <w:sz w:val="24"/>
        </w:rPr>
        <w:t xml:space="preserve"> </w:t>
      </w:r>
      <w:r>
        <w:rPr>
          <w:sz w:val="24"/>
        </w:rPr>
        <w:t>program</w:t>
      </w:r>
    </w:p>
    <w:p w:rsidR="004E13A5" w:rsidRDefault="00681463">
      <w:pPr>
        <w:pStyle w:val="ListParagraph"/>
        <w:numPr>
          <w:ilvl w:val="0"/>
          <w:numId w:val="52"/>
        </w:numPr>
        <w:tabs>
          <w:tab w:val="left" w:pos="820"/>
          <w:tab w:val="left" w:pos="821"/>
        </w:tabs>
        <w:ind w:right="264" w:firstLine="0"/>
        <w:rPr>
          <w:sz w:val="24"/>
        </w:rPr>
      </w:pPr>
      <w:r>
        <w:rPr>
          <w:sz w:val="24"/>
        </w:rPr>
        <w:t>For projects with mortgages insured by HUD or loans made by HUD, if the owner has failed to comply with the regulation for the applicable program; or if the owner has committed fraud, bribery or any other corrupt or criminal act in connection with the mortgage or</w:t>
      </w:r>
      <w:r>
        <w:rPr>
          <w:spacing w:val="-18"/>
          <w:sz w:val="24"/>
        </w:rPr>
        <w:t xml:space="preserve"> </w:t>
      </w:r>
      <w:r>
        <w:rPr>
          <w:sz w:val="24"/>
        </w:rPr>
        <w:t>loan</w:t>
      </w:r>
    </w:p>
    <w:p w:rsidR="004E13A5" w:rsidRDefault="00681463">
      <w:pPr>
        <w:pStyle w:val="ListParagraph"/>
        <w:numPr>
          <w:ilvl w:val="0"/>
          <w:numId w:val="52"/>
        </w:numPr>
        <w:tabs>
          <w:tab w:val="left" w:pos="820"/>
          <w:tab w:val="left" w:pos="821"/>
        </w:tabs>
        <w:ind w:left="820" w:hanging="360"/>
        <w:rPr>
          <w:sz w:val="24"/>
        </w:rPr>
      </w:pPr>
      <w:r>
        <w:rPr>
          <w:sz w:val="24"/>
        </w:rPr>
        <w:t>If the owner has engaged in drug-related criminal</w:t>
      </w:r>
      <w:r>
        <w:rPr>
          <w:spacing w:val="-6"/>
          <w:sz w:val="24"/>
        </w:rPr>
        <w:t xml:space="preserve"> </w:t>
      </w:r>
      <w:r>
        <w:rPr>
          <w:sz w:val="24"/>
        </w:rPr>
        <w:t>activity</w:t>
      </w:r>
    </w:p>
    <w:p w:rsidR="004E13A5" w:rsidRDefault="00681463">
      <w:pPr>
        <w:pStyle w:val="ListParagraph"/>
        <w:numPr>
          <w:ilvl w:val="0"/>
          <w:numId w:val="52"/>
        </w:numPr>
        <w:tabs>
          <w:tab w:val="left" w:pos="820"/>
          <w:tab w:val="left" w:pos="821"/>
        </w:tabs>
        <w:spacing w:before="120"/>
        <w:ind w:left="820" w:hanging="360"/>
        <w:rPr>
          <w:sz w:val="24"/>
        </w:rPr>
      </w:pPr>
      <w:r>
        <w:rPr>
          <w:sz w:val="24"/>
        </w:rPr>
        <w:t>If the owner has committed any violent criminal</w:t>
      </w:r>
      <w:r>
        <w:rPr>
          <w:spacing w:val="-10"/>
          <w:sz w:val="24"/>
        </w:rPr>
        <w:t xml:space="preserve"> </w:t>
      </w:r>
      <w:r>
        <w:rPr>
          <w:sz w:val="24"/>
        </w:rPr>
        <w:t>activity</w:t>
      </w:r>
    </w:p>
    <w:p w:rsidR="004E13A5" w:rsidRDefault="00681463">
      <w:pPr>
        <w:pStyle w:val="BodyText"/>
        <w:spacing w:before="120"/>
      </w:pPr>
      <w:r>
        <w:t>If the PHA determines that a breach of the HAP contract has occurred, it may exercise any of its rights and remedies under the HAP contract.</w:t>
      </w:r>
    </w:p>
    <w:p w:rsidR="004E13A5" w:rsidRDefault="00681463">
      <w:pPr>
        <w:pStyle w:val="BodyText"/>
        <w:spacing w:before="120"/>
      </w:pPr>
      <w:r>
        <w:t>The PHA rights and remedies against the owner under the HAP contract include recovery of any HAP overpayment, suspension of housing assistance payments, abatement or reduction of the housing assistance payment, termination of the payment or termination of the HAP contract. The PHA may also obtain additional relief by judicial order or action.</w:t>
      </w:r>
    </w:p>
    <w:p w:rsidR="004E13A5" w:rsidRDefault="00681463">
      <w:pPr>
        <w:pStyle w:val="BodyText"/>
        <w:spacing w:before="120"/>
        <w:ind w:right="628"/>
      </w:pPr>
      <w:r>
        <w:t>The PHA must notify the owner of its determination and provide in writing the reasons for the determination. The notice may require the owner to take corrective action by an established deadline. The PHA must provide the owner with written notice of any reduction in housing assistance payments or the termination of the HAP contract.</w:t>
      </w:r>
    </w:p>
    <w:p w:rsidR="004E13A5" w:rsidRDefault="00681463">
      <w:pPr>
        <w:pStyle w:val="BodyText"/>
        <w:spacing w:before="120"/>
        <w:ind w:left="820"/>
        <w:jc w:val="both"/>
      </w:pPr>
      <w:r>
        <w:rPr>
          <w:u w:val="single"/>
        </w:rPr>
        <w:t>PHA Policy</w:t>
      </w:r>
    </w:p>
    <w:p w:rsidR="004E13A5" w:rsidRDefault="00681463">
      <w:pPr>
        <w:pStyle w:val="BodyText"/>
        <w:ind w:left="820"/>
      </w:pPr>
      <w:r>
        <w:t>Before the PHA invokes a remedy against an owner, the PHA will evaluate all information and documents available to determine if the contract has been breached.</w:t>
      </w:r>
    </w:p>
    <w:p w:rsidR="004E13A5" w:rsidRDefault="00681463">
      <w:pPr>
        <w:pStyle w:val="BodyText"/>
        <w:ind w:left="820" w:right="282"/>
      </w:pPr>
      <w:r>
        <w:t>If relevant, the PHA will conduct an audit of the owner’s records pertaining to the tenancy or unit.</w:t>
      </w:r>
    </w:p>
    <w:p w:rsidR="004E13A5" w:rsidRDefault="00681463">
      <w:pPr>
        <w:pStyle w:val="BodyText"/>
        <w:ind w:left="820" w:right="102"/>
        <w:jc w:val="both"/>
      </w:pPr>
      <w:r>
        <w:t>If it is determined that the owner has breached the contract, the PHA will consider all of the relevant factors including the seriousness of the breach, the effect on the family, the owner’s record of compliance and the number and seriousness of any prior HAP contract violations.</w:t>
      </w:r>
    </w:p>
    <w:p w:rsidR="004E13A5" w:rsidRDefault="00681463">
      <w:pPr>
        <w:pStyle w:val="Heading4"/>
        <w:spacing w:before="119"/>
      </w:pPr>
      <w:bookmarkStart w:id="201" w:name="_TOC_250227"/>
      <w:bookmarkEnd w:id="201"/>
      <w:r>
        <w:t>13-II.E. HAP CONTRACT TERM AND TERMINATIONS</w:t>
      </w:r>
    </w:p>
    <w:p w:rsidR="004E13A5" w:rsidRDefault="00681463">
      <w:pPr>
        <w:pStyle w:val="BodyText"/>
        <w:ind w:right="182"/>
      </w:pPr>
      <w:r>
        <w:t>The term of the HAP contract runs concurrently with the term of the dwelling lease [24 CFR 982.451(a)(2)], beginning on the first day of the initial term of the lease and terminating on the last day of the term of the lease, including any lease term extensions.</w:t>
      </w:r>
    </w:p>
    <w:p w:rsidR="004E13A5" w:rsidRDefault="00681463">
      <w:pPr>
        <w:pStyle w:val="BodyText"/>
        <w:ind w:right="269"/>
      </w:pPr>
      <w:r>
        <w:t>The HAP contract and the housing assistance payments made under the HAP contract terminate if [HCV Guidebook pp.11-4 and 11-5, pg. 15-3]:</w:t>
      </w:r>
    </w:p>
    <w:p w:rsidR="004E13A5" w:rsidRDefault="00681463">
      <w:pPr>
        <w:pStyle w:val="ListParagraph"/>
        <w:numPr>
          <w:ilvl w:val="0"/>
          <w:numId w:val="52"/>
        </w:numPr>
        <w:tabs>
          <w:tab w:val="left" w:pos="820"/>
          <w:tab w:val="left" w:pos="821"/>
        </w:tabs>
        <w:ind w:left="820" w:hanging="360"/>
        <w:rPr>
          <w:sz w:val="24"/>
        </w:rPr>
      </w:pPr>
      <w:r>
        <w:rPr>
          <w:sz w:val="24"/>
        </w:rPr>
        <w:t>The owner or the family terminates the</w:t>
      </w:r>
      <w:r>
        <w:rPr>
          <w:spacing w:val="-11"/>
          <w:sz w:val="24"/>
        </w:rPr>
        <w:t xml:space="preserve"> </w:t>
      </w:r>
      <w:r>
        <w:rPr>
          <w:sz w:val="24"/>
        </w:rPr>
        <w:t>lease;</w:t>
      </w:r>
    </w:p>
    <w:p w:rsidR="004E13A5" w:rsidRDefault="00681463">
      <w:pPr>
        <w:pStyle w:val="ListParagraph"/>
        <w:numPr>
          <w:ilvl w:val="0"/>
          <w:numId w:val="52"/>
        </w:numPr>
        <w:tabs>
          <w:tab w:val="left" w:pos="820"/>
          <w:tab w:val="left" w:pos="821"/>
        </w:tabs>
        <w:ind w:left="820" w:hanging="360"/>
        <w:rPr>
          <w:sz w:val="24"/>
        </w:rPr>
      </w:pPr>
      <w:r>
        <w:rPr>
          <w:sz w:val="24"/>
        </w:rPr>
        <w:t>The lease</w:t>
      </w:r>
      <w:r>
        <w:rPr>
          <w:spacing w:val="-5"/>
          <w:sz w:val="24"/>
        </w:rPr>
        <w:t xml:space="preserve"> </w:t>
      </w:r>
      <w:r>
        <w:rPr>
          <w:sz w:val="24"/>
        </w:rPr>
        <w:t>expires;</w:t>
      </w:r>
    </w:p>
    <w:p w:rsidR="004E13A5" w:rsidRDefault="00681463">
      <w:pPr>
        <w:pStyle w:val="ListParagraph"/>
        <w:numPr>
          <w:ilvl w:val="0"/>
          <w:numId w:val="52"/>
        </w:numPr>
        <w:tabs>
          <w:tab w:val="left" w:pos="820"/>
          <w:tab w:val="left" w:pos="821"/>
        </w:tabs>
        <w:ind w:left="820" w:hanging="360"/>
        <w:rPr>
          <w:sz w:val="24"/>
        </w:rPr>
      </w:pPr>
      <w:r>
        <w:rPr>
          <w:sz w:val="24"/>
        </w:rPr>
        <w:t>The PHA terminates the HAP</w:t>
      </w:r>
      <w:r>
        <w:rPr>
          <w:spacing w:val="-11"/>
          <w:sz w:val="24"/>
        </w:rPr>
        <w:t xml:space="preserve"> </w:t>
      </w:r>
      <w:r>
        <w:rPr>
          <w:sz w:val="24"/>
        </w:rPr>
        <w:t>contract;</w:t>
      </w:r>
    </w:p>
    <w:p w:rsidR="004E13A5" w:rsidRDefault="004E13A5">
      <w:pPr>
        <w:rPr>
          <w:sz w:val="24"/>
        </w:rPr>
        <w:sectPr w:rsidR="004E13A5">
          <w:pgSz w:w="12240" w:h="15840"/>
          <w:pgMar w:top="1000" w:right="1220" w:bottom="1240" w:left="1220" w:header="0" w:footer="1023" w:gutter="0"/>
          <w:cols w:space="720"/>
        </w:sectPr>
      </w:pPr>
    </w:p>
    <w:p w:rsidR="004E13A5" w:rsidRDefault="00681463">
      <w:pPr>
        <w:pStyle w:val="ListParagraph"/>
        <w:numPr>
          <w:ilvl w:val="0"/>
          <w:numId w:val="52"/>
        </w:numPr>
        <w:tabs>
          <w:tab w:val="left" w:pos="820"/>
          <w:tab w:val="left" w:pos="821"/>
        </w:tabs>
        <w:spacing w:before="79"/>
        <w:ind w:left="820" w:hanging="360"/>
        <w:rPr>
          <w:sz w:val="24"/>
        </w:rPr>
      </w:pPr>
      <w:r>
        <w:rPr>
          <w:sz w:val="24"/>
        </w:rPr>
        <w:lastRenderedPageBreak/>
        <w:t>The PHA terminates assistance for the</w:t>
      </w:r>
      <w:r>
        <w:rPr>
          <w:spacing w:val="-12"/>
          <w:sz w:val="24"/>
        </w:rPr>
        <w:t xml:space="preserve"> </w:t>
      </w:r>
      <w:r>
        <w:rPr>
          <w:sz w:val="24"/>
        </w:rPr>
        <w:t>family;</w:t>
      </w:r>
    </w:p>
    <w:p w:rsidR="004E13A5" w:rsidRDefault="00681463">
      <w:pPr>
        <w:pStyle w:val="ListParagraph"/>
        <w:numPr>
          <w:ilvl w:val="0"/>
          <w:numId w:val="52"/>
        </w:numPr>
        <w:tabs>
          <w:tab w:val="left" w:pos="820"/>
          <w:tab w:val="left" w:pos="821"/>
        </w:tabs>
        <w:spacing w:before="120"/>
        <w:ind w:right="295" w:firstLine="0"/>
        <w:rPr>
          <w:sz w:val="24"/>
        </w:rPr>
      </w:pPr>
      <w:r>
        <w:rPr>
          <w:sz w:val="24"/>
        </w:rPr>
        <w:t xml:space="preserve">The family moves from the assisted unit. </w:t>
      </w:r>
      <w:r>
        <w:rPr>
          <w:spacing w:val="-3"/>
          <w:sz w:val="24"/>
        </w:rPr>
        <w:t xml:space="preserve">In </w:t>
      </w:r>
      <w:r>
        <w:rPr>
          <w:sz w:val="24"/>
        </w:rPr>
        <w:t>this situation, the owner is entitled to keep the housing assistance payment for the month when the family moves out of the</w:t>
      </w:r>
      <w:r>
        <w:rPr>
          <w:spacing w:val="-13"/>
          <w:sz w:val="24"/>
        </w:rPr>
        <w:t xml:space="preserve"> </w:t>
      </w:r>
      <w:r>
        <w:rPr>
          <w:sz w:val="24"/>
        </w:rPr>
        <w:t>unit.</w:t>
      </w:r>
    </w:p>
    <w:p w:rsidR="004E13A5" w:rsidRDefault="00681463">
      <w:pPr>
        <w:pStyle w:val="ListParagraph"/>
        <w:numPr>
          <w:ilvl w:val="0"/>
          <w:numId w:val="52"/>
        </w:numPr>
        <w:tabs>
          <w:tab w:val="left" w:pos="820"/>
          <w:tab w:val="left" w:pos="821"/>
        </w:tabs>
        <w:ind w:right="191" w:firstLine="0"/>
        <w:rPr>
          <w:sz w:val="24"/>
        </w:rPr>
      </w:pPr>
      <w:r>
        <w:rPr>
          <w:sz w:val="24"/>
        </w:rPr>
        <w:t>180 calendar days have elapsed since the PHA made the last housing assistance payment</w:t>
      </w:r>
      <w:r>
        <w:rPr>
          <w:spacing w:val="-16"/>
          <w:sz w:val="24"/>
        </w:rPr>
        <w:t xml:space="preserve"> </w:t>
      </w:r>
      <w:r>
        <w:rPr>
          <w:sz w:val="24"/>
        </w:rPr>
        <w:t>to the</w:t>
      </w:r>
      <w:r>
        <w:rPr>
          <w:spacing w:val="-3"/>
          <w:sz w:val="24"/>
        </w:rPr>
        <w:t xml:space="preserve"> </w:t>
      </w:r>
      <w:r>
        <w:rPr>
          <w:sz w:val="24"/>
        </w:rPr>
        <w:t>owner;</w:t>
      </w:r>
    </w:p>
    <w:p w:rsidR="004E13A5" w:rsidRDefault="00681463">
      <w:pPr>
        <w:pStyle w:val="ListParagraph"/>
        <w:numPr>
          <w:ilvl w:val="0"/>
          <w:numId w:val="52"/>
        </w:numPr>
        <w:tabs>
          <w:tab w:val="left" w:pos="820"/>
          <w:tab w:val="left" w:pos="821"/>
        </w:tabs>
        <w:ind w:right="518" w:firstLine="0"/>
        <w:rPr>
          <w:sz w:val="24"/>
        </w:rPr>
      </w:pPr>
      <w:r>
        <w:rPr>
          <w:sz w:val="24"/>
        </w:rPr>
        <w:t>The family is absent from the unit for longer than the maximum period permitted by</w:t>
      </w:r>
      <w:r>
        <w:rPr>
          <w:spacing w:val="-15"/>
          <w:sz w:val="24"/>
        </w:rPr>
        <w:t xml:space="preserve"> </w:t>
      </w:r>
      <w:r>
        <w:rPr>
          <w:sz w:val="24"/>
        </w:rPr>
        <w:t>the PHA;</w:t>
      </w:r>
    </w:p>
    <w:p w:rsidR="004E13A5" w:rsidRDefault="00681463">
      <w:pPr>
        <w:pStyle w:val="ListParagraph"/>
        <w:numPr>
          <w:ilvl w:val="0"/>
          <w:numId w:val="52"/>
        </w:numPr>
        <w:tabs>
          <w:tab w:val="left" w:pos="820"/>
          <w:tab w:val="left" w:pos="821"/>
        </w:tabs>
        <w:ind w:left="820" w:hanging="360"/>
        <w:rPr>
          <w:sz w:val="24"/>
        </w:rPr>
      </w:pPr>
      <w:r>
        <w:rPr>
          <w:sz w:val="24"/>
        </w:rPr>
        <w:t>The Annual Contributions Contract (ACC) between the PHA and HUD</w:t>
      </w:r>
      <w:r>
        <w:rPr>
          <w:spacing w:val="-12"/>
          <w:sz w:val="24"/>
        </w:rPr>
        <w:t xml:space="preserve"> </w:t>
      </w:r>
      <w:r>
        <w:rPr>
          <w:sz w:val="24"/>
        </w:rPr>
        <w:t>expires</w:t>
      </w:r>
    </w:p>
    <w:p w:rsidR="004E13A5" w:rsidRDefault="00681463">
      <w:pPr>
        <w:pStyle w:val="ListParagraph"/>
        <w:numPr>
          <w:ilvl w:val="0"/>
          <w:numId w:val="52"/>
        </w:numPr>
        <w:tabs>
          <w:tab w:val="left" w:pos="820"/>
          <w:tab w:val="left" w:pos="821"/>
        </w:tabs>
        <w:spacing w:line="343" w:lineRule="auto"/>
        <w:ind w:left="820" w:right="4442" w:hanging="360"/>
        <w:rPr>
          <w:sz w:val="24"/>
        </w:rPr>
      </w:pPr>
      <w:r>
        <w:rPr>
          <w:sz w:val="24"/>
        </w:rPr>
        <w:t>The PHA elects to terminate the HAP</w:t>
      </w:r>
      <w:r>
        <w:rPr>
          <w:spacing w:val="-11"/>
          <w:sz w:val="24"/>
        </w:rPr>
        <w:t xml:space="preserve"> </w:t>
      </w:r>
      <w:r>
        <w:rPr>
          <w:sz w:val="24"/>
        </w:rPr>
        <w:t xml:space="preserve">contract. </w:t>
      </w:r>
      <w:r>
        <w:rPr>
          <w:sz w:val="24"/>
          <w:u w:val="single"/>
        </w:rPr>
        <w:t>PHA</w:t>
      </w:r>
      <w:r>
        <w:rPr>
          <w:spacing w:val="-1"/>
          <w:sz w:val="24"/>
          <w:u w:val="single"/>
        </w:rPr>
        <w:t xml:space="preserve"> </w:t>
      </w:r>
      <w:r>
        <w:rPr>
          <w:sz w:val="24"/>
          <w:u w:val="single"/>
        </w:rPr>
        <w:t>Policy</w:t>
      </w:r>
    </w:p>
    <w:p w:rsidR="004E13A5" w:rsidRDefault="00681463">
      <w:pPr>
        <w:pStyle w:val="BodyText"/>
        <w:spacing w:before="5"/>
        <w:ind w:left="784"/>
      </w:pPr>
      <w:r>
        <w:t>The PHA may elect to terminate the HAP contract in each of the following situations:</w:t>
      </w:r>
    </w:p>
    <w:p w:rsidR="004E13A5" w:rsidRDefault="00681463">
      <w:pPr>
        <w:pStyle w:val="BodyText"/>
        <w:spacing w:before="120"/>
        <w:ind w:left="1540" w:right="661"/>
      </w:pPr>
      <w:r>
        <w:t>Available program funding is not sufficient to support continued assistance for families in the program [24 CFR 982.454];</w:t>
      </w:r>
    </w:p>
    <w:p w:rsidR="004E13A5" w:rsidRDefault="00681463">
      <w:pPr>
        <w:pStyle w:val="BodyText"/>
        <w:spacing w:before="120"/>
        <w:ind w:left="1540" w:right="161"/>
      </w:pPr>
      <w:r>
        <w:t xml:space="preserve">The unit does not meet </w:t>
      </w:r>
      <w:r w:rsidR="002C4221">
        <w:t>NSPIRE</w:t>
      </w:r>
      <w:r>
        <w:t xml:space="preserve"> size requirements due to change in family composition [24 CFR 982.403] – see chapter 8;</w:t>
      </w:r>
    </w:p>
    <w:p w:rsidR="004E13A5" w:rsidRDefault="00681463">
      <w:pPr>
        <w:pStyle w:val="BodyText"/>
        <w:spacing w:before="120" w:line="343" w:lineRule="auto"/>
        <w:ind w:left="1540" w:right="2107"/>
      </w:pPr>
      <w:r>
        <w:t xml:space="preserve">The unit does not meet </w:t>
      </w:r>
      <w:r w:rsidR="002C4221">
        <w:t xml:space="preserve">NSPIRE standards </w:t>
      </w:r>
      <w:r w:rsidR="002C4221" w:rsidRPr="00536653">
        <w:t>[24 CFR 982.40</w:t>
      </w:r>
      <w:r w:rsidR="002C4221">
        <w:t>4</w:t>
      </w:r>
      <w:r w:rsidR="002C4221" w:rsidRPr="00536653">
        <w:t>]</w:t>
      </w:r>
      <w:r w:rsidR="002C4221">
        <w:t xml:space="preserve"> </w:t>
      </w:r>
      <w:r>
        <w:t>– see chapter 8; The family breaks up [HUD Form 52641] – see chapter 3;</w:t>
      </w:r>
    </w:p>
    <w:p w:rsidR="004E13A5" w:rsidRDefault="00681463">
      <w:pPr>
        <w:pStyle w:val="BodyText"/>
        <w:spacing w:before="5"/>
        <w:ind w:left="1540"/>
      </w:pPr>
      <w:r>
        <w:t>The owner breaches the HAP contract [24 CFR 982.453(b)] – see Section 13-II.D.</w:t>
      </w:r>
    </w:p>
    <w:p w:rsidR="004E13A5" w:rsidRDefault="00681463">
      <w:pPr>
        <w:pStyle w:val="BodyText"/>
        <w:ind w:right="102"/>
      </w:pPr>
      <w:r>
        <w:t>If the PHA terminates the HAP contract, the PHA must give the owner and the family written notice. The notice must specify the reasons for the termination and the effective date of the termination. Once a HAP contract is terminated, no further HAP payments may be made under that contract [HCV Guidebook pg.15-4].</w:t>
      </w:r>
    </w:p>
    <w:p w:rsidR="004E13A5" w:rsidRDefault="00681463">
      <w:pPr>
        <w:pStyle w:val="BodyText"/>
        <w:ind w:left="820"/>
      </w:pPr>
      <w:r>
        <w:rPr>
          <w:u w:val="single"/>
        </w:rPr>
        <w:t>PHA Policy</w:t>
      </w:r>
    </w:p>
    <w:p w:rsidR="004E13A5" w:rsidRDefault="00681463">
      <w:pPr>
        <w:pStyle w:val="BodyText"/>
        <w:ind w:left="820" w:right="88"/>
      </w:pPr>
      <w:r>
        <w:t>In all cases, the HAP contract terminates at the end of the calendar month that follows the calendar month in which the PHA gives written notice to the owner. The owner is not entitled to any housing assistance payment after this period, and must return to the PHA any housing assistance payment received after this period.</w:t>
      </w:r>
    </w:p>
    <w:p w:rsidR="004E13A5" w:rsidRDefault="00681463">
      <w:pPr>
        <w:pStyle w:val="BodyText"/>
        <w:ind w:right="116"/>
      </w:pPr>
      <w:r>
        <w:t>If the family moves from the assisted unit into a new unit, even if the new unit is in the same building or complex as the assisted unit, the HAP contract for the assisted unit terminates. A new HAP contract would be required [HCV GB, p. 11-17].</w:t>
      </w:r>
    </w:p>
    <w:p w:rsidR="004E13A5" w:rsidRDefault="00681463">
      <w:pPr>
        <w:pStyle w:val="BodyText"/>
      </w:pPr>
      <w:r>
        <w:t>When the family moves from an assisted unit into a new unit, the term of the HAP contract for the new unit may begin in the same month in which the family moves out of its old unit. This is not considered a duplicative subsidy [HCV GB, p. 8-22].</w:t>
      </w:r>
    </w:p>
    <w:p w:rsidR="004E13A5" w:rsidRDefault="004E13A5">
      <w:pPr>
        <w:pStyle w:val="BodyText"/>
        <w:spacing w:before="9"/>
        <w:ind w:left="0"/>
        <w:rPr>
          <w:sz w:val="20"/>
        </w:rPr>
      </w:pPr>
    </w:p>
    <w:p w:rsidR="004E13A5" w:rsidRDefault="00681463">
      <w:pPr>
        <w:pStyle w:val="Heading4"/>
        <w:ind w:right="1113"/>
      </w:pPr>
      <w:r>
        <w:t>13-II.F. CHANGE IN OWNERSHIP / ASSIGNMENT OF THE HAP CONTRACT [HUD-52641]</w:t>
      </w:r>
    </w:p>
    <w:p w:rsidR="004E13A5" w:rsidRDefault="00681463">
      <w:pPr>
        <w:pStyle w:val="BodyText"/>
      </w:pPr>
      <w:r>
        <w:t>The HAP contract cannot be assigned to a new owner without the prior written consent of the PHA.</w:t>
      </w:r>
    </w:p>
    <w:p w:rsidR="004E13A5" w:rsidRDefault="00681463">
      <w:pPr>
        <w:pStyle w:val="BodyText"/>
      </w:pPr>
      <w:r>
        <w:t>An owner under a HAP contract must notify the PHA in writing prior to a change in the legal ownership of the unit. The owner must supply all information as requested by the PHA.</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right="183"/>
      </w:pPr>
      <w:r>
        <w:lastRenderedPageBreak/>
        <w:t>Prior to approval of assignment to a new owner, the new owner must agree to be bound by and comply with the HAP contract. The agreement between the new owner and the former owner must be in writing and in a form that the PHA finds acceptable. The new owner must provide the PHA with a copy of the executed agreement.</w:t>
      </w:r>
    </w:p>
    <w:p w:rsidR="004E13A5" w:rsidRDefault="00681463">
      <w:pPr>
        <w:pStyle w:val="BodyText"/>
        <w:spacing w:before="120"/>
        <w:ind w:left="820"/>
      </w:pPr>
      <w:r>
        <w:rPr>
          <w:u w:val="single"/>
        </w:rPr>
        <w:t>PHA Policy</w:t>
      </w:r>
    </w:p>
    <w:p w:rsidR="004E13A5" w:rsidRDefault="00681463">
      <w:pPr>
        <w:pStyle w:val="BodyText"/>
        <w:spacing w:before="120"/>
        <w:ind w:left="820" w:right="395"/>
      </w:pPr>
      <w:r>
        <w:t>Assignment of the HAP contract will be approved only if the new owner is qualified to become an owner under the HCV program according to the policies in Section 13-I.D. of this chapter.</w:t>
      </w:r>
    </w:p>
    <w:p w:rsidR="004E13A5" w:rsidRDefault="00681463">
      <w:pPr>
        <w:pStyle w:val="BodyText"/>
        <w:spacing w:before="120"/>
        <w:ind w:left="820" w:right="116"/>
      </w:pPr>
      <w:r>
        <w:t>The PHA must receive a signed, written request from the existing owner stating the name and address of the new HAP payee and the effective date of the assignment in order to change the HAP payee under an outstanding HAP contract.</w:t>
      </w:r>
    </w:p>
    <w:p w:rsidR="004E13A5" w:rsidRDefault="00681463">
      <w:pPr>
        <w:pStyle w:val="BodyText"/>
        <w:spacing w:before="120"/>
        <w:ind w:left="820" w:right="255"/>
      </w:pPr>
      <w:r>
        <w:t>Within 10 business days of receiving the owner’s request, the PHA will inform the current owner in writing whether the assignment may take place.</w:t>
      </w:r>
    </w:p>
    <w:p w:rsidR="004E13A5" w:rsidRDefault="00681463">
      <w:pPr>
        <w:pStyle w:val="BodyText"/>
        <w:spacing w:before="120"/>
        <w:ind w:left="820"/>
      </w:pPr>
      <w:r>
        <w:t>The new owner must provide a written certification to the PHA that includes:</w:t>
      </w:r>
    </w:p>
    <w:p w:rsidR="004E13A5" w:rsidRDefault="00681463">
      <w:pPr>
        <w:pStyle w:val="BodyText"/>
        <w:spacing w:before="120"/>
        <w:ind w:left="1540" w:right="249"/>
      </w:pPr>
      <w:r>
        <w:t>A copy of the escrow statement or other document showing the transfer of title and recorded deed;</w:t>
      </w:r>
    </w:p>
    <w:p w:rsidR="004E13A5" w:rsidRDefault="00681463">
      <w:pPr>
        <w:pStyle w:val="BodyText"/>
        <w:spacing w:before="120"/>
        <w:ind w:left="1540"/>
      </w:pPr>
      <w:r>
        <w:t>A copy of the owner’s IRS Form W-9, Request for Taxpayer Identification Number and Certification, or the social security number of the new owner;</w:t>
      </w:r>
    </w:p>
    <w:p w:rsidR="004E13A5" w:rsidRDefault="00681463">
      <w:pPr>
        <w:pStyle w:val="BodyText"/>
        <w:spacing w:before="120"/>
        <w:ind w:left="1540"/>
      </w:pPr>
      <w:r>
        <w:t>The effective date of the HAP contract assignment;</w:t>
      </w:r>
    </w:p>
    <w:p w:rsidR="004E13A5" w:rsidRDefault="00681463">
      <w:pPr>
        <w:pStyle w:val="BodyText"/>
        <w:spacing w:before="120" w:line="343" w:lineRule="auto"/>
        <w:ind w:left="1540" w:right="1215"/>
      </w:pPr>
      <w:r>
        <w:t>A written agreement to comply with the terms of the HAP contract; and A certification that the new owner is not a prohibited relative.</w:t>
      </w:r>
    </w:p>
    <w:p w:rsidR="004E13A5" w:rsidRDefault="00681463">
      <w:pPr>
        <w:pStyle w:val="BodyText"/>
        <w:spacing w:before="6"/>
        <w:ind w:left="820" w:right="116"/>
      </w:pPr>
      <w:r>
        <w:t>If the new owner does not agree to an assignment of the HAP contract, or fails to provide the necessary documents, the PHA will terminate the HAP contract with the old owner. If the new owner wants to offer the family a new lease, and the family elects to stay with continued assistance, the PHA will process the leasing in accordance with the policies in Chapter 9.</w:t>
      </w:r>
    </w:p>
    <w:p w:rsidR="004E13A5" w:rsidRDefault="004E13A5">
      <w:pPr>
        <w:pStyle w:val="BodyText"/>
        <w:spacing w:before="10"/>
        <w:ind w:left="0"/>
        <w:rPr>
          <w:sz w:val="20"/>
        </w:rPr>
      </w:pPr>
    </w:p>
    <w:p w:rsidR="004E13A5" w:rsidRDefault="00681463">
      <w:pPr>
        <w:pStyle w:val="Heading4"/>
      </w:pPr>
      <w:bookmarkStart w:id="202" w:name="_TOC_250226"/>
      <w:bookmarkEnd w:id="202"/>
      <w:r>
        <w:t>13-II.G. FORECLOSURE [Notice PIH 2010-49]</w:t>
      </w:r>
    </w:p>
    <w:p w:rsidR="004E13A5" w:rsidRDefault="00681463">
      <w:pPr>
        <w:pStyle w:val="BodyText"/>
        <w:spacing w:before="120"/>
        <w:ind w:right="90"/>
      </w:pPr>
      <w:r>
        <w:t>Families receiving HCV assistance are entitled to certain protections set forth under the Protecting Tenants at Foreclosure Act (PTFA). During the term of the lease, the new owner of the property does not have good cause to terminate the tenant’s lease, unless the new owner will occupy the unit as their primary residence and has provided the tenant with at least a 90-day notice. In that case, the lease may be terminated effective on the date of sale, although the tenant is still entitled to a 90-day notice to vacate. Further, the new owner assumes interest in the lease between the prior owner and the tenant and to the HAP contract.</w:t>
      </w:r>
    </w:p>
    <w:p w:rsidR="004E13A5" w:rsidRDefault="00681463">
      <w:pPr>
        <w:pStyle w:val="BodyText"/>
        <w:spacing w:before="120"/>
        <w:ind w:right="282"/>
      </w:pPr>
      <w:r>
        <w:t>Any state or local law that provides longer time periods or other additional protections for tenants also applies.</w:t>
      </w:r>
    </w:p>
    <w:p w:rsidR="004E13A5" w:rsidRDefault="00681463">
      <w:pPr>
        <w:pStyle w:val="BodyText"/>
        <w:spacing w:before="120"/>
        <w:ind w:left="820"/>
      </w:pPr>
      <w:r>
        <w:rPr>
          <w:u w:val="single"/>
        </w:rPr>
        <w:t>PHA Policy</w:t>
      </w:r>
    </w:p>
    <w:p w:rsidR="004E13A5" w:rsidRDefault="00681463">
      <w:pPr>
        <w:pStyle w:val="BodyText"/>
        <w:spacing w:before="120"/>
        <w:ind w:left="820" w:right="116"/>
      </w:pPr>
      <w:r>
        <w:t>If a property is in foreclosure, the PHA will make all reasonable efforts to determine the status of the foreclosure and ownership of the property and will continue to make payments to the original owner until ownership legally transfers in accordance with the HAP contract.</w:t>
      </w:r>
    </w:p>
    <w:p w:rsidR="004E13A5" w:rsidRDefault="00681463">
      <w:pPr>
        <w:pStyle w:val="BodyText"/>
        <w:spacing w:before="120"/>
        <w:ind w:left="820"/>
      </w:pPr>
      <w:r>
        <w:t>The PHA will attempt to obtain a written acknowledgement of the assignment of the HAP</w:t>
      </w:r>
    </w:p>
    <w:p w:rsidR="004E13A5" w:rsidRDefault="004E13A5">
      <w:pPr>
        <w:sectPr w:rsidR="004E13A5">
          <w:pgSz w:w="12240" w:h="15840"/>
          <w:pgMar w:top="1000" w:right="1240" w:bottom="1220" w:left="1220" w:header="0" w:footer="1023" w:gutter="0"/>
          <w:cols w:space="720"/>
        </w:sectPr>
      </w:pPr>
    </w:p>
    <w:p w:rsidR="004E13A5" w:rsidRDefault="00681463">
      <w:pPr>
        <w:pStyle w:val="BodyText"/>
        <w:spacing w:before="79"/>
        <w:ind w:left="820"/>
      </w:pPr>
      <w:r>
        <w:lastRenderedPageBreak/>
        <w:t>contract from the successor in interest. This will include a request for owner information, including a tax identification number and payment instructions from the new owner. Even if the new owner does not acknowledge the assignment of the HAP contract in writing, the assignment is still effective by operation of law.</w:t>
      </w:r>
    </w:p>
    <w:p w:rsidR="004E13A5" w:rsidRDefault="00681463">
      <w:pPr>
        <w:pStyle w:val="BodyText"/>
        <w:spacing w:before="120"/>
        <w:ind w:left="820"/>
      </w:pPr>
      <w:r>
        <w:t>The PHA will inform the tenant that they must continue to pay rent in accordance with the lease, and if the new owner refuses to accept payment or cannot be identified, the tenant should pay rent into escrow. Failure to pay rent may constitute an independent ground for eviction.</w:t>
      </w:r>
    </w:p>
    <w:p w:rsidR="004E13A5" w:rsidRDefault="00681463">
      <w:pPr>
        <w:pStyle w:val="BodyText"/>
        <w:spacing w:before="120"/>
        <w:ind w:left="820" w:right="482"/>
      </w:pPr>
      <w:r>
        <w:t xml:space="preserve">In the event that the PHA is unable to make HAP payments to the new owner due to an action or inaction by the new owner that prevents such payments (e.g., rejection of payments or failure to maintain the property according to </w:t>
      </w:r>
      <w:r w:rsidR="002C4221">
        <w:t>NSPIRE</w:t>
      </w:r>
      <w:r>
        <w:t>), or due to an inability to identify the new owner, the PHA will either use the funds to pay:</w:t>
      </w:r>
    </w:p>
    <w:p w:rsidR="004E13A5" w:rsidRDefault="00681463">
      <w:pPr>
        <w:pStyle w:val="BodyText"/>
        <w:spacing w:before="120"/>
        <w:ind w:left="1540" w:right="95"/>
      </w:pPr>
      <w:r>
        <w:t>The utilities that are the owner’s responsibility after taking reasonable steps to notify the owner; except that if the unit has been or will be rendered uninhabitable due to termination or threat of termination of service, prior notice is not required. In the latter case, the PHA shall notify the owner within a reasonable time after making the utility payment; or</w:t>
      </w:r>
    </w:p>
    <w:p w:rsidR="004E13A5" w:rsidRDefault="00681463">
      <w:pPr>
        <w:pStyle w:val="BodyText"/>
        <w:spacing w:before="120"/>
        <w:ind w:left="1540"/>
      </w:pPr>
      <w:r>
        <w:t>For the family’s reasonable moving costs, including security deposit costs.</w:t>
      </w:r>
    </w:p>
    <w:p w:rsidR="004E13A5" w:rsidRDefault="00681463">
      <w:pPr>
        <w:pStyle w:val="BodyText"/>
        <w:spacing w:before="120"/>
        <w:ind w:left="820" w:right="163"/>
      </w:pPr>
      <w:r>
        <w:t>The PHA will also refer the tenant, as needed, to the local legal aid office in order to ensure adequate protection of the tenant’s rights and enforcement of the successor in interest’s performance under the HAP contract.</w:t>
      </w:r>
    </w:p>
    <w:p w:rsidR="004E13A5" w:rsidRDefault="00681463">
      <w:pPr>
        <w:pStyle w:val="BodyText"/>
        <w:spacing w:before="120"/>
      </w:pPr>
      <w:r>
        <w:t>See Section 12-III.B for a discussion of foreclosure as it pertains to owner termination of tenancy.</w:t>
      </w:r>
    </w:p>
    <w:p w:rsidR="004E13A5" w:rsidRDefault="004E13A5">
      <w:pPr>
        <w:sectPr w:rsidR="004E13A5">
          <w:pgSz w:w="12240" w:h="15840"/>
          <w:pgMar w:top="1000" w:right="1220" w:bottom="1240" w:left="1220" w:header="0" w:footer="1023"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14"/>
      </w:pPr>
      <w:r>
        <w:rPr>
          <w:spacing w:val="-1"/>
        </w:rPr>
        <w:t>INTRODUCTION</w:t>
      </w:r>
    </w:p>
    <w:p w:rsidR="004E13A5" w:rsidRDefault="00681463">
      <w:pPr>
        <w:pStyle w:val="Heading4"/>
        <w:spacing w:before="79" w:line="448" w:lineRule="auto"/>
        <w:ind w:right="3530" w:firstLine="772"/>
      </w:pPr>
      <w:bookmarkStart w:id="203" w:name="_TOC_250225"/>
      <w:r>
        <w:rPr>
          <w:b w:val="0"/>
        </w:rPr>
        <w:br w:type="column"/>
      </w:r>
      <w:bookmarkEnd w:id="203"/>
      <w:r>
        <w:t>Chapter 14 PROGRAM INTEGRITY</w:t>
      </w:r>
    </w:p>
    <w:p w:rsidR="004E13A5" w:rsidRDefault="004E13A5">
      <w:pPr>
        <w:spacing w:line="448" w:lineRule="auto"/>
        <w:sectPr w:rsidR="004E13A5">
          <w:pgSz w:w="12240" w:h="15840"/>
          <w:pgMar w:top="1240" w:right="1220" w:bottom="1240" w:left="1220" w:header="0" w:footer="1023" w:gutter="0"/>
          <w:cols w:num="2" w:space="720" w:equalWidth="0">
            <w:col w:w="2020" w:space="1429"/>
            <w:col w:w="6351"/>
          </w:cols>
        </w:sectPr>
      </w:pPr>
    </w:p>
    <w:p w:rsidR="004E13A5" w:rsidRDefault="00681463">
      <w:pPr>
        <w:pStyle w:val="BodyText"/>
      </w:pPr>
      <w:r>
        <w:t>The PHA is committed to ensuring that subsidy funds made available to the PHA are spent in accordance with HUD requirements.</w:t>
      </w:r>
    </w:p>
    <w:p w:rsidR="004E13A5" w:rsidRDefault="00681463">
      <w:pPr>
        <w:pStyle w:val="BodyText"/>
        <w:ind w:right="445"/>
        <w:jc w:val="both"/>
      </w:pPr>
      <w:r>
        <w:t>This chapter covers HUD and PHA policies designed to prevent, detect, investigate, and resolve instances of program abuse or fraud. It also describes the actions that will be taken in the case</w:t>
      </w:r>
      <w:r>
        <w:rPr>
          <w:spacing w:val="-18"/>
        </w:rPr>
        <w:t xml:space="preserve"> </w:t>
      </w:r>
      <w:r>
        <w:t>of unintentional errors and</w:t>
      </w:r>
      <w:r>
        <w:rPr>
          <w:spacing w:val="-6"/>
        </w:rPr>
        <w:t xml:space="preserve"> </w:t>
      </w:r>
      <w:r>
        <w:t>omissions.</w:t>
      </w:r>
    </w:p>
    <w:p w:rsidR="004E13A5" w:rsidRDefault="00681463">
      <w:pPr>
        <w:pStyle w:val="BodyText"/>
        <w:ind w:left="820" w:right="100"/>
      </w:pPr>
      <w:r>
        <w:rPr>
          <w:u w:val="single"/>
        </w:rPr>
        <w:t>Part I: Preventing, Detecting, and Investigating Errors and Program Abuse</w:t>
      </w:r>
      <w:r>
        <w:t>. This part presents PHA policies related to preventing, detecting, and investigating errors and program abuse.</w:t>
      </w:r>
    </w:p>
    <w:p w:rsidR="004E13A5" w:rsidRDefault="00681463">
      <w:pPr>
        <w:pStyle w:val="BodyText"/>
        <w:ind w:left="820" w:right="289"/>
      </w:pPr>
      <w:r>
        <w:rPr>
          <w:u w:val="single"/>
        </w:rPr>
        <w:t>Part II: Corrective Measures and Penalties</w:t>
      </w:r>
      <w:r>
        <w:t>. This part describes the corrective measures the PHA must and may take when errors or program abuses are found.</w:t>
      </w:r>
    </w:p>
    <w:p w:rsidR="004E13A5" w:rsidRDefault="004E13A5">
      <w:pPr>
        <w:pStyle w:val="BodyText"/>
        <w:spacing w:before="9"/>
        <w:ind w:left="0"/>
        <w:rPr>
          <w:sz w:val="20"/>
        </w:rPr>
      </w:pPr>
    </w:p>
    <w:p w:rsidR="004E13A5" w:rsidRDefault="00681463">
      <w:pPr>
        <w:pStyle w:val="Heading4"/>
        <w:ind w:left="2006" w:right="1986" w:firstLine="520"/>
      </w:pPr>
      <w:bookmarkStart w:id="204" w:name="_TOC_250224"/>
      <w:bookmarkEnd w:id="204"/>
      <w:r>
        <w:t>PART I: PREVENTING, DETECTING, AND INVESTIGATING ERRORS AND PROGRAM ABUSE</w:t>
      </w:r>
    </w:p>
    <w:p w:rsidR="004E13A5" w:rsidRDefault="004E13A5">
      <w:pPr>
        <w:pStyle w:val="BodyText"/>
        <w:spacing w:before="9"/>
        <w:ind w:left="0"/>
        <w:rPr>
          <w:b/>
          <w:sz w:val="20"/>
        </w:rPr>
      </w:pPr>
    </w:p>
    <w:p w:rsidR="004E13A5" w:rsidRDefault="00681463">
      <w:pPr>
        <w:pStyle w:val="Heading4"/>
      </w:pPr>
      <w:bookmarkStart w:id="205" w:name="_TOC_250223"/>
      <w:bookmarkEnd w:id="205"/>
      <w:r>
        <w:t>14-I.A. PREVENTING ERRORS AND PROGRAM ABUSE</w:t>
      </w:r>
    </w:p>
    <w:p w:rsidR="004E13A5" w:rsidRDefault="00681463">
      <w:pPr>
        <w:pStyle w:val="BodyText"/>
        <w:ind w:right="89"/>
      </w:pPr>
      <w:r>
        <w:t>HUD created the Enterprise Income Verification (EIV) system to provide PHAs with a powerful tool for preventing errors and detecting program abuse. PHAs are required to use the EIV system in its entirety in accordance with HUD administrative guidance [24 CFR 5.233]. PHAs are further required to:</w:t>
      </w:r>
    </w:p>
    <w:p w:rsidR="004E13A5" w:rsidRDefault="00681463">
      <w:pPr>
        <w:pStyle w:val="ListParagraph"/>
        <w:numPr>
          <w:ilvl w:val="0"/>
          <w:numId w:val="52"/>
        </w:numPr>
        <w:tabs>
          <w:tab w:val="left" w:pos="820"/>
          <w:tab w:val="left" w:pos="821"/>
        </w:tabs>
        <w:spacing w:before="120"/>
        <w:ind w:right="632" w:firstLine="0"/>
        <w:rPr>
          <w:sz w:val="24"/>
        </w:rPr>
      </w:pPr>
      <w:r>
        <w:rPr>
          <w:sz w:val="24"/>
        </w:rPr>
        <w:t>Provide applicants and participants with form HUD-52675, “Debts Owed to PHAs and Terminations”</w:t>
      </w:r>
    </w:p>
    <w:p w:rsidR="004E13A5" w:rsidRDefault="00681463">
      <w:pPr>
        <w:pStyle w:val="ListParagraph"/>
        <w:numPr>
          <w:ilvl w:val="0"/>
          <w:numId w:val="52"/>
        </w:numPr>
        <w:tabs>
          <w:tab w:val="left" w:pos="820"/>
          <w:tab w:val="left" w:pos="821"/>
        </w:tabs>
        <w:spacing w:before="120"/>
        <w:ind w:right="378" w:firstLine="0"/>
        <w:rPr>
          <w:sz w:val="24"/>
        </w:rPr>
      </w:pPr>
      <w:r>
        <w:rPr>
          <w:sz w:val="24"/>
        </w:rPr>
        <w:t>Require all adult members of an applicant or participant family to acknowledge receipt</w:t>
      </w:r>
      <w:r>
        <w:rPr>
          <w:spacing w:val="-18"/>
          <w:sz w:val="24"/>
        </w:rPr>
        <w:t xml:space="preserve"> </w:t>
      </w:r>
      <w:r>
        <w:rPr>
          <w:sz w:val="24"/>
        </w:rPr>
        <w:t>of form HUD-52675 by signing a copy of the form for retention in the family</w:t>
      </w:r>
      <w:r>
        <w:rPr>
          <w:spacing w:val="-13"/>
          <w:sz w:val="24"/>
        </w:rPr>
        <w:t xml:space="preserve"> </w:t>
      </w:r>
      <w:r>
        <w:rPr>
          <w:sz w:val="24"/>
        </w:rPr>
        <w:t>file</w:t>
      </w:r>
    </w:p>
    <w:p w:rsidR="004E13A5" w:rsidRDefault="00681463">
      <w:pPr>
        <w:pStyle w:val="BodyText"/>
        <w:spacing w:before="120"/>
        <w:ind w:left="820"/>
      </w:pPr>
      <w:r>
        <w:rPr>
          <w:u w:val="single"/>
        </w:rPr>
        <w:t>PHA Policy</w:t>
      </w:r>
    </w:p>
    <w:p w:rsidR="004E13A5" w:rsidRDefault="00681463">
      <w:pPr>
        <w:pStyle w:val="BodyText"/>
        <w:spacing w:before="120"/>
        <w:ind w:left="820"/>
      </w:pPr>
      <w:r>
        <w:t>To ensure that the PHA’s HCV program is administered according to the highest ethical and legal standards, the PHA will employ a variety of techniques to ensure that both errors and intentional program abuse are rare.</w:t>
      </w:r>
    </w:p>
    <w:p w:rsidR="004E13A5" w:rsidRDefault="00681463">
      <w:pPr>
        <w:pStyle w:val="BodyText"/>
        <w:spacing w:before="120"/>
        <w:ind w:left="1540" w:right="314"/>
      </w:pPr>
      <w:r>
        <w:t>The PHA will discuss program compliance and integrity issues during the voucher briefing sessions described in Chapter 5.</w:t>
      </w:r>
    </w:p>
    <w:p w:rsidR="004E13A5" w:rsidRDefault="00681463">
      <w:pPr>
        <w:pStyle w:val="BodyText"/>
        <w:spacing w:before="120"/>
        <w:ind w:left="1540" w:right="110"/>
      </w:pPr>
      <w:r>
        <w:t>The PHA will provide each applicant and participant with a copy of “Is Fraud Worth It?” (Form HUD-1141-OIG), which explains the types of actions a family must avoid and the penalties for program</w:t>
      </w:r>
      <w:r>
        <w:rPr>
          <w:spacing w:val="-8"/>
        </w:rPr>
        <w:t xml:space="preserve"> </w:t>
      </w:r>
      <w:r>
        <w:t>abuse.</w:t>
      </w:r>
    </w:p>
    <w:p w:rsidR="004E13A5" w:rsidRDefault="00681463">
      <w:pPr>
        <w:pStyle w:val="BodyText"/>
        <w:ind w:left="1540" w:right="122"/>
      </w:pPr>
      <w:r>
        <w:t xml:space="preserve">The PHA will provide each applicant and participant with a copy of “What You Should Know about EIV,” a guide to the Enterprise Income Verification (EIV) system published by HUD as an attachment to Notice PIH 2017-12. In addition, the PHA will require the head of each household to acknowledge receipt of the guide by </w:t>
      </w:r>
      <w:r>
        <w:lastRenderedPageBreak/>
        <w:t>signing a copy for retention in the family file.</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BodyText"/>
        <w:spacing w:before="79"/>
        <w:ind w:left="1540" w:right="116"/>
      </w:pPr>
      <w:r>
        <w:lastRenderedPageBreak/>
        <w:t>The PHA will place a warning statement about the penalties for fraud (as described in 18 U.S.C. 1001 and 1010) on key PHA forms and form letters that request information from a family or owner.</w:t>
      </w:r>
    </w:p>
    <w:p w:rsidR="004E13A5" w:rsidRDefault="00681463">
      <w:pPr>
        <w:pStyle w:val="BodyText"/>
        <w:spacing w:before="120"/>
        <w:ind w:left="1540" w:right="82"/>
      </w:pPr>
      <w:r>
        <w:t>PHA staff will be required to review and explain the contents of all HUD- and PHA- required forms prior to requesting family member signatures.</w:t>
      </w:r>
    </w:p>
    <w:p w:rsidR="004E13A5" w:rsidRDefault="00681463">
      <w:pPr>
        <w:pStyle w:val="BodyText"/>
        <w:spacing w:before="120"/>
        <w:ind w:left="1540" w:right="862"/>
      </w:pPr>
      <w:r>
        <w:t>At every regular reexamination, PHA staff will explain any changes in HUD regulations or PHA policy that affect program participants.</w:t>
      </w:r>
    </w:p>
    <w:p w:rsidR="004E13A5" w:rsidRDefault="00681463">
      <w:pPr>
        <w:pStyle w:val="BodyText"/>
        <w:spacing w:before="120"/>
        <w:ind w:left="1540" w:right="282"/>
      </w:pPr>
      <w:r>
        <w:t>The PHA will require first-time owners (or their agents) to participate in a briefing session on HAP contract requirements.</w:t>
      </w:r>
    </w:p>
    <w:p w:rsidR="004E13A5" w:rsidRDefault="00681463">
      <w:pPr>
        <w:pStyle w:val="BodyText"/>
        <w:spacing w:before="120"/>
        <w:ind w:left="1540" w:right="148"/>
      </w:pPr>
      <w:r>
        <w:t>The PHA will provide owners with ongoing information about the program, with an emphasis on actions and situations to avoid.</w:t>
      </w:r>
    </w:p>
    <w:p w:rsidR="004E13A5" w:rsidRDefault="00681463">
      <w:pPr>
        <w:pStyle w:val="BodyText"/>
        <w:spacing w:before="120"/>
        <w:ind w:left="1540"/>
      </w:pPr>
      <w:r>
        <w:t>The PHA will provide each PHA employee with the necessary training on program rules and the organization’s standards of conduct and ethics.</w:t>
      </w:r>
    </w:p>
    <w:p w:rsidR="004E13A5" w:rsidRDefault="00681463">
      <w:pPr>
        <w:pStyle w:val="BodyText"/>
        <w:spacing w:before="120"/>
        <w:ind w:left="820"/>
      </w:pPr>
      <w:r>
        <w:t xml:space="preserve">For purposes of this chapter the term </w:t>
      </w:r>
      <w:r>
        <w:rPr>
          <w:i/>
        </w:rPr>
        <w:t xml:space="preserve">error </w:t>
      </w:r>
      <w:r>
        <w:t xml:space="preserve">refers to an unintentional error or omission. </w:t>
      </w:r>
      <w:r>
        <w:rPr>
          <w:i/>
        </w:rPr>
        <w:t xml:space="preserve">Program abuse or fraud </w:t>
      </w:r>
      <w:r>
        <w:t>refers to a single act or pattern of actions that constitute a false statement, omission, or concealment of a substantial fact, made with the intent to deceive or mislead.</w:t>
      </w:r>
    </w:p>
    <w:p w:rsidR="004E13A5" w:rsidRDefault="004E13A5">
      <w:pPr>
        <w:pStyle w:val="BodyText"/>
        <w:spacing w:before="9"/>
        <w:ind w:left="0"/>
        <w:rPr>
          <w:sz w:val="20"/>
        </w:rPr>
      </w:pPr>
    </w:p>
    <w:p w:rsidR="004E13A5" w:rsidRDefault="00681463">
      <w:pPr>
        <w:pStyle w:val="Heading4"/>
        <w:spacing w:before="1"/>
      </w:pPr>
      <w:bookmarkStart w:id="206" w:name="_TOC_250222"/>
      <w:bookmarkEnd w:id="206"/>
      <w:r>
        <w:t>14-I.B. DETECTING ERRORS AND PROGRAM ABUSE</w:t>
      </w:r>
    </w:p>
    <w:p w:rsidR="004E13A5" w:rsidRDefault="00681463">
      <w:pPr>
        <w:pStyle w:val="BodyText"/>
        <w:spacing w:before="120"/>
        <w:ind w:right="715"/>
      </w:pPr>
      <w:r>
        <w:t>In addition to taking steps to prevent errors and program abuse, the PHA will use a variety of activities to detect errors and program abuse.</w:t>
      </w:r>
    </w:p>
    <w:p w:rsidR="004E13A5" w:rsidRDefault="00681463">
      <w:pPr>
        <w:pStyle w:val="Heading4"/>
        <w:spacing w:before="120"/>
      </w:pPr>
      <w:bookmarkStart w:id="207" w:name="_TOC_250221"/>
      <w:bookmarkEnd w:id="207"/>
      <w:r>
        <w:t>Quality Control and Analysis of Data</w:t>
      </w:r>
    </w:p>
    <w:p w:rsidR="004E13A5" w:rsidRDefault="00681463">
      <w:pPr>
        <w:pStyle w:val="BodyText"/>
        <w:spacing w:before="120"/>
        <w:ind w:right="116"/>
      </w:pPr>
      <w:r>
        <w:t xml:space="preserve">Under the Section 8 Management Assessment Program (SEMAP), HUD requires the PHA to review a random sample of tenant records annually to determine if the records conform to program requirements and to conduct quality control inspections of a sample of units to ensure </w:t>
      </w:r>
      <w:r w:rsidR="002C4221">
        <w:t>NSPIRE</w:t>
      </w:r>
      <w:r>
        <w:t xml:space="preserve"> compliance [24 CFR, Part 985]. (See Chapter 16 for additional information about SEMAP requirements).</w:t>
      </w:r>
    </w:p>
    <w:p w:rsidR="004E13A5" w:rsidRDefault="00681463">
      <w:pPr>
        <w:pStyle w:val="BodyText"/>
        <w:spacing w:before="120"/>
        <w:ind w:left="820"/>
      </w:pPr>
      <w:r>
        <w:rPr>
          <w:u w:val="single"/>
        </w:rPr>
        <w:t>PHA Policy</w:t>
      </w:r>
    </w:p>
    <w:p w:rsidR="004E13A5" w:rsidRDefault="00681463">
      <w:pPr>
        <w:pStyle w:val="BodyText"/>
        <w:spacing w:before="120"/>
        <w:ind w:left="820"/>
      </w:pPr>
      <w:r>
        <w:t>In addition to the SEMAP quality control requirements, the PHA will employ a variety of methods to detect errors and program abuse.</w:t>
      </w:r>
    </w:p>
    <w:p w:rsidR="004E13A5" w:rsidRDefault="00681463">
      <w:pPr>
        <w:pStyle w:val="BodyText"/>
        <w:spacing w:before="120"/>
        <w:ind w:left="1540" w:right="354"/>
      </w:pPr>
      <w:r>
        <w:t>The PHA routinely will use HUD and other non-HUD sources of up-front income verification. This includes The Work Number and any other private or public databases available to the PHA.</w:t>
      </w:r>
    </w:p>
    <w:p w:rsidR="004E13A5" w:rsidRDefault="00681463">
      <w:pPr>
        <w:pStyle w:val="BodyText"/>
        <w:spacing w:before="120"/>
        <w:ind w:left="1540" w:right="382"/>
      </w:pPr>
      <w:r>
        <w:t>At each annual reexamination, current information provided by the family will be compared to information provided at the last annual reexamination to identify inconsistencies and incomplete information.</w:t>
      </w:r>
    </w:p>
    <w:p w:rsidR="004E13A5" w:rsidRDefault="00681463">
      <w:pPr>
        <w:pStyle w:val="BodyText"/>
        <w:spacing w:before="120"/>
        <w:ind w:left="1540" w:right="235"/>
      </w:pPr>
      <w:r>
        <w:t>The PHA will compare family-reported income and expenditures to detect possible unreported income.</w:t>
      </w:r>
    </w:p>
    <w:p w:rsidR="004E13A5" w:rsidRDefault="00681463">
      <w:pPr>
        <w:pStyle w:val="Heading4"/>
        <w:spacing w:before="120"/>
      </w:pPr>
      <w:bookmarkStart w:id="208" w:name="_TOC_250220"/>
      <w:bookmarkEnd w:id="208"/>
      <w:r>
        <w:t>Independent Audits and HUD Monitoring</w:t>
      </w:r>
    </w:p>
    <w:p w:rsidR="004E13A5" w:rsidRDefault="00681463">
      <w:pPr>
        <w:pStyle w:val="BodyText"/>
        <w:spacing w:before="120"/>
        <w:ind w:right="235"/>
      </w:pPr>
      <w:r>
        <w:t>OMB Circular A-133 requires all PHAs that expend $500,000 or more in federal awards annually to have an independent audit (IPA). In addition, HUD conducts periodic on-site and automated monitoring of PHA activities and notifies the PHA of errors and potential cases of program abuse.</w:t>
      </w:r>
    </w:p>
    <w:p w:rsidR="004E13A5" w:rsidRDefault="004E13A5">
      <w:pPr>
        <w:sectPr w:rsidR="004E13A5">
          <w:pgSz w:w="12240" w:h="15840"/>
          <w:pgMar w:top="1000" w:right="1240" w:bottom="122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The PHA will use the results reported in any IPA or HUD monitoring reports to identify potential program abuses as well as to assess the effectiveness of the PHA’s error detection and abuse prevention efforts.</w:t>
      </w:r>
    </w:p>
    <w:p w:rsidR="004E13A5" w:rsidRDefault="00681463">
      <w:pPr>
        <w:pStyle w:val="Heading4"/>
        <w:spacing w:before="119"/>
      </w:pPr>
      <w:bookmarkStart w:id="209" w:name="_TOC_250219"/>
      <w:bookmarkEnd w:id="209"/>
      <w:r>
        <w:t>Individual Reporting of Possible Errors and Program Abuse</w:t>
      </w:r>
    </w:p>
    <w:p w:rsidR="004E13A5" w:rsidRDefault="00681463">
      <w:pPr>
        <w:pStyle w:val="BodyText"/>
        <w:ind w:left="820"/>
      </w:pPr>
      <w:r>
        <w:rPr>
          <w:u w:val="single"/>
        </w:rPr>
        <w:t>PHA Policy</w:t>
      </w:r>
    </w:p>
    <w:p w:rsidR="004E13A5" w:rsidRDefault="00681463">
      <w:pPr>
        <w:pStyle w:val="BodyText"/>
        <w:ind w:left="820" w:right="742"/>
      </w:pPr>
      <w:r>
        <w:t>The PHA will encourage staff, program participants, and the public to report possible program abuse.</w:t>
      </w:r>
    </w:p>
    <w:p w:rsidR="004E13A5" w:rsidRDefault="004E13A5">
      <w:pPr>
        <w:pStyle w:val="BodyText"/>
        <w:spacing w:before="9"/>
        <w:ind w:left="0"/>
        <w:rPr>
          <w:sz w:val="20"/>
        </w:rPr>
      </w:pPr>
    </w:p>
    <w:p w:rsidR="004E13A5" w:rsidRDefault="00681463">
      <w:pPr>
        <w:pStyle w:val="Heading4"/>
      </w:pPr>
      <w:bookmarkStart w:id="210" w:name="_TOC_250218"/>
      <w:bookmarkEnd w:id="210"/>
      <w:r>
        <w:t>14-I.C. INVESTIGATING ERRORS AND PROGRAM ABUSE</w:t>
      </w:r>
    </w:p>
    <w:p w:rsidR="004E13A5" w:rsidRDefault="00681463">
      <w:pPr>
        <w:pStyle w:val="Heading4"/>
        <w:spacing w:before="119"/>
      </w:pPr>
      <w:bookmarkStart w:id="211" w:name="_TOC_250217"/>
      <w:bookmarkEnd w:id="211"/>
      <w:r>
        <w:t>When the PHA Will Investigate</w:t>
      </w:r>
    </w:p>
    <w:p w:rsidR="004E13A5" w:rsidRDefault="00681463">
      <w:pPr>
        <w:pStyle w:val="BodyText"/>
        <w:ind w:left="820"/>
      </w:pPr>
      <w:r>
        <w:rPr>
          <w:u w:val="single"/>
        </w:rPr>
        <w:t>PHA Policy</w:t>
      </w:r>
    </w:p>
    <w:p w:rsidR="004E13A5" w:rsidRDefault="00681463">
      <w:pPr>
        <w:pStyle w:val="BodyText"/>
        <w:spacing w:before="120"/>
        <w:ind w:left="820" w:right="89"/>
      </w:pPr>
      <w:r>
        <w:t>The PHA will review all referrals, specific allegations, complaints, and tips from any source including other agencies, companies, and individuals, to determine if they warrant investigation. In order for the PHA to investigate, the allegation must contain at least one independently verifiable item of information, such as the name of an employer or the name of an unauthorized household member.</w:t>
      </w:r>
    </w:p>
    <w:p w:rsidR="004E13A5" w:rsidRDefault="00681463">
      <w:pPr>
        <w:pStyle w:val="BodyText"/>
        <w:ind w:left="820" w:right="342"/>
      </w:pPr>
      <w:r>
        <w:t>The PHA will investigate when inconsistent or contradictory information is detected through file reviews and the verification process.</w:t>
      </w:r>
    </w:p>
    <w:p w:rsidR="004E13A5" w:rsidRDefault="00681463">
      <w:pPr>
        <w:pStyle w:val="Heading4"/>
        <w:spacing w:before="119"/>
      </w:pPr>
      <w:bookmarkStart w:id="212" w:name="_TOC_250216"/>
      <w:bookmarkEnd w:id="212"/>
      <w:r>
        <w:t>Consent to Release of Information [24 CFR 982.516]</w:t>
      </w:r>
    </w:p>
    <w:p w:rsidR="004E13A5" w:rsidRDefault="00681463">
      <w:pPr>
        <w:pStyle w:val="BodyText"/>
        <w:ind w:right="341"/>
        <w:jc w:val="both"/>
      </w:pPr>
      <w:r>
        <w:t>The PHA may investigate possible instances of error or abuse using all available PHA and public records. If necessary, the PHA will require HCV families to sign consent forms for the release of additional information.</w:t>
      </w:r>
    </w:p>
    <w:p w:rsidR="004E13A5" w:rsidRDefault="00681463">
      <w:pPr>
        <w:pStyle w:val="Heading4"/>
        <w:spacing w:before="119"/>
      </w:pPr>
      <w:bookmarkStart w:id="213" w:name="_TOC_250215"/>
      <w:bookmarkEnd w:id="213"/>
      <w:r>
        <w:t>Analysis and Findings</w:t>
      </w:r>
    </w:p>
    <w:p w:rsidR="004E13A5" w:rsidRDefault="00681463">
      <w:pPr>
        <w:pStyle w:val="BodyText"/>
        <w:ind w:left="820"/>
      </w:pPr>
      <w:r>
        <w:rPr>
          <w:u w:val="single"/>
        </w:rPr>
        <w:t>PHA Policy</w:t>
      </w:r>
    </w:p>
    <w:p w:rsidR="004E13A5" w:rsidRDefault="00681463">
      <w:pPr>
        <w:pStyle w:val="BodyText"/>
        <w:ind w:left="820" w:right="396"/>
      </w:pPr>
      <w:r>
        <w:t>The PHA will base its evaluation on a preponderance of the evidence collected during its investigation.</w:t>
      </w:r>
    </w:p>
    <w:p w:rsidR="004E13A5" w:rsidRDefault="00681463">
      <w:pPr>
        <w:pStyle w:val="BodyText"/>
        <w:ind w:left="820" w:right="162"/>
      </w:pPr>
      <w:r>
        <w:rPr>
          <w:i/>
        </w:rPr>
        <w:t xml:space="preserve">Preponderance of the evidence </w:t>
      </w:r>
      <w:r>
        <w:t>is defined as evidence which is of greater weight or more convincing than the evidence which is offered in opposition to it; that is, evidence that as a whole shows that the fact sought to be proved is more probable than not. Preponderance of evidence may not be determined by the number of witnesses, but by the greater weight of all evidence.</w:t>
      </w:r>
    </w:p>
    <w:p w:rsidR="004E13A5" w:rsidRDefault="00681463">
      <w:pPr>
        <w:pStyle w:val="BodyText"/>
        <w:ind w:left="820"/>
      </w:pPr>
      <w:r>
        <w:t>For each investigation the PHA will determine (1) whether an error or program abuse has occurred, (2) whether any amount of money is owed the PHA, and (3) what corrective measures or penalties will be assessed.</w:t>
      </w:r>
    </w:p>
    <w:p w:rsidR="004E13A5" w:rsidRDefault="00681463">
      <w:pPr>
        <w:pStyle w:val="Heading4"/>
        <w:spacing w:before="119"/>
      </w:pPr>
      <w:bookmarkStart w:id="214" w:name="_TOC_250214"/>
      <w:bookmarkEnd w:id="214"/>
      <w:r>
        <w:t>Consideration of Remedies</w:t>
      </w:r>
    </w:p>
    <w:p w:rsidR="004E13A5" w:rsidRDefault="00681463">
      <w:pPr>
        <w:pStyle w:val="BodyText"/>
        <w:ind w:right="256"/>
      </w:pPr>
      <w:r>
        <w:t>All errors and instances of program abuse must be corrected prospectively. Whether the PHA will enforce other corrective actions and penalties depends upon the nature of the error or program abuse.</w:t>
      </w:r>
    </w:p>
    <w:p w:rsidR="004E13A5" w:rsidRDefault="004E13A5">
      <w:pPr>
        <w:sectPr w:rsidR="004E13A5">
          <w:pgSz w:w="12240" w:h="15840"/>
          <w:pgMar w:top="1000" w:right="1240" w:bottom="1240" w:left="1220" w:header="0" w:footer="1023"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In the case of family-caused errors or program abuse, the PHA will take into consideration</w:t>
      </w:r>
    </w:p>
    <w:p w:rsidR="004E13A5" w:rsidRDefault="00681463">
      <w:pPr>
        <w:pStyle w:val="BodyText"/>
        <w:spacing w:before="0"/>
        <w:ind w:left="820" w:right="195"/>
      </w:pPr>
      <w:r>
        <w:t>(1) the seriousness of the offense and the extent of participation or culpability of individual family members, (2) any special circumstances surrounding the case, (3) any mitigating circumstances related to the disability of a family member, (4) the effects of a particular remedy on family members who were not involved in the offense.</w:t>
      </w:r>
    </w:p>
    <w:p w:rsidR="004E13A5" w:rsidRDefault="00681463">
      <w:pPr>
        <w:pStyle w:val="BodyText"/>
        <w:spacing w:before="120"/>
        <w:ind w:left="820"/>
      </w:pPr>
      <w:r>
        <w:t>In the case of owner-caused errors or program abuse, the PHA will take into consideration</w:t>
      </w:r>
    </w:p>
    <w:p w:rsidR="004E13A5" w:rsidRDefault="00681463">
      <w:pPr>
        <w:pStyle w:val="BodyText"/>
        <w:spacing w:before="0"/>
        <w:ind w:left="820" w:right="223"/>
      </w:pPr>
      <w:r>
        <w:t>(1) the seriousness of the offense, (2) the length of time since the violation has occurred, and (3) the effects of a particular remedy on family members who were not involved in the offense.</w:t>
      </w:r>
    </w:p>
    <w:p w:rsidR="004E13A5" w:rsidRDefault="00681463">
      <w:pPr>
        <w:pStyle w:val="Heading4"/>
        <w:spacing w:before="120"/>
      </w:pPr>
      <w:bookmarkStart w:id="215" w:name="_TOC_250213"/>
      <w:bookmarkEnd w:id="215"/>
      <w:r>
        <w:t>Notice and Appeals</w:t>
      </w:r>
    </w:p>
    <w:p w:rsidR="004E13A5" w:rsidRDefault="00681463">
      <w:pPr>
        <w:pStyle w:val="BodyText"/>
        <w:ind w:left="820"/>
      </w:pPr>
      <w:r>
        <w:rPr>
          <w:u w:val="single"/>
        </w:rPr>
        <w:t>PHA Policy</w:t>
      </w:r>
    </w:p>
    <w:p w:rsidR="004E13A5" w:rsidRDefault="00681463">
      <w:pPr>
        <w:pStyle w:val="BodyText"/>
        <w:spacing w:before="120"/>
        <w:ind w:left="820" w:right="116"/>
      </w:pPr>
      <w:r>
        <w:t>The PHA will inform the relevant party in writing of its findings and remedies within 10 business days of the conclusion of the investigation. The notice will include (1) a description of the error or program abuse, (2) the basis on which the PHA determined the error or program abuses, (3) the remedies to be employed, and (4) the family’s right to appeal the results through the informal review or hearing process, if applicable (see Chapter 16).</w:t>
      </w:r>
    </w:p>
    <w:p w:rsidR="004E13A5" w:rsidRDefault="004E13A5">
      <w:pPr>
        <w:pStyle w:val="BodyText"/>
        <w:spacing w:before="0"/>
        <w:ind w:left="0"/>
        <w:rPr>
          <w:sz w:val="13"/>
        </w:rPr>
      </w:pPr>
    </w:p>
    <w:p w:rsidR="004E13A5" w:rsidRDefault="00681463">
      <w:pPr>
        <w:pStyle w:val="Heading4"/>
        <w:spacing w:before="90"/>
        <w:ind w:left="1869"/>
      </w:pPr>
      <w:bookmarkStart w:id="216" w:name="_TOC_250212"/>
      <w:bookmarkEnd w:id="216"/>
      <w:r>
        <w:t>PART II: CORRECTIVE MEASURES AND PENALTIES</w:t>
      </w:r>
    </w:p>
    <w:p w:rsidR="004E13A5" w:rsidRDefault="004E13A5">
      <w:pPr>
        <w:pStyle w:val="BodyText"/>
        <w:spacing w:before="9"/>
        <w:ind w:left="0"/>
        <w:rPr>
          <w:b/>
          <w:sz w:val="20"/>
        </w:rPr>
      </w:pPr>
    </w:p>
    <w:p w:rsidR="004E13A5" w:rsidRDefault="00681463">
      <w:pPr>
        <w:pStyle w:val="Heading4"/>
      </w:pPr>
      <w:bookmarkStart w:id="217" w:name="_TOC_250211"/>
      <w:bookmarkEnd w:id="217"/>
      <w:r>
        <w:t>14-II.A. SUBSIDY UNDER- OR OVERPAYMENTS</w:t>
      </w:r>
    </w:p>
    <w:p w:rsidR="004E13A5" w:rsidRDefault="00681463">
      <w:pPr>
        <w:pStyle w:val="BodyText"/>
        <w:ind w:right="709"/>
      </w:pPr>
      <w:r>
        <w:t>A subsidy under- or overpayment includes (1) an incorrect housing assistance payment to the owner, (2) an incorrect family share established for the family, and (3) an incorrect utility reimbursement to a family.</w:t>
      </w:r>
    </w:p>
    <w:p w:rsidR="004E13A5" w:rsidRDefault="00681463">
      <w:pPr>
        <w:pStyle w:val="Heading4"/>
        <w:spacing w:before="119"/>
      </w:pPr>
      <w:bookmarkStart w:id="218" w:name="_TOC_250210"/>
      <w:bookmarkEnd w:id="218"/>
      <w:r>
        <w:t>Corrections</w:t>
      </w:r>
    </w:p>
    <w:p w:rsidR="004E13A5" w:rsidRDefault="00681463">
      <w:pPr>
        <w:pStyle w:val="BodyText"/>
      </w:pPr>
      <w:r>
        <w:t>Whether the incorrect subsidy determination is an overpayment or underpayment of subsidy, the PHA must promptly correct the HAP, family share, and any utility reimbursement prospectively.</w:t>
      </w:r>
    </w:p>
    <w:p w:rsidR="004E13A5" w:rsidRDefault="00681463">
      <w:pPr>
        <w:pStyle w:val="BodyText"/>
        <w:ind w:left="820"/>
      </w:pPr>
      <w:r>
        <w:rPr>
          <w:u w:val="single"/>
        </w:rPr>
        <w:t>PHA Policy</w:t>
      </w:r>
    </w:p>
    <w:p w:rsidR="004E13A5" w:rsidRDefault="00681463">
      <w:pPr>
        <w:pStyle w:val="BodyText"/>
        <w:ind w:left="820"/>
      </w:pPr>
      <w:r>
        <w:t>Increases in the family share will be implemented on the first of the month following a written 30-day notice.</w:t>
      </w:r>
    </w:p>
    <w:p w:rsidR="004E13A5" w:rsidRDefault="00681463">
      <w:pPr>
        <w:pStyle w:val="BodyText"/>
        <w:ind w:left="820" w:right="476"/>
      </w:pPr>
      <w:r>
        <w:t>Any decreases in family share will become effective the first of the month following the discovery of the error.</w:t>
      </w:r>
    </w:p>
    <w:p w:rsidR="004E13A5" w:rsidRDefault="00681463">
      <w:pPr>
        <w:pStyle w:val="Heading4"/>
        <w:spacing w:before="119"/>
      </w:pPr>
      <w:bookmarkStart w:id="219" w:name="_TOC_250209"/>
      <w:bookmarkEnd w:id="219"/>
      <w:r>
        <w:t>Reimbursement</w:t>
      </w:r>
    </w:p>
    <w:p w:rsidR="004E13A5" w:rsidRDefault="00681463">
      <w:pPr>
        <w:pStyle w:val="BodyText"/>
        <w:spacing w:before="120"/>
        <w:ind w:right="89"/>
      </w:pPr>
      <w:r>
        <w:t>Whether the family or owner is required to reimburse the PHA or the PHA is required to make retroactive subsidy payments to the owner or family depends upon which party is responsible for the incorrect subsidy payment and whether the action taken was an error or program abuse. Policies regarding reimbursement are discussed in the three sections that follow.</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pPr>
      <w:bookmarkStart w:id="220" w:name="_TOC_250208"/>
      <w:bookmarkEnd w:id="220"/>
      <w:r>
        <w:lastRenderedPageBreak/>
        <w:t>14-II.B. FAMILY-CAUSED ERRORS AND PROGRAM ABUSE</w:t>
      </w:r>
    </w:p>
    <w:p w:rsidR="004E13A5" w:rsidRDefault="00681463">
      <w:pPr>
        <w:pStyle w:val="BodyText"/>
        <w:spacing w:before="120"/>
        <w:ind w:right="483"/>
        <w:jc w:val="both"/>
      </w:pPr>
      <w:r>
        <w:t>Family obligations and general administrative requirements for participating in the program are discussed throughout this plan. This section deals specifically with errors and program abuse by family members.</w:t>
      </w:r>
    </w:p>
    <w:p w:rsidR="004E13A5" w:rsidRDefault="00681463">
      <w:pPr>
        <w:pStyle w:val="BodyText"/>
      </w:pPr>
      <w:r>
        <w:t>An incorrect subsidy determination caused by a family generally would be the result of incorrect reporting of family composition, income, assets, or expenses, but also would include instances in which the family knowingly allows the PHA to use incorrect information provided by a third party.</w:t>
      </w:r>
    </w:p>
    <w:p w:rsidR="004E13A5" w:rsidRDefault="00681463">
      <w:pPr>
        <w:pStyle w:val="Heading4"/>
        <w:spacing w:before="119"/>
      </w:pPr>
      <w:bookmarkStart w:id="221" w:name="_TOC_250207"/>
      <w:bookmarkEnd w:id="221"/>
      <w:r>
        <w:t>Family Reimbursement to PHA [HCV GB pp. 22-12 to 22-13]</w:t>
      </w:r>
    </w:p>
    <w:p w:rsidR="004E13A5" w:rsidRDefault="00681463">
      <w:pPr>
        <w:pStyle w:val="BodyText"/>
        <w:ind w:left="820"/>
      </w:pPr>
      <w:r>
        <w:rPr>
          <w:u w:val="single"/>
        </w:rPr>
        <w:t>PHA Policy</w:t>
      </w:r>
    </w:p>
    <w:p w:rsidR="004E13A5" w:rsidRDefault="00681463">
      <w:pPr>
        <w:pStyle w:val="BodyText"/>
        <w:ind w:left="820" w:right="183"/>
      </w:pPr>
      <w:r>
        <w:t>In the case of family-caused errors or program abuse, the family will be required to repay any excess subsidy received. The PHA may, but is not required to, offer the family a repayment agreement in accordance with Chapter 16. If the family fails to repay the excess subsidy, the PHA will terminate the family’s assistance in accordance with the policies in Chapter 12.</w:t>
      </w:r>
    </w:p>
    <w:p w:rsidR="004E13A5" w:rsidRDefault="00681463">
      <w:pPr>
        <w:pStyle w:val="Heading4"/>
        <w:spacing w:before="119"/>
      </w:pPr>
      <w:bookmarkStart w:id="222" w:name="_TOC_250206"/>
      <w:bookmarkEnd w:id="222"/>
      <w:r>
        <w:t>PHA Reimbursement to Family [HCV GB p. 22-12]</w:t>
      </w:r>
    </w:p>
    <w:p w:rsidR="004E13A5" w:rsidRDefault="00681463">
      <w:pPr>
        <w:pStyle w:val="BodyText"/>
        <w:ind w:left="820"/>
      </w:pPr>
      <w:r>
        <w:rPr>
          <w:u w:val="single"/>
        </w:rPr>
        <w:t>PHA Policy</w:t>
      </w:r>
    </w:p>
    <w:p w:rsidR="004E13A5" w:rsidRDefault="00681463">
      <w:pPr>
        <w:pStyle w:val="BodyText"/>
        <w:ind w:left="820" w:right="795"/>
      </w:pPr>
      <w:r>
        <w:t>The PHA will not reimburse the family for any underpayment of assistance when the underpayment clearly is caused by the family.</w:t>
      </w:r>
    </w:p>
    <w:p w:rsidR="004E13A5" w:rsidRDefault="00681463">
      <w:pPr>
        <w:pStyle w:val="Heading4"/>
        <w:spacing w:before="119"/>
      </w:pPr>
      <w:bookmarkStart w:id="223" w:name="_TOC_250205"/>
      <w:bookmarkEnd w:id="223"/>
      <w:r>
        <w:t>Prohibited Actions</w:t>
      </w:r>
    </w:p>
    <w:p w:rsidR="004E13A5" w:rsidRDefault="00681463">
      <w:pPr>
        <w:pStyle w:val="BodyText"/>
      </w:pPr>
      <w:r>
        <w:t>An applicant or participant in the HCV program must not knowingly:</w:t>
      </w:r>
    </w:p>
    <w:p w:rsidR="004E13A5" w:rsidRDefault="00681463">
      <w:pPr>
        <w:pStyle w:val="ListParagraph"/>
        <w:numPr>
          <w:ilvl w:val="0"/>
          <w:numId w:val="52"/>
        </w:numPr>
        <w:tabs>
          <w:tab w:val="left" w:pos="820"/>
          <w:tab w:val="left" w:pos="821"/>
        </w:tabs>
        <w:ind w:left="820" w:hanging="360"/>
        <w:rPr>
          <w:sz w:val="24"/>
        </w:rPr>
      </w:pPr>
      <w:r>
        <w:rPr>
          <w:sz w:val="24"/>
        </w:rPr>
        <w:t>Make a false statement to the PHA [Title 18 U.S.C. Section</w:t>
      </w:r>
      <w:r>
        <w:rPr>
          <w:spacing w:val="-6"/>
          <w:sz w:val="24"/>
        </w:rPr>
        <w:t xml:space="preserve"> </w:t>
      </w:r>
      <w:r>
        <w:rPr>
          <w:sz w:val="24"/>
        </w:rPr>
        <w:t>1001].</w:t>
      </w:r>
    </w:p>
    <w:p w:rsidR="004E13A5" w:rsidRDefault="00681463">
      <w:pPr>
        <w:pStyle w:val="ListParagraph"/>
        <w:numPr>
          <w:ilvl w:val="0"/>
          <w:numId w:val="52"/>
        </w:numPr>
        <w:tabs>
          <w:tab w:val="left" w:pos="820"/>
          <w:tab w:val="left" w:pos="821"/>
        </w:tabs>
        <w:ind w:right="343" w:firstLine="0"/>
        <w:rPr>
          <w:sz w:val="24"/>
        </w:rPr>
      </w:pPr>
      <w:r>
        <w:rPr>
          <w:sz w:val="24"/>
        </w:rPr>
        <w:t>Commit fraud, bribery, or any other corrupt or criminal act in connection with any</w:t>
      </w:r>
      <w:r>
        <w:rPr>
          <w:spacing w:val="-18"/>
          <w:sz w:val="24"/>
        </w:rPr>
        <w:t xml:space="preserve"> </w:t>
      </w:r>
      <w:r>
        <w:rPr>
          <w:sz w:val="24"/>
        </w:rPr>
        <w:t>federal housing program [24 CFR</w:t>
      </w:r>
      <w:r>
        <w:rPr>
          <w:spacing w:val="-9"/>
          <w:sz w:val="24"/>
        </w:rPr>
        <w:t xml:space="preserve"> </w:t>
      </w:r>
      <w:r>
        <w:rPr>
          <w:sz w:val="24"/>
        </w:rPr>
        <w:t>982.552(c)(iv)].</w:t>
      </w:r>
    </w:p>
    <w:p w:rsidR="004E13A5" w:rsidRDefault="00681463">
      <w:pPr>
        <w:pStyle w:val="BodyText"/>
        <w:ind w:left="820"/>
      </w:pPr>
      <w:r>
        <w:rPr>
          <w:u w:val="single"/>
        </w:rPr>
        <w:t>PHA Policy</w:t>
      </w:r>
    </w:p>
    <w:p w:rsidR="004E13A5" w:rsidRDefault="00681463">
      <w:pPr>
        <w:pStyle w:val="BodyText"/>
        <w:ind w:left="820"/>
      </w:pPr>
      <w:r>
        <w:t>Any of the following will be considered evidence of family program abuse:</w:t>
      </w:r>
    </w:p>
    <w:p w:rsidR="004E13A5" w:rsidRDefault="00681463">
      <w:pPr>
        <w:pStyle w:val="BodyText"/>
        <w:ind w:left="1540" w:right="155"/>
      </w:pPr>
      <w:r>
        <w:t>Payment to the owner in excess of amounts authorized by the PHA for rent, security deposit, and additional services</w:t>
      </w:r>
    </w:p>
    <w:p w:rsidR="004E13A5" w:rsidRDefault="00681463">
      <w:pPr>
        <w:pStyle w:val="BodyText"/>
        <w:ind w:left="1540"/>
      </w:pPr>
      <w:r>
        <w:t>Offering bribes or illegal gratuities to the PHA Board of Commissioners, employees, contractors, or other PHA representatives</w:t>
      </w:r>
    </w:p>
    <w:p w:rsidR="004E13A5" w:rsidRDefault="00681463">
      <w:pPr>
        <w:pStyle w:val="BodyText"/>
        <w:ind w:left="1540" w:right="124"/>
        <w:jc w:val="both"/>
      </w:pPr>
      <w:r>
        <w:t>Offering payments or other incentives to the owner or a third party as an inducement for the third party to make false or misleading statements to the PHA on the</w:t>
      </w:r>
      <w:r>
        <w:rPr>
          <w:spacing w:val="-13"/>
        </w:rPr>
        <w:t xml:space="preserve"> </w:t>
      </w:r>
      <w:r>
        <w:t>family’s behalf</w:t>
      </w:r>
    </w:p>
    <w:p w:rsidR="004E13A5" w:rsidRDefault="00681463">
      <w:pPr>
        <w:pStyle w:val="BodyText"/>
        <w:spacing w:before="120"/>
        <w:ind w:left="1540"/>
        <w:jc w:val="both"/>
      </w:pPr>
      <w:r>
        <w:t>Use of a false name or the use of falsified, forged, or altered documents</w:t>
      </w:r>
    </w:p>
    <w:p w:rsidR="004E13A5" w:rsidRDefault="00681463">
      <w:pPr>
        <w:pStyle w:val="BodyText"/>
        <w:ind w:left="1540" w:right="95"/>
      </w:pPr>
      <w:r>
        <w:t>Intentional misreporting of family information or circumstances (e.g. income, family composition)</w:t>
      </w:r>
    </w:p>
    <w:p w:rsidR="004E13A5" w:rsidRDefault="00681463">
      <w:pPr>
        <w:pStyle w:val="BodyText"/>
        <w:ind w:left="1540" w:right="421"/>
      </w:pPr>
      <w:r>
        <w:t>Omitted facts that were obviously known by a family member (e.g., not reporting employment income)</w:t>
      </w:r>
    </w:p>
    <w:p w:rsidR="004E13A5" w:rsidRDefault="00681463">
      <w:pPr>
        <w:pStyle w:val="BodyText"/>
        <w:ind w:left="1540"/>
        <w:jc w:val="both"/>
      </w:pPr>
      <w:r>
        <w:t>Admission of program abuse by an adult family member</w:t>
      </w:r>
    </w:p>
    <w:p w:rsidR="004E13A5" w:rsidRDefault="004E13A5">
      <w:pPr>
        <w:jc w:val="both"/>
        <w:sectPr w:rsidR="004E13A5">
          <w:pgSz w:w="12240" w:h="15840"/>
          <w:pgMar w:top="1000" w:right="1220" w:bottom="1240" w:left="1220" w:header="0" w:footer="1023" w:gutter="0"/>
          <w:cols w:space="720"/>
        </w:sectPr>
      </w:pPr>
    </w:p>
    <w:p w:rsidR="004E13A5" w:rsidRDefault="00681463">
      <w:pPr>
        <w:pStyle w:val="BodyText"/>
        <w:spacing w:before="79"/>
        <w:ind w:left="820" w:right="83"/>
      </w:pPr>
      <w:r>
        <w:lastRenderedPageBreak/>
        <w:t>The PHA may determine other actions to be program abuse based upon a preponderance of the evidence, as defined earlier in this chapter.</w:t>
      </w:r>
    </w:p>
    <w:p w:rsidR="004E13A5" w:rsidRDefault="00681463">
      <w:pPr>
        <w:pStyle w:val="Heading4"/>
        <w:spacing w:before="120"/>
      </w:pPr>
      <w:bookmarkStart w:id="224" w:name="_TOC_250204"/>
      <w:bookmarkEnd w:id="224"/>
      <w:r>
        <w:t>Penalties for Program Abuse</w:t>
      </w:r>
    </w:p>
    <w:p w:rsidR="004E13A5" w:rsidRDefault="00681463">
      <w:pPr>
        <w:pStyle w:val="BodyText"/>
      </w:pPr>
      <w:r>
        <w:t>In the case of program abuse caused by a family the PHA may, at its discretion, impose any of the following remedies.</w:t>
      </w:r>
    </w:p>
    <w:p w:rsidR="004E13A5" w:rsidRDefault="00681463">
      <w:pPr>
        <w:pStyle w:val="ListParagraph"/>
        <w:numPr>
          <w:ilvl w:val="0"/>
          <w:numId w:val="52"/>
        </w:numPr>
        <w:tabs>
          <w:tab w:val="left" w:pos="820"/>
          <w:tab w:val="left" w:pos="821"/>
        </w:tabs>
        <w:ind w:right="513" w:firstLine="0"/>
        <w:rPr>
          <w:sz w:val="24"/>
        </w:rPr>
      </w:pPr>
      <w:r>
        <w:rPr>
          <w:sz w:val="24"/>
        </w:rPr>
        <w:t xml:space="preserve">The PHA may require the family to repay excess subsidy amounts paid </w:t>
      </w:r>
      <w:r>
        <w:rPr>
          <w:spacing w:val="2"/>
          <w:sz w:val="24"/>
        </w:rPr>
        <w:t xml:space="preserve">by </w:t>
      </w:r>
      <w:r>
        <w:rPr>
          <w:sz w:val="24"/>
        </w:rPr>
        <w:t>the PHA,</w:t>
      </w:r>
      <w:r>
        <w:rPr>
          <w:spacing w:val="-19"/>
          <w:sz w:val="24"/>
        </w:rPr>
        <w:t xml:space="preserve"> </w:t>
      </w:r>
      <w:r>
        <w:rPr>
          <w:sz w:val="24"/>
        </w:rPr>
        <w:t>as described earlier in this</w:t>
      </w:r>
      <w:r>
        <w:rPr>
          <w:spacing w:val="-6"/>
          <w:sz w:val="24"/>
        </w:rPr>
        <w:t xml:space="preserve"> </w:t>
      </w:r>
      <w:r>
        <w:rPr>
          <w:sz w:val="24"/>
        </w:rPr>
        <w:t>section.</w:t>
      </w:r>
    </w:p>
    <w:p w:rsidR="004E13A5" w:rsidRDefault="00681463">
      <w:pPr>
        <w:pStyle w:val="ListParagraph"/>
        <w:numPr>
          <w:ilvl w:val="0"/>
          <w:numId w:val="52"/>
        </w:numPr>
        <w:tabs>
          <w:tab w:val="left" w:pos="821"/>
        </w:tabs>
        <w:ind w:right="139" w:firstLine="0"/>
        <w:jc w:val="both"/>
        <w:rPr>
          <w:sz w:val="24"/>
        </w:rPr>
      </w:pPr>
      <w:r>
        <w:rPr>
          <w:sz w:val="24"/>
        </w:rPr>
        <w:t>The PHA may require, as a condition of receiving or continuing assistance, that a culpable family member not reside in the unit. See policies in Chapter 3 (for applicants) and Chapter</w:t>
      </w:r>
      <w:r>
        <w:rPr>
          <w:spacing w:val="-18"/>
          <w:sz w:val="24"/>
        </w:rPr>
        <w:t xml:space="preserve"> </w:t>
      </w:r>
      <w:r>
        <w:rPr>
          <w:sz w:val="24"/>
        </w:rPr>
        <w:t>12 (for</w:t>
      </w:r>
      <w:r>
        <w:rPr>
          <w:spacing w:val="-3"/>
          <w:sz w:val="24"/>
        </w:rPr>
        <w:t xml:space="preserve"> </w:t>
      </w:r>
      <w:r>
        <w:rPr>
          <w:sz w:val="24"/>
        </w:rPr>
        <w:t>participants).</w:t>
      </w:r>
    </w:p>
    <w:p w:rsidR="004E13A5" w:rsidRDefault="00681463">
      <w:pPr>
        <w:pStyle w:val="ListParagraph"/>
        <w:numPr>
          <w:ilvl w:val="0"/>
          <w:numId w:val="52"/>
        </w:numPr>
        <w:tabs>
          <w:tab w:val="left" w:pos="820"/>
          <w:tab w:val="left" w:pos="821"/>
        </w:tabs>
        <w:ind w:right="234" w:firstLine="0"/>
        <w:rPr>
          <w:sz w:val="24"/>
        </w:rPr>
      </w:pPr>
      <w:r>
        <w:rPr>
          <w:sz w:val="24"/>
        </w:rPr>
        <w:t>The PHA may deny or terminate the family’s assistance following the policies set forth</w:t>
      </w:r>
      <w:r>
        <w:rPr>
          <w:spacing w:val="-12"/>
          <w:sz w:val="24"/>
        </w:rPr>
        <w:t xml:space="preserve"> </w:t>
      </w:r>
      <w:r>
        <w:rPr>
          <w:sz w:val="24"/>
        </w:rPr>
        <w:t>in Chapter 3 and Chapter 12</w:t>
      </w:r>
      <w:r>
        <w:rPr>
          <w:spacing w:val="-8"/>
          <w:sz w:val="24"/>
        </w:rPr>
        <w:t xml:space="preserve"> </w:t>
      </w:r>
      <w:r>
        <w:rPr>
          <w:sz w:val="24"/>
        </w:rPr>
        <w:t>respectively.</w:t>
      </w:r>
    </w:p>
    <w:p w:rsidR="004E13A5" w:rsidRDefault="00681463">
      <w:pPr>
        <w:pStyle w:val="ListParagraph"/>
        <w:numPr>
          <w:ilvl w:val="0"/>
          <w:numId w:val="52"/>
        </w:numPr>
        <w:tabs>
          <w:tab w:val="left" w:pos="820"/>
          <w:tab w:val="left" w:pos="821"/>
        </w:tabs>
        <w:spacing w:before="120"/>
        <w:ind w:right="571" w:firstLine="0"/>
        <w:rPr>
          <w:sz w:val="24"/>
        </w:rPr>
      </w:pPr>
      <w:r>
        <w:rPr>
          <w:sz w:val="24"/>
        </w:rPr>
        <w:t>The PHA may refer the family for state or federal criminal prosecution as described</w:t>
      </w:r>
      <w:r>
        <w:rPr>
          <w:spacing w:val="-18"/>
          <w:sz w:val="24"/>
        </w:rPr>
        <w:t xml:space="preserve"> </w:t>
      </w:r>
      <w:r>
        <w:rPr>
          <w:sz w:val="24"/>
        </w:rPr>
        <w:t>in section</w:t>
      </w:r>
      <w:r>
        <w:rPr>
          <w:spacing w:val="-5"/>
          <w:sz w:val="24"/>
        </w:rPr>
        <w:t xml:space="preserve"> </w:t>
      </w:r>
      <w:r>
        <w:rPr>
          <w:sz w:val="24"/>
        </w:rPr>
        <w:t>14-II.E.</w:t>
      </w:r>
    </w:p>
    <w:p w:rsidR="004E13A5" w:rsidRDefault="004E13A5">
      <w:pPr>
        <w:pStyle w:val="BodyText"/>
        <w:spacing w:before="9"/>
        <w:ind w:left="0"/>
        <w:rPr>
          <w:sz w:val="20"/>
        </w:rPr>
      </w:pPr>
    </w:p>
    <w:p w:rsidR="004E13A5" w:rsidRDefault="00681463">
      <w:pPr>
        <w:pStyle w:val="Heading4"/>
      </w:pPr>
      <w:bookmarkStart w:id="225" w:name="_TOC_250203"/>
      <w:bookmarkEnd w:id="225"/>
      <w:r>
        <w:t>14-II.C. OWNER-CAUSED ERROR OR PROGRAM ABUSE</w:t>
      </w:r>
    </w:p>
    <w:p w:rsidR="004E13A5" w:rsidRDefault="00681463">
      <w:pPr>
        <w:pStyle w:val="BodyText"/>
      </w:pPr>
      <w:r>
        <w:t xml:space="preserve">Owner requirements that are part of the regular process of offering, leasing, and maintaining a unit (e.g., </w:t>
      </w:r>
      <w:r w:rsidR="002C4221">
        <w:t>NSPIRE</w:t>
      </w:r>
      <w:r>
        <w:t xml:space="preserve"> compliance, fair housing) are addressed in the appropriate chapters of this plan. This section focuses on errors and program abuse by owners.</w:t>
      </w:r>
    </w:p>
    <w:p w:rsidR="004E13A5" w:rsidRDefault="00681463">
      <w:pPr>
        <w:pStyle w:val="BodyText"/>
        <w:ind w:right="142"/>
      </w:pPr>
      <w:r>
        <w:t>An incorrect subsidy determination caused by an owner generally would be the result of an incorrect owner statement about the characteristics of the assisted unit (e.g., the number of bedrooms, which utilities are paid by the family). It also includes accepting duplicate housing assistance payments for the same unit in the same month, or after a family no longer resides in the unit.</w:t>
      </w:r>
    </w:p>
    <w:p w:rsidR="004E13A5" w:rsidRDefault="00681463">
      <w:pPr>
        <w:pStyle w:val="Heading4"/>
        <w:spacing w:before="119"/>
      </w:pPr>
      <w:bookmarkStart w:id="226" w:name="_TOC_250202"/>
      <w:bookmarkEnd w:id="226"/>
      <w:r>
        <w:t>Owner Reimbursement to the PHA</w:t>
      </w:r>
    </w:p>
    <w:p w:rsidR="004E13A5" w:rsidRDefault="00681463">
      <w:pPr>
        <w:pStyle w:val="BodyText"/>
        <w:ind w:right="102"/>
      </w:pPr>
      <w:r>
        <w:t>In all cases of overpayment of subsidy caused by the owner, the owner must repay to the PHA any excess subsidy received. The PHA may recover overpaid amounts by withholding housing assistance payments due for subsequent months, or if the debt is large, the PHA may allow the owner to pay in installments over a period of time [HCV GB p. 22-13].</w:t>
      </w:r>
    </w:p>
    <w:p w:rsidR="004E13A5" w:rsidRDefault="00681463">
      <w:pPr>
        <w:pStyle w:val="BodyText"/>
        <w:ind w:left="820"/>
      </w:pPr>
      <w:r>
        <w:rPr>
          <w:u w:val="single"/>
        </w:rPr>
        <w:t>PHA Policy</w:t>
      </w:r>
    </w:p>
    <w:p w:rsidR="004E13A5" w:rsidRDefault="00681463">
      <w:pPr>
        <w:pStyle w:val="BodyText"/>
        <w:ind w:left="820" w:right="296"/>
      </w:pPr>
      <w:r>
        <w:t>In cases where the owner has received excess subsidy, the PHA will require the owner to repay the amount owed in accordance with the policies in Section 16-IV.B.</w:t>
      </w:r>
    </w:p>
    <w:p w:rsidR="004E13A5" w:rsidRDefault="00681463">
      <w:pPr>
        <w:pStyle w:val="Heading4"/>
        <w:spacing w:before="119"/>
      </w:pPr>
      <w:bookmarkStart w:id="227" w:name="_TOC_250201"/>
      <w:bookmarkEnd w:id="227"/>
      <w:r>
        <w:t>Prohibited Owner Actions</w:t>
      </w:r>
    </w:p>
    <w:p w:rsidR="004E13A5" w:rsidRDefault="00681463">
      <w:pPr>
        <w:pStyle w:val="BodyText"/>
        <w:spacing w:before="120"/>
      </w:pPr>
      <w:r>
        <w:t>An owner participating in the HCV program must not:</w:t>
      </w:r>
    </w:p>
    <w:p w:rsidR="004E13A5" w:rsidRDefault="00681463">
      <w:pPr>
        <w:pStyle w:val="ListParagraph"/>
        <w:numPr>
          <w:ilvl w:val="0"/>
          <w:numId w:val="52"/>
        </w:numPr>
        <w:tabs>
          <w:tab w:val="left" w:pos="821"/>
        </w:tabs>
        <w:ind w:left="820" w:hanging="360"/>
        <w:jc w:val="both"/>
        <w:rPr>
          <w:sz w:val="24"/>
        </w:rPr>
      </w:pPr>
      <w:r>
        <w:rPr>
          <w:sz w:val="24"/>
        </w:rPr>
        <w:t>Make any false statement to the PHA [Title 18 U.S.C. Section</w:t>
      </w:r>
      <w:r>
        <w:rPr>
          <w:spacing w:val="-9"/>
          <w:sz w:val="24"/>
        </w:rPr>
        <w:t xml:space="preserve"> </w:t>
      </w:r>
      <w:r>
        <w:rPr>
          <w:sz w:val="24"/>
        </w:rPr>
        <w:t>1001].</w:t>
      </w:r>
    </w:p>
    <w:p w:rsidR="004E13A5" w:rsidRDefault="00681463">
      <w:pPr>
        <w:pStyle w:val="ListParagraph"/>
        <w:numPr>
          <w:ilvl w:val="0"/>
          <w:numId w:val="52"/>
        </w:numPr>
        <w:tabs>
          <w:tab w:val="left" w:pos="820"/>
          <w:tab w:val="left" w:pos="821"/>
        </w:tabs>
        <w:ind w:right="224" w:firstLine="0"/>
        <w:rPr>
          <w:sz w:val="24"/>
        </w:rPr>
      </w:pPr>
      <w:r>
        <w:rPr>
          <w:sz w:val="24"/>
        </w:rPr>
        <w:t>Commit fraud, bribery, or any other corrupt or criminal act in connection with any</w:t>
      </w:r>
      <w:r>
        <w:rPr>
          <w:spacing w:val="-17"/>
          <w:sz w:val="24"/>
        </w:rPr>
        <w:t xml:space="preserve"> </w:t>
      </w:r>
      <w:r>
        <w:rPr>
          <w:sz w:val="24"/>
        </w:rPr>
        <w:t>federal housing program [24 CFR 982.453(a)(3)]</w:t>
      </w:r>
      <w:r>
        <w:rPr>
          <w:spacing w:val="-12"/>
          <w:sz w:val="24"/>
        </w:rPr>
        <w:t xml:space="preserve"> </w:t>
      </w:r>
      <w:r>
        <w:rPr>
          <w:sz w:val="24"/>
        </w:rPr>
        <w:t>including:</w:t>
      </w:r>
    </w:p>
    <w:p w:rsidR="004E13A5" w:rsidRDefault="00681463">
      <w:pPr>
        <w:pStyle w:val="BodyText"/>
        <w:ind w:left="820"/>
      </w:pPr>
      <w:r>
        <w:rPr>
          <w:u w:val="single"/>
        </w:rPr>
        <w:t>PHA Policy</w:t>
      </w:r>
    </w:p>
    <w:p w:rsidR="004E13A5" w:rsidRDefault="00681463">
      <w:pPr>
        <w:pStyle w:val="BodyText"/>
        <w:spacing w:line="309" w:lineRule="auto"/>
        <w:ind w:left="1540" w:right="882" w:hanging="720"/>
      </w:pPr>
      <w:r>
        <w:t>Any of the following will be considered evidence of owner program abuse: Charging the family rent above or below the amount specified by the PHA</w:t>
      </w:r>
    </w:p>
    <w:p w:rsidR="004E13A5" w:rsidRDefault="004E13A5">
      <w:pPr>
        <w:spacing w:line="309" w:lineRule="auto"/>
        <w:sectPr w:rsidR="004E13A5">
          <w:pgSz w:w="12240" w:h="15840"/>
          <w:pgMar w:top="1000" w:right="1340" w:bottom="1240" w:left="1220" w:header="0" w:footer="1023" w:gutter="0"/>
          <w:cols w:space="720"/>
        </w:sectPr>
      </w:pPr>
    </w:p>
    <w:p w:rsidR="004E13A5" w:rsidRDefault="00681463">
      <w:pPr>
        <w:pStyle w:val="BodyText"/>
        <w:spacing w:before="79"/>
        <w:ind w:left="1540"/>
      </w:pPr>
      <w:r>
        <w:lastRenderedPageBreak/>
        <w:t>Charging a security deposit other than that specified in the family’s lease</w:t>
      </w:r>
    </w:p>
    <w:p w:rsidR="004E13A5" w:rsidRDefault="00681463">
      <w:pPr>
        <w:pStyle w:val="BodyText"/>
        <w:spacing w:before="79"/>
        <w:ind w:left="1540" w:right="342"/>
      </w:pPr>
      <w:r>
        <w:t>Charging the family for services that are provided to unassisted tenants at no extra charge</w:t>
      </w:r>
    </w:p>
    <w:p w:rsidR="004E13A5" w:rsidRDefault="00681463">
      <w:pPr>
        <w:pStyle w:val="BodyText"/>
        <w:spacing w:before="78" w:line="242" w:lineRule="auto"/>
        <w:ind w:left="1540" w:right="148"/>
      </w:pPr>
      <w:r>
        <w:t>Knowingly accepting housing assistance payments for any month(s) after the family has vacated the unit</w:t>
      </w:r>
    </w:p>
    <w:p w:rsidR="004E13A5" w:rsidRDefault="00681463">
      <w:pPr>
        <w:pStyle w:val="BodyText"/>
        <w:spacing w:before="76"/>
        <w:ind w:left="1540"/>
      </w:pPr>
      <w:r>
        <w:t>Knowingly accepting incorrect or excess housing assistance payments</w:t>
      </w:r>
    </w:p>
    <w:p w:rsidR="004E13A5" w:rsidRDefault="00681463">
      <w:pPr>
        <w:pStyle w:val="BodyText"/>
        <w:spacing w:before="79"/>
        <w:ind w:left="1540"/>
      </w:pPr>
      <w:r>
        <w:t>Offering bribes or illegal gratuities to the PHA Board of Commissioners, employees, contractors, or other PHA representatives</w:t>
      </w:r>
    </w:p>
    <w:p w:rsidR="004E13A5" w:rsidRDefault="00681463">
      <w:pPr>
        <w:pStyle w:val="BodyText"/>
        <w:spacing w:before="79" w:line="242" w:lineRule="auto"/>
        <w:ind w:left="1540"/>
      </w:pPr>
      <w:r>
        <w:t>Offering payments or other incentives to an HCV family as an inducement for the family to make false or misleading statements to the PHA</w:t>
      </w:r>
    </w:p>
    <w:p w:rsidR="004E13A5" w:rsidRDefault="00681463">
      <w:pPr>
        <w:pStyle w:val="BodyText"/>
        <w:spacing w:before="76"/>
        <w:ind w:left="1540"/>
      </w:pPr>
      <w:r>
        <w:t>Residing in the unit with an assisted family</w:t>
      </w:r>
    </w:p>
    <w:p w:rsidR="004E13A5" w:rsidRDefault="00681463">
      <w:pPr>
        <w:pStyle w:val="BodyText"/>
        <w:ind w:left="1540"/>
      </w:pPr>
      <w:r>
        <w:t>Committing sexual or other harassment, either quid pro quo or hostile environment, based on the protected classes defined in Chapter 2</w:t>
      </w:r>
    </w:p>
    <w:p w:rsidR="004E13A5" w:rsidRDefault="00681463">
      <w:pPr>
        <w:pStyle w:val="BodyText"/>
        <w:ind w:left="1540" w:right="489"/>
      </w:pPr>
      <w:r>
        <w:t>Retaliating against any applicant or participant reporting/alleging sexual or other harassment, either quid pro quo or hostile environment, based on the protected classes defined in Chapter 2</w:t>
      </w:r>
    </w:p>
    <w:p w:rsidR="004E13A5" w:rsidRDefault="00681463">
      <w:pPr>
        <w:pStyle w:val="Heading4"/>
        <w:spacing w:before="119"/>
      </w:pPr>
      <w:bookmarkStart w:id="228" w:name="_TOC_250200"/>
      <w:bookmarkEnd w:id="228"/>
      <w:r>
        <w:t>Remedies and Penalties</w:t>
      </w:r>
    </w:p>
    <w:p w:rsidR="004E13A5" w:rsidRDefault="00681463">
      <w:pPr>
        <w:pStyle w:val="BodyText"/>
      </w:pPr>
      <w:r>
        <w:t>When the PHA determines that the owner has committed program abuse, the PHA may take any of the following actions:</w:t>
      </w:r>
    </w:p>
    <w:p w:rsidR="004E13A5" w:rsidRDefault="00681463">
      <w:pPr>
        <w:pStyle w:val="ListParagraph"/>
        <w:numPr>
          <w:ilvl w:val="0"/>
          <w:numId w:val="52"/>
        </w:numPr>
        <w:tabs>
          <w:tab w:val="left" w:pos="820"/>
          <w:tab w:val="left" w:pos="821"/>
        </w:tabs>
        <w:ind w:right="236" w:firstLine="0"/>
        <w:rPr>
          <w:sz w:val="24"/>
        </w:rPr>
      </w:pPr>
      <w:r>
        <w:rPr>
          <w:sz w:val="24"/>
        </w:rPr>
        <w:t>Require the owner to repay excess housing assistance payments, as discussed earlier in</w:t>
      </w:r>
      <w:r>
        <w:rPr>
          <w:spacing w:val="-15"/>
          <w:sz w:val="24"/>
        </w:rPr>
        <w:t xml:space="preserve"> </w:t>
      </w:r>
      <w:r>
        <w:rPr>
          <w:sz w:val="24"/>
        </w:rPr>
        <w:t>this section and in accordance with the policies in Chapter</w:t>
      </w:r>
      <w:r>
        <w:rPr>
          <w:spacing w:val="-10"/>
          <w:sz w:val="24"/>
        </w:rPr>
        <w:t xml:space="preserve"> </w:t>
      </w:r>
      <w:r>
        <w:rPr>
          <w:sz w:val="24"/>
        </w:rPr>
        <w:t>16.</w:t>
      </w:r>
    </w:p>
    <w:p w:rsidR="004E13A5" w:rsidRDefault="00681463">
      <w:pPr>
        <w:pStyle w:val="ListParagraph"/>
        <w:numPr>
          <w:ilvl w:val="0"/>
          <w:numId w:val="52"/>
        </w:numPr>
        <w:tabs>
          <w:tab w:val="left" w:pos="820"/>
          <w:tab w:val="left" w:pos="821"/>
        </w:tabs>
        <w:ind w:left="820" w:hanging="360"/>
        <w:rPr>
          <w:sz w:val="24"/>
        </w:rPr>
      </w:pPr>
      <w:r>
        <w:rPr>
          <w:sz w:val="24"/>
        </w:rPr>
        <w:t>Terminate the HAP contract (See Chapter</w:t>
      </w:r>
      <w:r>
        <w:rPr>
          <w:spacing w:val="-9"/>
          <w:sz w:val="24"/>
        </w:rPr>
        <w:t xml:space="preserve"> </w:t>
      </w:r>
      <w:r>
        <w:rPr>
          <w:sz w:val="24"/>
        </w:rPr>
        <w:t>13).</w:t>
      </w:r>
    </w:p>
    <w:p w:rsidR="004E13A5" w:rsidRDefault="00681463">
      <w:pPr>
        <w:pStyle w:val="ListParagraph"/>
        <w:numPr>
          <w:ilvl w:val="0"/>
          <w:numId w:val="52"/>
        </w:numPr>
        <w:tabs>
          <w:tab w:val="left" w:pos="820"/>
          <w:tab w:val="left" w:pos="821"/>
        </w:tabs>
        <w:ind w:left="820" w:hanging="360"/>
        <w:rPr>
          <w:sz w:val="24"/>
        </w:rPr>
      </w:pPr>
      <w:r>
        <w:rPr>
          <w:sz w:val="24"/>
        </w:rPr>
        <w:t>Bar the owner from future participation in any PHA</w:t>
      </w:r>
      <w:r>
        <w:rPr>
          <w:spacing w:val="-16"/>
          <w:sz w:val="24"/>
        </w:rPr>
        <w:t xml:space="preserve"> </w:t>
      </w:r>
      <w:r>
        <w:rPr>
          <w:sz w:val="24"/>
        </w:rPr>
        <w:t>programs.</w:t>
      </w:r>
    </w:p>
    <w:p w:rsidR="004E13A5" w:rsidRDefault="00681463">
      <w:pPr>
        <w:pStyle w:val="ListParagraph"/>
        <w:numPr>
          <w:ilvl w:val="0"/>
          <w:numId w:val="52"/>
        </w:numPr>
        <w:tabs>
          <w:tab w:val="left" w:pos="820"/>
          <w:tab w:val="left" w:pos="821"/>
        </w:tabs>
        <w:ind w:right="435" w:firstLine="0"/>
        <w:rPr>
          <w:sz w:val="24"/>
        </w:rPr>
      </w:pPr>
      <w:r>
        <w:rPr>
          <w:sz w:val="24"/>
        </w:rPr>
        <w:t>Refer the case to state or federal officials for criminal prosecution as described in</w:t>
      </w:r>
      <w:r>
        <w:rPr>
          <w:spacing w:val="-12"/>
          <w:sz w:val="24"/>
        </w:rPr>
        <w:t xml:space="preserve"> </w:t>
      </w:r>
      <w:r>
        <w:rPr>
          <w:sz w:val="24"/>
        </w:rPr>
        <w:t>section 14-II.E.</w:t>
      </w:r>
    </w:p>
    <w:p w:rsidR="004E13A5" w:rsidRDefault="004E13A5">
      <w:pPr>
        <w:pStyle w:val="BodyText"/>
        <w:spacing w:before="9"/>
        <w:ind w:left="0"/>
        <w:rPr>
          <w:sz w:val="20"/>
        </w:rPr>
      </w:pPr>
    </w:p>
    <w:p w:rsidR="004E13A5" w:rsidRDefault="00681463">
      <w:pPr>
        <w:pStyle w:val="Heading4"/>
      </w:pPr>
      <w:bookmarkStart w:id="229" w:name="_TOC_250199"/>
      <w:bookmarkEnd w:id="229"/>
      <w:r>
        <w:t>14-II.D. PHA-CAUSED ERRORS OR PROGRAM ABUSE</w:t>
      </w:r>
    </w:p>
    <w:p w:rsidR="00005DBA" w:rsidRPr="008D61FD" w:rsidRDefault="00005DBA" w:rsidP="00005DBA">
      <w:pPr>
        <w:spacing w:before="120"/>
        <w:rPr>
          <w:sz w:val="24"/>
          <w:szCs w:val="24"/>
        </w:rPr>
      </w:pPr>
      <w:r w:rsidRPr="008D61FD">
        <w:rPr>
          <w:sz w:val="24"/>
          <w:szCs w:val="24"/>
        </w:rPr>
        <w:t>This section addresses actions of a PHA staff member that are considered errors or program abuse related to the HCV program. Additional standards of conduct may be provided in the PHA personnel policy.</w:t>
      </w:r>
    </w:p>
    <w:p w:rsidR="00005DBA" w:rsidRPr="008D61FD" w:rsidRDefault="00005DBA" w:rsidP="00005DBA">
      <w:pPr>
        <w:spacing w:before="120"/>
        <w:rPr>
          <w:sz w:val="24"/>
          <w:szCs w:val="24"/>
        </w:rPr>
      </w:pPr>
      <w:r w:rsidRPr="008D61FD">
        <w:rPr>
          <w:sz w:val="24"/>
          <w:szCs w:val="24"/>
        </w:rPr>
        <w:t>PHA-caused incorrect subsidy determinations include (1) failing to correctly apply HCV rules regarding family composition, income, assets and expenses, (2) assigning the incorrect voucher size to a family, and (3) errors in calculation.</w:t>
      </w:r>
    </w:p>
    <w:p w:rsidR="004E13A5" w:rsidRDefault="004E13A5">
      <w:pPr>
        <w:pStyle w:val="BodyText"/>
        <w:spacing w:before="0"/>
        <w:ind w:left="0"/>
        <w:rPr>
          <w:sz w:val="26"/>
        </w:rPr>
      </w:pPr>
    </w:p>
    <w:p w:rsidR="008D61FD" w:rsidRPr="008D61FD" w:rsidRDefault="008D61FD" w:rsidP="008D61FD">
      <w:pPr>
        <w:spacing w:before="120"/>
        <w:rPr>
          <w:b/>
          <w:sz w:val="28"/>
          <w:szCs w:val="28"/>
        </w:rPr>
      </w:pPr>
      <w:r w:rsidRPr="008D61FD">
        <w:rPr>
          <w:b/>
          <w:sz w:val="28"/>
          <w:szCs w:val="28"/>
        </w:rPr>
        <w:t>De Minimis Errors [24 CFR 5.609(c)(4)]</w:t>
      </w:r>
    </w:p>
    <w:p w:rsidR="008D61FD" w:rsidRPr="008D61FD" w:rsidRDefault="008D61FD" w:rsidP="008D61FD">
      <w:pPr>
        <w:spacing w:before="120"/>
        <w:rPr>
          <w:bCs/>
          <w:sz w:val="24"/>
          <w:szCs w:val="24"/>
        </w:rPr>
      </w:pPr>
      <w:r w:rsidRPr="008D61FD">
        <w:rPr>
          <w:bCs/>
          <w:sz w:val="24"/>
          <w:szCs w:val="24"/>
        </w:rPr>
        <w:t>This section states that the PHA must take corrective action to repair the family if the family has been overcharged even if the error is de minimis.</w:t>
      </w:r>
    </w:p>
    <w:p w:rsidR="008D61FD" w:rsidRPr="008D61FD" w:rsidRDefault="008D61FD" w:rsidP="008D61FD">
      <w:pPr>
        <w:pStyle w:val="BodyText"/>
        <w:ind w:left="820"/>
        <w:rPr>
          <w:b/>
        </w:rPr>
      </w:pPr>
      <w:r w:rsidRPr="008D61FD">
        <w:rPr>
          <w:b/>
        </w:rPr>
        <w:t xml:space="preserve">          </w:t>
      </w:r>
      <w:r w:rsidRPr="008D61FD">
        <w:rPr>
          <w:b/>
          <w:u w:val="single"/>
        </w:rPr>
        <w:t>PHA Policy</w:t>
      </w:r>
    </w:p>
    <w:p w:rsidR="008D61FD" w:rsidRPr="008D61FD" w:rsidRDefault="008D61FD" w:rsidP="008D61FD">
      <w:pPr>
        <w:spacing w:before="120"/>
        <w:ind w:left="1800"/>
      </w:pPr>
      <w:r w:rsidRPr="000375B2">
        <w:t xml:space="preserve">The PHA </w:t>
      </w:r>
      <w:r>
        <w:t>will</w:t>
      </w:r>
      <w:r w:rsidRPr="000375B2">
        <w:t xml:space="preserve"> reimburse a family for any </w:t>
      </w:r>
      <w:r>
        <w:t>family overpayment of rent</w:t>
      </w:r>
      <w:r w:rsidRPr="000375B2">
        <w:t xml:space="preserve">, regardless of whether the </w:t>
      </w:r>
      <w:r>
        <w:t>overpayment</w:t>
      </w:r>
      <w:r w:rsidRPr="000375B2">
        <w:t xml:space="preserve"> was the result of staff-caused error</w:t>
      </w:r>
      <w:r>
        <w:t>, staff program abuse, or a de minimis error.</w:t>
      </w:r>
    </w:p>
    <w:p w:rsidR="008D61FD" w:rsidRDefault="008D61FD">
      <w:pPr>
        <w:pStyle w:val="BodyText"/>
        <w:spacing w:before="0"/>
        <w:ind w:left="0"/>
        <w:rPr>
          <w:sz w:val="26"/>
        </w:rPr>
      </w:pPr>
    </w:p>
    <w:p w:rsidR="004E13A5" w:rsidRDefault="00681463">
      <w:pPr>
        <w:pStyle w:val="Heading4"/>
        <w:spacing w:before="216"/>
      </w:pPr>
      <w:bookmarkStart w:id="230" w:name="_TOC_250198"/>
      <w:bookmarkEnd w:id="230"/>
      <w:r>
        <w:t>Repayment to the PHA</w:t>
      </w:r>
    </w:p>
    <w:p w:rsidR="004E13A5" w:rsidRDefault="00681463">
      <w:pPr>
        <w:pStyle w:val="BodyText"/>
        <w:ind w:right="863"/>
      </w:pPr>
      <w:r>
        <w:t>Neither a family nor an owner is required to repay an overpayment of subsidy if the error or program abuse is caused by PHA staff [HCV GB. 22-12].</w:t>
      </w:r>
    </w:p>
    <w:p w:rsidR="004E13A5" w:rsidRDefault="004E13A5">
      <w:pPr>
        <w:sectPr w:rsidR="004E13A5">
          <w:pgSz w:w="12240" w:h="15840"/>
          <w:pgMar w:top="1000" w:right="1220" w:bottom="1240" w:left="1220" w:header="0" w:footer="1023" w:gutter="0"/>
          <w:cols w:space="720"/>
        </w:sectPr>
      </w:pPr>
    </w:p>
    <w:p w:rsidR="004E13A5" w:rsidRDefault="004E13A5">
      <w:pPr>
        <w:pStyle w:val="BodyText"/>
        <w:spacing w:before="0"/>
        <w:ind w:left="0"/>
        <w:rPr>
          <w:sz w:val="26"/>
        </w:rPr>
      </w:pPr>
      <w:bookmarkStart w:id="231" w:name="_TOC_250197"/>
      <w:bookmarkEnd w:id="231"/>
    </w:p>
    <w:p w:rsidR="004E13A5" w:rsidRDefault="00681463">
      <w:pPr>
        <w:pStyle w:val="Heading4"/>
        <w:spacing w:before="216"/>
      </w:pPr>
      <w:bookmarkStart w:id="232" w:name="_TOC_250196"/>
      <w:bookmarkEnd w:id="232"/>
      <w:r>
        <w:t>Prohibited Activities</w:t>
      </w:r>
    </w:p>
    <w:p w:rsidR="004E13A5" w:rsidRDefault="00681463">
      <w:pPr>
        <w:pStyle w:val="BodyText"/>
        <w:ind w:left="820"/>
      </w:pPr>
      <w:r>
        <w:rPr>
          <w:u w:val="single"/>
        </w:rPr>
        <w:t>PHA Policy</w:t>
      </w:r>
    </w:p>
    <w:p w:rsidR="004E13A5" w:rsidRDefault="00681463">
      <w:pPr>
        <w:pStyle w:val="BodyText"/>
        <w:spacing w:line="343" w:lineRule="auto"/>
        <w:ind w:left="1540" w:right="1055" w:hanging="720"/>
      </w:pPr>
      <w:r>
        <w:t>Any of the following will be considered evidence of program abuse by PHA staff: Failing to comply with any HCV program requirements for personal gain</w:t>
      </w:r>
    </w:p>
    <w:p w:rsidR="004E13A5" w:rsidRDefault="00681463">
      <w:pPr>
        <w:pStyle w:val="BodyText"/>
        <w:spacing w:before="5"/>
        <w:ind w:left="1540"/>
      </w:pPr>
      <w:r>
        <w:t>Failing to comply with any HCV program requirements as a result of a conflict of interest relationship with any applicant, participant, or owner</w:t>
      </w:r>
    </w:p>
    <w:p w:rsidR="004E13A5" w:rsidRDefault="00681463">
      <w:pPr>
        <w:pStyle w:val="BodyText"/>
        <w:spacing w:before="120"/>
        <w:ind w:left="1540" w:right="542"/>
      </w:pPr>
      <w:r>
        <w:t>Seeking or accepting anything of material value from applicants, participating families, vendors, owners, contractors, or other persons who provide services or materials to the PHA</w:t>
      </w:r>
    </w:p>
    <w:p w:rsidR="004E13A5" w:rsidRDefault="00681463">
      <w:pPr>
        <w:pStyle w:val="BodyText"/>
        <w:spacing w:before="120"/>
        <w:ind w:left="1540"/>
      </w:pPr>
      <w:r>
        <w:t>Disclosing confidential or proprietary information to outside parties</w:t>
      </w:r>
    </w:p>
    <w:p w:rsidR="004E13A5" w:rsidRDefault="00681463">
      <w:pPr>
        <w:pStyle w:val="BodyText"/>
        <w:spacing w:before="120"/>
        <w:ind w:left="1540" w:right="834"/>
      </w:pPr>
      <w:r>
        <w:t>Gaining profit as a result of insider knowledge of PHA activities, policies, or practices</w:t>
      </w:r>
    </w:p>
    <w:p w:rsidR="004E13A5" w:rsidRDefault="00681463">
      <w:pPr>
        <w:pStyle w:val="BodyText"/>
        <w:spacing w:before="120"/>
        <w:ind w:left="1540"/>
      </w:pPr>
      <w:r>
        <w:t>Misappropriating or misusing HCV funds</w:t>
      </w:r>
    </w:p>
    <w:p w:rsidR="004E13A5" w:rsidRDefault="00681463">
      <w:pPr>
        <w:pStyle w:val="BodyText"/>
        <w:spacing w:before="120"/>
        <w:ind w:left="1540" w:right="342"/>
      </w:pPr>
      <w:r>
        <w:t>Destroying, concealing, removing, or inappropriately using any records related to the HCV program</w:t>
      </w:r>
    </w:p>
    <w:p w:rsidR="004E13A5" w:rsidRDefault="00681463">
      <w:pPr>
        <w:pStyle w:val="BodyText"/>
        <w:spacing w:before="120"/>
        <w:ind w:left="1540" w:right="88"/>
      </w:pPr>
      <w:r>
        <w:t>Committing any other corrupt or criminal act in connection with any federal housing program</w:t>
      </w:r>
    </w:p>
    <w:p w:rsidR="004E13A5" w:rsidRDefault="00681463">
      <w:pPr>
        <w:pStyle w:val="Heading4"/>
        <w:spacing w:before="119"/>
      </w:pPr>
      <w:bookmarkStart w:id="233" w:name="_TOC_250195"/>
      <w:bookmarkEnd w:id="233"/>
      <w:r>
        <w:t>14-II.E. CRIMINAL PROSECUTION</w:t>
      </w:r>
    </w:p>
    <w:p w:rsidR="004E13A5" w:rsidRDefault="00681463">
      <w:pPr>
        <w:pStyle w:val="BodyText"/>
        <w:ind w:left="820"/>
      </w:pPr>
      <w:r>
        <w:rPr>
          <w:u w:val="single"/>
        </w:rPr>
        <w:t>PHA Policy</w:t>
      </w:r>
    </w:p>
    <w:p w:rsidR="004E13A5" w:rsidRDefault="00681463">
      <w:pPr>
        <w:pStyle w:val="BodyText"/>
        <w:ind w:left="820" w:right="236"/>
      </w:pPr>
      <w:r>
        <w:t>When the PHA determines that program abuse by an owner, family, or PHA staff member has occurred and the amount of overpaid subsidy meets or exceeds the threshold for prosecution under local or state law, the PHA will refer the matter to the appropriate entity for prosecution. When the amount of overpaid assistance meets or exceeds the federal threshold, the case will also be referred to the HUD Office of Inspector General (OIG).</w:t>
      </w:r>
    </w:p>
    <w:p w:rsidR="004E13A5" w:rsidRDefault="00681463">
      <w:pPr>
        <w:pStyle w:val="BodyText"/>
        <w:ind w:left="820"/>
      </w:pPr>
      <w:r>
        <w:t>Other criminal violations related to the HCV program will be referred to the appropriate local, state, or federal entity.</w:t>
      </w:r>
    </w:p>
    <w:p w:rsidR="004E13A5" w:rsidRDefault="004E13A5">
      <w:pPr>
        <w:sectPr w:rsidR="004E13A5">
          <w:pgSz w:w="12240" w:h="15840"/>
          <w:pgMar w:top="1400" w:right="1240" w:bottom="1240" w:left="1220" w:header="0" w:footer="1023" w:gutter="0"/>
          <w:cols w:space="720"/>
        </w:sectPr>
      </w:pPr>
    </w:p>
    <w:p w:rsidR="004E13A5" w:rsidRDefault="00681463">
      <w:pPr>
        <w:pStyle w:val="Heading4"/>
        <w:spacing w:before="79"/>
      </w:pPr>
      <w:bookmarkStart w:id="234" w:name="_TOC_250194"/>
      <w:bookmarkEnd w:id="234"/>
      <w:r>
        <w:lastRenderedPageBreak/>
        <w:t>14-II.F. FRAUD AND PROGRAM ABUSE RECOVERIES</w:t>
      </w:r>
    </w:p>
    <w:p w:rsidR="004E13A5" w:rsidRDefault="00681463">
      <w:pPr>
        <w:pStyle w:val="BodyText"/>
        <w:spacing w:before="120"/>
        <w:ind w:right="609"/>
      </w:pPr>
      <w:r>
        <w:t>The PHA may retain a portion of program fraud losses that the PHA recovers from a family or owner through litigation, court order, or a repayment agreement [24 CFR 982.163].</w:t>
      </w:r>
    </w:p>
    <w:p w:rsidR="004E13A5" w:rsidRDefault="00681463">
      <w:pPr>
        <w:pStyle w:val="BodyText"/>
      </w:pPr>
      <w:r>
        <w:t>The PHA must be the principal party initiating or sustaining the action to recover amounts due from tenants that are due as a result of fraud and abuse. 24 CFR 792.202 permits the PHA to retain the greater of:</w:t>
      </w:r>
    </w:p>
    <w:p w:rsidR="004E13A5" w:rsidRDefault="00681463">
      <w:pPr>
        <w:pStyle w:val="ListParagraph"/>
        <w:numPr>
          <w:ilvl w:val="0"/>
          <w:numId w:val="52"/>
        </w:numPr>
        <w:tabs>
          <w:tab w:val="left" w:pos="820"/>
          <w:tab w:val="left" w:pos="821"/>
        </w:tabs>
        <w:ind w:right="1081" w:firstLine="0"/>
        <w:rPr>
          <w:sz w:val="24"/>
        </w:rPr>
      </w:pPr>
      <w:r>
        <w:rPr>
          <w:sz w:val="24"/>
        </w:rPr>
        <w:t>50 percent of the amount it actually collects from a judgment, litigation</w:t>
      </w:r>
      <w:r>
        <w:rPr>
          <w:spacing w:val="-14"/>
          <w:sz w:val="24"/>
        </w:rPr>
        <w:t xml:space="preserve"> </w:t>
      </w:r>
      <w:r>
        <w:rPr>
          <w:sz w:val="24"/>
        </w:rPr>
        <w:t>(including settlement of a lawsuit) or an administrative repayment agreement,</w:t>
      </w:r>
      <w:r>
        <w:rPr>
          <w:spacing w:val="-12"/>
          <w:sz w:val="24"/>
        </w:rPr>
        <w:t xml:space="preserve"> </w:t>
      </w:r>
      <w:r>
        <w:rPr>
          <w:sz w:val="24"/>
        </w:rPr>
        <w:t>or</w:t>
      </w:r>
    </w:p>
    <w:p w:rsidR="004E13A5" w:rsidRDefault="00681463">
      <w:pPr>
        <w:pStyle w:val="ListParagraph"/>
        <w:numPr>
          <w:ilvl w:val="0"/>
          <w:numId w:val="52"/>
        </w:numPr>
        <w:tabs>
          <w:tab w:val="left" w:pos="820"/>
          <w:tab w:val="left" w:pos="821"/>
        </w:tabs>
        <w:ind w:right="149" w:firstLine="0"/>
        <w:rPr>
          <w:sz w:val="24"/>
        </w:rPr>
      </w:pPr>
      <w:r>
        <w:rPr>
          <w:sz w:val="24"/>
        </w:rPr>
        <w:t>Reasonable and necessary costs that the PHA incurs related to the collection including</w:t>
      </w:r>
      <w:r>
        <w:rPr>
          <w:spacing w:val="-12"/>
          <w:sz w:val="24"/>
        </w:rPr>
        <w:t xml:space="preserve"> </w:t>
      </w:r>
      <w:r>
        <w:rPr>
          <w:sz w:val="24"/>
        </w:rPr>
        <w:t>costs of investigation, legal fees, and agency collection</w:t>
      </w:r>
      <w:r>
        <w:rPr>
          <w:spacing w:val="-15"/>
          <w:sz w:val="24"/>
        </w:rPr>
        <w:t xml:space="preserve"> </w:t>
      </w:r>
      <w:r>
        <w:rPr>
          <w:sz w:val="24"/>
        </w:rPr>
        <w:t>fees.</w:t>
      </w:r>
    </w:p>
    <w:p w:rsidR="004E13A5" w:rsidRDefault="00681463">
      <w:pPr>
        <w:pStyle w:val="BodyText"/>
        <w:ind w:right="183"/>
      </w:pPr>
      <w:r>
        <w:t>The family must be afforded the opportunity for an informal hearing in accordance with requirements in 24 CFR 982.555.</w:t>
      </w:r>
    </w:p>
    <w:p w:rsidR="004E13A5" w:rsidRDefault="00681463">
      <w:pPr>
        <w:pStyle w:val="BodyText"/>
        <w:spacing w:before="120"/>
        <w:ind w:right="429"/>
      </w:pPr>
      <w:r>
        <w:t>If HUD incurs costs on behalf of the PHA related to the collection, these costs must be deducted from the amount retained by the PHA.</w:t>
      </w:r>
    </w:p>
    <w:p w:rsidR="004E13A5" w:rsidRDefault="004E13A5">
      <w:pPr>
        <w:sectPr w:rsidR="004E13A5">
          <w:pgSz w:w="12240" w:h="15840"/>
          <w:pgMar w:top="1000" w:right="1220" w:bottom="1240" w:left="1220" w:header="0" w:footer="1023" w:gutter="0"/>
          <w:cols w:space="720"/>
        </w:sectPr>
      </w:pPr>
    </w:p>
    <w:p w:rsidR="004E13A5" w:rsidRDefault="00681463">
      <w:pPr>
        <w:pStyle w:val="Heading4"/>
        <w:spacing w:before="79"/>
        <w:ind w:left="4322"/>
      </w:pPr>
      <w:r>
        <w:lastRenderedPageBreak/>
        <w:t>Chapter 15</w:t>
      </w:r>
    </w:p>
    <w:p w:rsidR="004E13A5" w:rsidRDefault="004E13A5">
      <w:pPr>
        <w:pStyle w:val="BodyText"/>
        <w:spacing w:before="10"/>
        <w:ind w:left="0"/>
        <w:rPr>
          <w:b/>
          <w:sz w:val="20"/>
        </w:rPr>
      </w:pPr>
    </w:p>
    <w:p w:rsidR="004E13A5" w:rsidRDefault="00681463">
      <w:pPr>
        <w:ind w:left="3343" w:right="3249"/>
        <w:jc w:val="center"/>
        <w:rPr>
          <w:b/>
          <w:sz w:val="24"/>
        </w:rPr>
      </w:pPr>
      <w:r>
        <w:rPr>
          <w:b/>
          <w:sz w:val="24"/>
        </w:rPr>
        <w:t>SPECIAL HOUSING TYPES</w:t>
      </w:r>
    </w:p>
    <w:p w:rsidR="004E13A5" w:rsidRDefault="00681463">
      <w:pPr>
        <w:ind w:left="1797"/>
        <w:rPr>
          <w:sz w:val="24"/>
        </w:rPr>
      </w:pPr>
      <w:r>
        <w:rPr>
          <w:sz w:val="24"/>
        </w:rPr>
        <w:t xml:space="preserve">[24 CFR 982 Subpart M New HCV GB, </w:t>
      </w:r>
      <w:r>
        <w:rPr>
          <w:i/>
          <w:sz w:val="24"/>
        </w:rPr>
        <w:t>Special Housing Types</w:t>
      </w:r>
      <w:r>
        <w:rPr>
          <w:sz w:val="24"/>
        </w:rPr>
        <w:t>]</w:t>
      </w:r>
    </w:p>
    <w:p w:rsidR="004E13A5" w:rsidRDefault="004E13A5">
      <w:pPr>
        <w:pStyle w:val="BodyText"/>
        <w:spacing w:before="10"/>
        <w:ind w:left="0"/>
        <w:rPr>
          <w:sz w:val="20"/>
        </w:rPr>
      </w:pPr>
    </w:p>
    <w:p w:rsidR="004E13A5" w:rsidRDefault="00681463">
      <w:pPr>
        <w:pStyle w:val="Heading4"/>
      </w:pPr>
      <w:r>
        <w:t>INTRODUCTION</w:t>
      </w:r>
    </w:p>
    <w:p w:rsidR="004E13A5" w:rsidRDefault="00681463">
      <w:pPr>
        <w:pStyle w:val="BodyText"/>
        <w:ind w:right="248"/>
      </w:pPr>
      <w:r>
        <w:t>The PHA may permit a family to use any of the special housing types discussed in this chapter. However, the PHA is not required to permit families receiving assistance in its jurisdiction to use these housing types, except that PHAs must permit use of any special housing type if needed as a reasonable accommodation for a person with a disability. The PHA also may limit the number of families who receive HCV assistance in these housing types and cannot require families to use a particular housing type. No special funding is provided for special housing types.</w:t>
      </w:r>
    </w:p>
    <w:p w:rsidR="004E13A5" w:rsidRDefault="00681463">
      <w:pPr>
        <w:pStyle w:val="BodyText"/>
        <w:ind w:left="820"/>
      </w:pPr>
      <w:r>
        <w:rPr>
          <w:u w:val="single"/>
        </w:rPr>
        <w:t>PHA Policy</w:t>
      </w:r>
    </w:p>
    <w:p w:rsidR="004E13A5" w:rsidRDefault="00681463">
      <w:pPr>
        <w:pStyle w:val="BodyText"/>
        <w:spacing w:before="120"/>
        <w:ind w:left="820"/>
      </w:pPr>
      <w:r>
        <w:t>Families will not be permitted to use any special housing types, unless use is needed as a reasonable accommodation so that the program is readily accessible to a person with disabilities.</w:t>
      </w:r>
    </w:p>
    <w:p w:rsidR="004E13A5" w:rsidRDefault="00681463">
      <w:pPr>
        <w:pStyle w:val="BodyText"/>
        <w:ind w:right="69"/>
      </w:pPr>
      <w:r>
        <w:t xml:space="preserve">Special housing types include single room occupancy (SRO), congregate housing, group homes, shared housing, cooperative housing, manufactured homes where the family owns the home and leases the space, and homeownership [24 CFR 982.601 A single unit cannot be designated as more than one type of special housing. The PHA cannot give preference to households that wish to live in any of these types of housing and cannot require households to select any of these types of housing [New HCV GB, </w:t>
      </w:r>
      <w:r>
        <w:rPr>
          <w:i/>
        </w:rPr>
        <w:t xml:space="preserve">Special Housing Types, </w:t>
      </w:r>
      <w:r>
        <w:t>p. 3].].</w:t>
      </w:r>
    </w:p>
    <w:p w:rsidR="004E13A5" w:rsidRDefault="00681463">
      <w:pPr>
        <w:pStyle w:val="BodyText"/>
        <w:ind w:right="209"/>
      </w:pPr>
      <w:r>
        <w:t>This chapter consists of the following seven parts. Each part contains a description of the housing type and any special requirements associated with it. Except as modified by this chapter, the general requirements of the HCV program apply to special housing types.</w:t>
      </w:r>
    </w:p>
    <w:p w:rsidR="004E13A5" w:rsidRDefault="00681463">
      <w:pPr>
        <w:pStyle w:val="BodyText"/>
        <w:spacing w:line="343" w:lineRule="auto"/>
        <w:ind w:left="820" w:right="5807"/>
      </w:pPr>
      <w:r>
        <w:rPr>
          <w:u w:val="single"/>
        </w:rPr>
        <w:t>Part I: Single Room Occupancy Part II: Congregate Housing Part III: Group Homes</w:t>
      </w:r>
    </w:p>
    <w:p w:rsidR="004E13A5" w:rsidRDefault="00681463">
      <w:pPr>
        <w:pStyle w:val="BodyText"/>
        <w:spacing w:before="5" w:line="343" w:lineRule="auto"/>
        <w:ind w:left="820" w:right="6085"/>
      </w:pPr>
      <w:r>
        <w:rPr>
          <w:u w:val="single"/>
        </w:rPr>
        <w:t>Part IV: Shared Housing Part V: Cooperative</w:t>
      </w:r>
      <w:r>
        <w:rPr>
          <w:spacing w:val="-6"/>
          <w:u w:val="single"/>
        </w:rPr>
        <w:t xml:space="preserve"> </w:t>
      </w:r>
      <w:r>
        <w:rPr>
          <w:u w:val="single"/>
        </w:rPr>
        <w:t>Housing</w:t>
      </w:r>
    </w:p>
    <w:p w:rsidR="004E13A5" w:rsidRDefault="00681463">
      <w:pPr>
        <w:pStyle w:val="BodyText"/>
        <w:spacing w:before="5" w:line="343" w:lineRule="auto"/>
        <w:ind w:left="820" w:right="1302"/>
      </w:pPr>
      <w:r>
        <w:rPr>
          <w:u w:val="single"/>
        </w:rPr>
        <w:t>Part VI: Manufactured Homes (including manufactured home space rental) Part VII: Homeownership</w:t>
      </w:r>
    </w:p>
    <w:p w:rsidR="004E13A5" w:rsidRDefault="004E13A5">
      <w:pPr>
        <w:spacing w:line="343" w:lineRule="auto"/>
        <w:sectPr w:rsidR="004E13A5">
          <w:pgSz w:w="12240" w:h="15840"/>
          <w:pgMar w:top="1240" w:right="1320" w:bottom="1240" w:left="1220" w:header="0" w:footer="1023" w:gutter="0"/>
          <w:cols w:space="720"/>
        </w:sectPr>
      </w:pPr>
    </w:p>
    <w:p w:rsidR="004E13A5" w:rsidRDefault="00681463">
      <w:pPr>
        <w:pStyle w:val="Heading4"/>
        <w:spacing w:before="79"/>
        <w:ind w:left="201" w:right="202"/>
        <w:jc w:val="center"/>
      </w:pPr>
      <w:r>
        <w:lastRenderedPageBreak/>
        <w:t>PART I: SINGLE ROOM OCCUPANCY</w:t>
      </w:r>
    </w:p>
    <w:p w:rsidR="004E13A5" w:rsidRDefault="00681463">
      <w:pPr>
        <w:pStyle w:val="BodyText"/>
        <w:spacing w:before="120"/>
        <w:ind w:left="201" w:right="200"/>
        <w:jc w:val="center"/>
      </w:pPr>
      <w:r>
        <w:t>[24 CFR 982.602 through 982.605; Form HUD-52641; New HCV GB,</w:t>
      </w:r>
    </w:p>
    <w:p w:rsidR="004E13A5" w:rsidRDefault="00681463">
      <w:pPr>
        <w:ind w:left="201" w:right="198"/>
        <w:jc w:val="center"/>
        <w:rPr>
          <w:sz w:val="24"/>
        </w:rPr>
      </w:pPr>
      <w:r>
        <w:rPr>
          <w:i/>
          <w:sz w:val="24"/>
        </w:rPr>
        <w:t xml:space="preserve">Special Housing Types, </w:t>
      </w:r>
      <w:r>
        <w:rPr>
          <w:sz w:val="24"/>
        </w:rPr>
        <w:t>p. 4]</w:t>
      </w:r>
    </w:p>
    <w:p w:rsidR="004E13A5" w:rsidRDefault="004E13A5">
      <w:pPr>
        <w:pStyle w:val="BodyText"/>
        <w:spacing w:before="1"/>
        <w:ind w:left="0"/>
        <w:rPr>
          <w:sz w:val="13"/>
        </w:rPr>
      </w:pPr>
    </w:p>
    <w:p w:rsidR="004E13A5" w:rsidRDefault="00681463">
      <w:pPr>
        <w:pStyle w:val="Heading4"/>
        <w:spacing w:before="89"/>
      </w:pPr>
      <w:bookmarkStart w:id="235" w:name="_TOC_250193"/>
      <w:bookmarkEnd w:id="235"/>
      <w:r>
        <w:t>15-I.A. OVERVIEW</w:t>
      </w:r>
    </w:p>
    <w:p w:rsidR="004E13A5" w:rsidRDefault="00681463">
      <w:pPr>
        <w:pStyle w:val="BodyText"/>
        <w:ind w:right="82"/>
      </w:pPr>
      <w:r>
        <w:t>A single room occupancy (SRO) unit provides living and sleeping space for the exclusive use of the occupant but requires the occupant to share sanitary and/or food preparation facilities with others.</w:t>
      </w:r>
    </w:p>
    <w:p w:rsidR="004E13A5" w:rsidRDefault="00681463">
      <w:pPr>
        <w:pStyle w:val="BodyText"/>
        <w:spacing w:before="0"/>
        <w:ind w:right="401"/>
      </w:pPr>
      <w:r>
        <w:t>More than one person may not occupy an SRO unit. HCV regulations do not limit the number of units in an SRO facility, but the size of a facility may be limited by local ordinances.</w:t>
      </w:r>
    </w:p>
    <w:p w:rsidR="004E13A5" w:rsidRDefault="00681463">
      <w:pPr>
        <w:pStyle w:val="BodyText"/>
        <w:spacing w:before="120"/>
        <w:ind w:right="175"/>
      </w:pPr>
      <w:r>
        <w:t>When providing HCV assistance in an SRO unit, a separate lease and HAP contract are executed for each assisted person. The standard form of the HAP contract is used. (form HUD-52641) with the special housing type specified in Part A of the HAP contract, as follows: “This HAP contract is used for the following special housing type under HUD regulations for the Section 8 voucher program: Single room occupancy (SRO) housing.”</w:t>
      </w:r>
    </w:p>
    <w:p w:rsidR="004E13A5" w:rsidRDefault="004E13A5">
      <w:pPr>
        <w:pStyle w:val="BodyText"/>
        <w:spacing w:before="0"/>
        <w:ind w:left="0"/>
        <w:rPr>
          <w:sz w:val="26"/>
        </w:rPr>
      </w:pPr>
    </w:p>
    <w:p w:rsidR="004E13A5" w:rsidRDefault="00681463">
      <w:pPr>
        <w:pStyle w:val="BodyText"/>
        <w:spacing w:before="217"/>
        <w:ind w:left="820"/>
      </w:pPr>
      <w:r>
        <w:rPr>
          <w:u w:val="single"/>
        </w:rPr>
        <w:t>PHA Policy</w:t>
      </w:r>
    </w:p>
    <w:p w:rsidR="004E13A5" w:rsidRDefault="00681463">
      <w:pPr>
        <w:pStyle w:val="BodyText"/>
        <w:spacing w:before="120"/>
        <w:ind w:left="820"/>
      </w:pPr>
      <w:r>
        <w:t>The PHA does not provide rental assistance for SRO units.</w:t>
      </w:r>
    </w:p>
    <w:p w:rsidR="004E13A5" w:rsidRDefault="004E13A5">
      <w:pPr>
        <w:pStyle w:val="BodyText"/>
        <w:spacing w:before="9"/>
        <w:ind w:left="0"/>
        <w:rPr>
          <w:sz w:val="20"/>
        </w:rPr>
      </w:pPr>
    </w:p>
    <w:p w:rsidR="004E13A5" w:rsidRDefault="00681463">
      <w:pPr>
        <w:pStyle w:val="Heading4"/>
        <w:spacing w:before="1"/>
      </w:pPr>
      <w:bookmarkStart w:id="236" w:name="_TOC_250192"/>
      <w:bookmarkEnd w:id="236"/>
      <w:r>
        <w:t>15-I.B. PAYMENT STANDARD, UTILITY ALLOWANCE, AND HAP CALCULATION</w:t>
      </w:r>
    </w:p>
    <w:p w:rsidR="004E13A5" w:rsidRDefault="00681463">
      <w:pPr>
        <w:pStyle w:val="BodyText"/>
        <w:spacing w:before="120"/>
        <w:ind w:right="795"/>
      </w:pPr>
      <w:r>
        <w:t>The payment standard for SRO housing is 75 percent of the zero-bedroom payment standard amount on the PHA’s payment standard schedule.</w:t>
      </w:r>
    </w:p>
    <w:p w:rsidR="004E13A5" w:rsidRDefault="00681463">
      <w:pPr>
        <w:pStyle w:val="BodyText"/>
        <w:spacing w:before="120"/>
        <w:ind w:right="628"/>
      </w:pPr>
      <w:r>
        <w:t>The utility allowance for an assisted person residing in SRO housing is 75 percent of the zero- bedroom utility allowance.</w:t>
      </w:r>
    </w:p>
    <w:p w:rsidR="004E13A5" w:rsidRDefault="00681463">
      <w:pPr>
        <w:pStyle w:val="BodyText"/>
        <w:spacing w:before="120"/>
      </w:pPr>
      <w:r>
        <w:t>The HAP for an assisted occupant in an SRO facility is the lower of the SRO payment standard amount minus the TTP or the gross rent for the unit minus the TTP.</w:t>
      </w:r>
    </w:p>
    <w:p w:rsidR="004E13A5" w:rsidRDefault="004E13A5">
      <w:pPr>
        <w:pStyle w:val="BodyText"/>
        <w:spacing w:before="9"/>
        <w:ind w:left="0"/>
        <w:rPr>
          <w:sz w:val="20"/>
        </w:rPr>
      </w:pPr>
    </w:p>
    <w:p w:rsidR="004E13A5" w:rsidRPr="00F55B95" w:rsidRDefault="00681463">
      <w:pPr>
        <w:pStyle w:val="Heading4"/>
      </w:pPr>
      <w:bookmarkStart w:id="237" w:name="_TOC_250191"/>
      <w:bookmarkEnd w:id="237"/>
      <w:r>
        <w:t xml:space="preserve">15-I.C. </w:t>
      </w:r>
      <w:r w:rsidR="00F55B95" w:rsidRPr="00F55B95">
        <w:t>NATIONAL STANDARDS FOR THE PHYSICAL INSPECTION OF REAL ESTATE (NSPIRE)</w:t>
      </w:r>
    </w:p>
    <w:p w:rsidR="004E13A5" w:rsidRDefault="002C4221">
      <w:pPr>
        <w:pStyle w:val="BodyText"/>
        <w:ind w:right="214"/>
        <w:jc w:val="both"/>
      </w:pPr>
      <w:r>
        <w:t>NSPIRE</w:t>
      </w:r>
      <w:r w:rsidR="00681463">
        <w:t xml:space="preserve"> requirements described in Chapter 8 apply to SRO housing except that sanitary facilities, and space and security characteristics must meet local code standards for SRO housing. In the absence of applicable local code standards for SRO housing, the following standards apply:</w:t>
      </w:r>
    </w:p>
    <w:p w:rsidR="004E13A5" w:rsidRDefault="00681463">
      <w:pPr>
        <w:pStyle w:val="ListParagraph"/>
        <w:numPr>
          <w:ilvl w:val="0"/>
          <w:numId w:val="93"/>
        </w:numPr>
        <w:tabs>
          <w:tab w:val="left" w:pos="460"/>
          <w:tab w:val="left" w:pos="461"/>
        </w:tabs>
        <w:spacing w:before="138"/>
        <w:ind w:right="193"/>
        <w:rPr>
          <w:rFonts w:ascii="Symbol"/>
          <w:sz w:val="24"/>
        </w:rPr>
      </w:pPr>
      <w:r>
        <w:rPr>
          <w:i/>
          <w:sz w:val="24"/>
        </w:rPr>
        <w:t>Access</w:t>
      </w:r>
      <w:r>
        <w:rPr>
          <w:sz w:val="24"/>
        </w:rPr>
        <w:t>: Access doors to the SRO unit must have working locks for privacy. The occupant must be able to access the unit without going through any other unit. Each unit must have immediate access to two or more approved means of exit from the building, appropriately marked and leading to safe and open space at ground level. The SRO unit must also have any other means of exit required by State or local</w:t>
      </w:r>
      <w:r>
        <w:rPr>
          <w:spacing w:val="-11"/>
          <w:sz w:val="24"/>
        </w:rPr>
        <w:t xml:space="preserve"> </w:t>
      </w:r>
      <w:r>
        <w:rPr>
          <w:sz w:val="24"/>
        </w:rPr>
        <w:t>law.</w:t>
      </w:r>
    </w:p>
    <w:p w:rsidR="004E13A5" w:rsidRDefault="00681463">
      <w:pPr>
        <w:pStyle w:val="ListParagraph"/>
        <w:numPr>
          <w:ilvl w:val="0"/>
          <w:numId w:val="93"/>
        </w:numPr>
        <w:tabs>
          <w:tab w:val="left" w:pos="460"/>
          <w:tab w:val="left" w:pos="461"/>
        </w:tabs>
        <w:spacing w:before="120"/>
        <w:ind w:right="118"/>
        <w:rPr>
          <w:rFonts w:ascii="Symbol" w:hAnsi="Symbol"/>
          <w:sz w:val="24"/>
        </w:rPr>
      </w:pPr>
      <w:r>
        <w:rPr>
          <w:i/>
          <w:sz w:val="24"/>
        </w:rPr>
        <w:t>Fire Safety</w:t>
      </w:r>
      <w:r>
        <w:rPr>
          <w:sz w:val="24"/>
        </w:rPr>
        <w:t>: All SRO facilities must have a sprinkler system that protects major spaces. “Major spaces” are defined as hallways, large common areas, and any other areas specified in local</w:t>
      </w:r>
      <w:r>
        <w:rPr>
          <w:spacing w:val="-18"/>
          <w:sz w:val="24"/>
        </w:rPr>
        <w:t xml:space="preserve"> </w:t>
      </w:r>
      <w:r>
        <w:rPr>
          <w:sz w:val="24"/>
        </w:rPr>
        <w:t>fire, building, or safety codes. SROs must also have hard-wired smoke detectors, and any other fire and safety equipment required by state or local</w:t>
      </w:r>
      <w:r>
        <w:rPr>
          <w:spacing w:val="-10"/>
          <w:sz w:val="24"/>
        </w:rPr>
        <w:t xml:space="preserve"> </w:t>
      </w:r>
      <w:r>
        <w:rPr>
          <w:sz w:val="24"/>
        </w:rPr>
        <w:t>law.</w:t>
      </w:r>
    </w:p>
    <w:p w:rsidR="004E13A5" w:rsidRDefault="00681463">
      <w:pPr>
        <w:pStyle w:val="BodyText"/>
        <w:spacing w:before="120"/>
        <w:ind w:left="460" w:right="169"/>
      </w:pPr>
      <w:r>
        <w:t>Sanitary facilities and space and security standards must meet local code requirements for SRO housing. In the absence of local code standards the requirements discussed below apply [24 CFR 982.605].</w:t>
      </w:r>
    </w:p>
    <w:p w:rsidR="004E13A5" w:rsidRDefault="004E13A5">
      <w:pPr>
        <w:sectPr w:rsidR="004E13A5">
          <w:pgSz w:w="12240" w:h="15840"/>
          <w:pgMar w:top="1000" w:right="122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114"/>
        <w:rPr>
          <w:rFonts w:ascii="Symbol"/>
          <w:sz w:val="24"/>
        </w:rPr>
      </w:pPr>
      <w:r>
        <w:rPr>
          <w:i/>
          <w:sz w:val="24"/>
        </w:rPr>
        <w:lastRenderedPageBreak/>
        <w:t>Sanitary Facilities</w:t>
      </w:r>
      <w:r>
        <w:rPr>
          <w:sz w:val="24"/>
        </w:rPr>
        <w:t>: At least one flush toilet that can be used in privacy, a lavatory basin, and a bathtub or shower in proper operating condition must be provided for each six persons (or fewer) residing in the SRO facility. If the SRO units are leased only tomales , flush urinals may be substituted for up to one half of the required number of toilets. Sanitary facilities must be reasonably accessible from a common hall or passageway, to all persons sharing them and may not be located more than one floor above or below the SRO unit. They may not be located below grade unless the SRO units are located on that</w:t>
      </w:r>
      <w:r>
        <w:rPr>
          <w:spacing w:val="-10"/>
          <w:sz w:val="24"/>
        </w:rPr>
        <w:t xml:space="preserve"> </w:t>
      </w:r>
      <w:r>
        <w:rPr>
          <w:sz w:val="24"/>
        </w:rPr>
        <w:t>level.</w:t>
      </w:r>
    </w:p>
    <w:p w:rsidR="004E13A5" w:rsidRDefault="00681463">
      <w:pPr>
        <w:pStyle w:val="ListParagraph"/>
        <w:numPr>
          <w:ilvl w:val="0"/>
          <w:numId w:val="93"/>
        </w:numPr>
        <w:tabs>
          <w:tab w:val="left" w:pos="460"/>
          <w:tab w:val="left" w:pos="461"/>
        </w:tabs>
        <w:ind w:right="182"/>
        <w:rPr>
          <w:rFonts w:ascii="Symbol"/>
          <w:sz w:val="24"/>
        </w:rPr>
      </w:pPr>
      <w:r>
        <w:rPr>
          <w:i/>
          <w:sz w:val="24"/>
        </w:rPr>
        <w:t>Space and Security</w:t>
      </w:r>
      <w:r>
        <w:rPr>
          <w:sz w:val="24"/>
        </w:rPr>
        <w:t>: An SRO unit must contain at least 110 square feet of floor space, and at least four square feet of closet space with an unobstructed height of at least five feet, for use</w:t>
      </w:r>
      <w:r>
        <w:rPr>
          <w:spacing w:val="-14"/>
          <w:sz w:val="24"/>
        </w:rPr>
        <w:t xml:space="preserve"> </w:t>
      </w:r>
      <w:r>
        <w:rPr>
          <w:sz w:val="24"/>
        </w:rPr>
        <w:t>by the occupant. If the closet space is less than four square feet, the habitable floor space in the SRO unit must be increased by the amount of the deficiency. Exterior doors and windows accessible from outside the SRO unit must be</w:t>
      </w:r>
      <w:r>
        <w:rPr>
          <w:spacing w:val="-8"/>
          <w:sz w:val="24"/>
        </w:rPr>
        <w:t xml:space="preserve"> </w:t>
      </w:r>
      <w:r>
        <w:rPr>
          <w:sz w:val="24"/>
        </w:rPr>
        <w:t>lockable.</w:t>
      </w:r>
    </w:p>
    <w:p w:rsidR="004E13A5" w:rsidRDefault="00681463">
      <w:pPr>
        <w:pStyle w:val="BodyText"/>
        <w:spacing w:before="120"/>
        <w:ind w:left="460" w:right="581"/>
      </w:pPr>
      <w:r>
        <w:t>Because no children live in SRO housing, the housing quality standards applicable to lead- based paint do not apply.</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ind w:left="1166" w:right="1147"/>
        <w:jc w:val="center"/>
      </w:pPr>
      <w:r>
        <w:lastRenderedPageBreak/>
        <w:t>PART II: CONGREGATE HOUSING</w:t>
      </w:r>
    </w:p>
    <w:p w:rsidR="004E13A5" w:rsidRDefault="00681463">
      <w:pPr>
        <w:pStyle w:val="BodyText"/>
        <w:spacing w:before="120"/>
        <w:ind w:left="1166" w:right="1145"/>
        <w:jc w:val="center"/>
      </w:pPr>
      <w:r>
        <w:t>[24 CFR 982.606 through 982.609; Form HUD-52641; New HCV GB,</w:t>
      </w:r>
    </w:p>
    <w:p w:rsidR="004E13A5" w:rsidRDefault="00681463">
      <w:pPr>
        <w:ind w:left="1166" w:right="1143"/>
        <w:jc w:val="center"/>
        <w:rPr>
          <w:sz w:val="24"/>
        </w:rPr>
      </w:pPr>
      <w:r>
        <w:rPr>
          <w:i/>
          <w:sz w:val="24"/>
        </w:rPr>
        <w:t xml:space="preserve">Special Housing Types, </w:t>
      </w:r>
      <w:r>
        <w:rPr>
          <w:sz w:val="24"/>
        </w:rPr>
        <w:t>p. 6]]</w:t>
      </w:r>
    </w:p>
    <w:p w:rsidR="004E13A5" w:rsidRDefault="004E13A5">
      <w:pPr>
        <w:pStyle w:val="BodyText"/>
        <w:spacing w:before="1"/>
        <w:ind w:left="0"/>
        <w:rPr>
          <w:sz w:val="13"/>
        </w:rPr>
      </w:pPr>
    </w:p>
    <w:p w:rsidR="004E13A5" w:rsidRDefault="00681463">
      <w:pPr>
        <w:pStyle w:val="Heading4"/>
        <w:spacing w:before="89"/>
      </w:pPr>
      <w:bookmarkStart w:id="238" w:name="_TOC_250190"/>
      <w:bookmarkEnd w:id="238"/>
      <w:r>
        <w:t>15-II.A. OVERVIEW</w:t>
      </w:r>
    </w:p>
    <w:p w:rsidR="004E13A5" w:rsidRDefault="00681463">
      <w:pPr>
        <w:pStyle w:val="BodyText"/>
        <w:ind w:right="143"/>
      </w:pPr>
      <w:r>
        <w:t>Congregate housing is intended for use by elderly persons or persons with disabilities. A congregate housing facility contains a shared central kitchen and dining area and a private living area for the individual household that includes at least a living room, bedroom and bathroom. Food service for residents must be provided.</w:t>
      </w:r>
    </w:p>
    <w:p w:rsidR="004E13A5" w:rsidRDefault="00681463">
      <w:pPr>
        <w:pStyle w:val="BodyText"/>
        <w:ind w:right="162"/>
      </w:pPr>
      <w:r>
        <w:t>If approved by the PHA, a family member or live-in aide may reside with the elderly person or person with disabilities. The PHA must approve a live-in aide if needed as a reasonable accommodation so that the program is readily accessible to and usable by persons with disabilities.</w:t>
      </w:r>
    </w:p>
    <w:p w:rsidR="004E13A5" w:rsidRDefault="00681463">
      <w:pPr>
        <w:pStyle w:val="BodyText"/>
        <w:spacing w:before="120"/>
        <w:ind w:right="135"/>
      </w:pPr>
      <w:r>
        <w:t>When providing HCV assistance in congregate housing, a separate lease and HAP contract are executed for each assisted family. The standard form of the HAP contract is used. (form HUD- 52641) with the special housing type specified in Part A of the HAP contract, as follows: “This HAP contract is used for the following special housing type under HUD regulations for the Section 8 voucher program: Congregate housing.”</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BodyText"/>
        <w:spacing w:before="0"/>
        <w:ind w:left="820"/>
      </w:pPr>
      <w:r>
        <w:rPr>
          <w:u w:val="single"/>
        </w:rPr>
        <w:t>PHA Policy</w:t>
      </w:r>
    </w:p>
    <w:p w:rsidR="004E13A5" w:rsidRDefault="00681463">
      <w:pPr>
        <w:pStyle w:val="BodyText"/>
        <w:ind w:left="820"/>
      </w:pPr>
      <w:r>
        <w:t>The PHA does not provide rental assistance for congregate housing units.</w:t>
      </w:r>
    </w:p>
    <w:p w:rsidR="004E13A5" w:rsidRDefault="004E13A5">
      <w:pPr>
        <w:pStyle w:val="BodyText"/>
        <w:spacing w:before="9"/>
        <w:ind w:left="0"/>
        <w:rPr>
          <w:sz w:val="20"/>
        </w:rPr>
      </w:pPr>
    </w:p>
    <w:p w:rsidR="004E13A5" w:rsidRDefault="00681463">
      <w:pPr>
        <w:pStyle w:val="Heading4"/>
      </w:pPr>
      <w:bookmarkStart w:id="239" w:name="_TOC_250189"/>
      <w:bookmarkEnd w:id="239"/>
      <w:r>
        <w:t>15-II.B. PAYMENT STANDARD, UTILITY ALLOWANCE, AND HAP CALCULATION</w:t>
      </w:r>
    </w:p>
    <w:p w:rsidR="004E13A5" w:rsidRDefault="00681463">
      <w:pPr>
        <w:pStyle w:val="BodyText"/>
        <w:ind w:right="63"/>
      </w:pPr>
      <w:r>
        <w:t>The payment standard for an individual unit in a congregate housing facility is based on the number of rooms in the private living area. for the assisted family. If there is only one room in the unit (not including the bathroom or the kitchen, if a kitchen is provided), the PHA must use the payment standard for a zero-bedroom unit. If the unit has two or more rooms (other than the bathroom and the kitchen), the PHA must use the one-bedroom payment standard.</w:t>
      </w:r>
    </w:p>
    <w:p w:rsidR="004E13A5" w:rsidRDefault="00681463">
      <w:pPr>
        <w:pStyle w:val="BodyText"/>
      </w:pPr>
      <w:r>
        <w:t>The HAP for an assisted occupant in a congregate housing facility is the lower of the applicable payment standard minus the TTP or the gross rent for the unit minus the TTP.</w:t>
      </w:r>
    </w:p>
    <w:p w:rsidR="004E13A5" w:rsidRDefault="00681463">
      <w:pPr>
        <w:pStyle w:val="BodyText"/>
      </w:pPr>
      <w:r>
        <w:t>The gross rent for the unit for the purpose of calculating HCV assistance is the shelter portion (including utilities) of the resident’s monthly housing expense only. The residents’ costs for food service should not be included in the rent for a congregate housing unit.</w:t>
      </w:r>
    </w:p>
    <w:p w:rsidR="004E13A5" w:rsidRDefault="004E13A5">
      <w:pPr>
        <w:pStyle w:val="BodyText"/>
        <w:spacing w:before="9"/>
        <w:ind w:left="0"/>
        <w:rPr>
          <w:sz w:val="20"/>
        </w:rPr>
      </w:pPr>
    </w:p>
    <w:p w:rsidR="004E13A5" w:rsidRDefault="00681463">
      <w:pPr>
        <w:pStyle w:val="Heading4"/>
      </w:pPr>
      <w:bookmarkStart w:id="240" w:name="_TOC_250188"/>
      <w:bookmarkEnd w:id="240"/>
      <w:r>
        <w:t xml:space="preserve">15-II.C. </w:t>
      </w:r>
      <w:r w:rsidR="00F55B95" w:rsidRPr="00F55B95">
        <w:t>NATIONAL STANDARDS FOR THE PHYSICAL INSPECTION OF REAL ESTATE (NSPIRE)</w:t>
      </w:r>
    </w:p>
    <w:p w:rsidR="004E13A5" w:rsidRDefault="002C4221">
      <w:pPr>
        <w:pStyle w:val="BodyText"/>
        <w:spacing w:before="120"/>
        <w:ind w:right="1229"/>
      </w:pPr>
      <w:r>
        <w:t>NSPIRE</w:t>
      </w:r>
      <w:r w:rsidR="00681463">
        <w:t xml:space="preserve"> requirements as described in Chapter 8 apply to congregate housing except for the requirements stated below.</w:t>
      </w:r>
    </w:p>
    <w:p w:rsidR="004E13A5" w:rsidRDefault="00681463">
      <w:pPr>
        <w:pStyle w:val="BodyText"/>
        <w:spacing w:before="120"/>
        <w:ind w:left="820" w:right="116"/>
      </w:pPr>
      <w:r>
        <w:t>Congregate housing must have a refrigerator of appropriate size in the private living area of each resident,a central kitchen and dining facilities located within the premises and accessible to the residents, and food service for the residents, that is not provided by the residents themselves.</w:t>
      </w:r>
    </w:p>
    <w:p w:rsidR="004E13A5" w:rsidRDefault="00681463">
      <w:pPr>
        <w:pStyle w:val="BodyText"/>
        <w:spacing w:before="120"/>
        <w:ind w:right="403"/>
      </w:pPr>
      <w:r>
        <w:t xml:space="preserve">The congregate housing must contain adequate facilities and services for the sanitary disposal of </w:t>
      </w:r>
      <w:r>
        <w:lastRenderedPageBreak/>
        <w:t>food waste and refuse, including facilities for temporary storage where necessary.</w:t>
      </w:r>
    </w:p>
    <w:p w:rsidR="004E13A5" w:rsidRDefault="004E13A5">
      <w:pPr>
        <w:sectPr w:rsidR="004E13A5">
          <w:pgSz w:w="12240" w:h="15840"/>
          <w:pgMar w:top="1240" w:right="1240" w:bottom="1240" w:left="1220" w:header="0" w:footer="1023" w:gutter="0"/>
          <w:cols w:space="720"/>
        </w:sectPr>
      </w:pPr>
    </w:p>
    <w:p w:rsidR="004E13A5" w:rsidRDefault="00681463">
      <w:pPr>
        <w:pStyle w:val="BodyText"/>
        <w:spacing w:before="95"/>
        <w:ind w:left="157" w:right="112"/>
        <w:jc w:val="center"/>
      </w:pPr>
      <w:r>
        <w:lastRenderedPageBreak/>
        <w:t>The housing quality standards applicable to lead-based paint do not apply unless a child under the age of six is expected to reside in the unit.</w:t>
      </w:r>
    </w:p>
    <w:p w:rsidR="004E13A5" w:rsidRDefault="004E13A5">
      <w:pPr>
        <w:pStyle w:val="BodyText"/>
        <w:spacing w:before="9"/>
        <w:ind w:left="0"/>
        <w:rPr>
          <w:sz w:val="20"/>
        </w:rPr>
      </w:pPr>
    </w:p>
    <w:p w:rsidR="004E13A5" w:rsidRDefault="00681463">
      <w:pPr>
        <w:pStyle w:val="Heading4"/>
        <w:ind w:left="152" w:right="115"/>
        <w:jc w:val="center"/>
      </w:pPr>
      <w:r>
        <w:t>PART III: GROUP HOME</w:t>
      </w:r>
    </w:p>
    <w:p w:rsidR="004E13A5" w:rsidRDefault="00681463">
      <w:pPr>
        <w:spacing w:before="119"/>
        <w:ind w:left="157" w:right="115"/>
        <w:jc w:val="center"/>
        <w:rPr>
          <w:sz w:val="24"/>
        </w:rPr>
      </w:pPr>
      <w:r>
        <w:rPr>
          <w:sz w:val="24"/>
        </w:rPr>
        <w:t xml:space="preserve">[24 CFR 982.610 through 982.614 ; Form HUD-52641; New HCV GB, </w:t>
      </w:r>
      <w:r>
        <w:rPr>
          <w:i/>
          <w:sz w:val="24"/>
        </w:rPr>
        <w:t xml:space="preserve">Special Housing Types, </w:t>
      </w:r>
      <w:r>
        <w:rPr>
          <w:sz w:val="24"/>
        </w:rPr>
        <w:t>p.</w:t>
      </w:r>
    </w:p>
    <w:p w:rsidR="004E13A5" w:rsidRDefault="00681463">
      <w:pPr>
        <w:pStyle w:val="BodyText"/>
        <w:spacing w:before="0"/>
        <w:ind w:left="155" w:right="115"/>
        <w:jc w:val="center"/>
      </w:pPr>
      <w:r>
        <w:t>8]</w:t>
      </w:r>
    </w:p>
    <w:p w:rsidR="004E13A5" w:rsidRDefault="004E13A5">
      <w:pPr>
        <w:pStyle w:val="BodyText"/>
        <w:spacing w:before="1"/>
        <w:ind w:left="0"/>
        <w:rPr>
          <w:sz w:val="13"/>
        </w:rPr>
      </w:pPr>
    </w:p>
    <w:p w:rsidR="004E13A5" w:rsidRDefault="00681463">
      <w:pPr>
        <w:pStyle w:val="Heading4"/>
        <w:spacing w:before="90"/>
      </w:pPr>
      <w:bookmarkStart w:id="241" w:name="_TOC_250187"/>
      <w:bookmarkEnd w:id="241"/>
      <w:r>
        <w:t>15-III.A. OVERVIEW</w:t>
      </w:r>
    </w:p>
    <w:p w:rsidR="004E13A5" w:rsidRDefault="00681463">
      <w:pPr>
        <w:pStyle w:val="BodyText"/>
        <w:spacing w:before="120"/>
        <w:ind w:right="249"/>
      </w:pPr>
      <w:r>
        <w:t>A group home is a state- approved (licensed, certified, or otherwise approved in writing by the state) facility intended for occupancy by elderly persons and/or persons with disabilities. Except for live-in aides, all persons living in a group home, whether assisted or not, must be elderly persons or persons with disabilities. Persons living in a group home must not require continuous medical or nursing care.</w:t>
      </w:r>
    </w:p>
    <w:p w:rsidR="004E13A5" w:rsidRDefault="00681463">
      <w:pPr>
        <w:pStyle w:val="BodyText"/>
        <w:spacing w:before="120"/>
        <w:ind w:right="795"/>
      </w:pPr>
      <w:r>
        <w:t>A group home consists of bedrooms for residents, which can be shared by no more than two people, and a living room, kitchen, dining area, bathroom, and other appropriate social, recreational, or community space that may be shared with other residents.</w:t>
      </w:r>
    </w:p>
    <w:p w:rsidR="004E13A5" w:rsidRDefault="00681463">
      <w:pPr>
        <w:pStyle w:val="BodyText"/>
        <w:spacing w:before="120"/>
        <w:ind w:right="136"/>
      </w:pPr>
      <w:r>
        <w:t>No more than 12 persons may reside in a group home including assisted and unassisted residents and any live-in aides.</w:t>
      </w:r>
    </w:p>
    <w:p w:rsidR="004E13A5" w:rsidRDefault="00681463">
      <w:pPr>
        <w:pStyle w:val="BodyText"/>
        <w:spacing w:before="120"/>
        <w:ind w:right="83"/>
      </w:pPr>
      <w:r>
        <w:t>If approved by the PHA, a live-in aide may live in the group home with a person with disabilities. The PHA must approve a live-in aide if needed as a reasonable accommodation so that the program is readily accessible to and usable by persons with disabilities.</w:t>
      </w:r>
    </w:p>
    <w:p w:rsidR="004E13A5" w:rsidRDefault="00681463">
      <w:pPr>
        <w:pStyle w:val="BodyText"/>
        <w:spacing w:before="120"/>
        <w:ind w:right="135"/>
      </w:pPr>
      <w:r>
        <w:t>When providing HCV assistance in a group home, a separate lease and HAP contract is executed for each assisted family, The standard form of the HAP contract is used. (form HUD-52641) with the special housing type specified in Part A of the HAP contract, as follows: “This HAP contract is used for the following special housing type under HUD regulations for the Section 8 voucher program: Group home.”</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does provide rental assistance for persons living in a group home.</w:t>
      </w:r>
    </w:p>
    <w:p w:rsidR="004E13A5" w:rsidRDefault="004E13A5">
      <w:pPr>
        <w:pStyle w:val="BodyText"/>
        <w:spacing w:before="10"/>
        <w:ind w:left="0"/>
        <w:rPr>
          <w:sz w:val="20"/>
        </w:rPr>
      </w:pPr>
    </w:p>
    <w:p w:rsidR="004E13A5" w:rsidRDefault="00681463">
      <w:pPr>
        <w:pStyle w:val="Heading4"/>
      </w:pPr>
      <w:bookmarkStart w:id="242" w:name="_TOC_250186"/>
      <w:bookmarkEnd w:id="242"/>
      <w:r>
        <w:t>15-III.B. PAYMENT STANDARD, UTILITY ALLOWANCE, AND HAP CALCULATION</w:t>
      </w:r>
    </w:p>
    <w:p w:rsidR="004E13A5" w:rsidRDefault="00681463">
      <w:pPr>
        <w:pStyle w:val="BodyText"/>
        <w:spacing w:before="120"/>
      </w:pPr>
      <w:r>
        <w:t>Unless there is a live-in aide, the family unit size(voucher size) for an assisted occupant of a group home must be zero- or one-bedroom,. If there is a live-in aide, the aide must be counted in determining the household’s unit size.</w:t>
      </w:r>
    </w:p>
    <w:p w:rsidR="004E13A5" w:rsidRDefault="00681463">
      <w:pPr>
        <w:pStyle w:val="BodyText"/>
        <w:spacing w:before="120"/>
        <w:ind w:right="136"/>
      </w:pPr>
      <w:r>
        <w:t>The payment standard used to calculate the HAP is the lower of the payment standard for the family unit size or the prorata share of the payment standard for the group home size. The prorata share is calculated by dividing the number of persons in the assisted household by the number of persons (assisted and unassisted) living in the group home. The number of persons in the assisted household equals one assisted person plus any PHA-approved live-in aide.</w:t>
      </w:r>
    </w:p>
    <w:p w:rsidR="004E13A5" w:rsidRDefault="00681463">
      <w:pPr>
        <w:pStyle w:val="BodyText"/>
        <w:ind w:right="188"/>
      </w:pPr>
      <w:r>
        <w:t>The HAP for an assisted occupant in a group home is the lower of the payment standard minus the TTP or the gross rent minus the TTP.</w:t>
      </w:r>
    </w:p>
    <w:p w:rsidR="004E13A5" w:rsidRDefault="00681463">
      <w:pPr>
        <w:pStyle w:val="BodyText"/>
        <w:ind w:right="436"/>
      </w:pPr>
      <w:r>
        <w:t>The utility allowance for an assisted occupant in a group home is the prorata share of the family unit size to the utility allowance for the group home.</w:t>
      </w:r>
    </w:p>
    <w:p w:rsidR="004E13A5" w:rsidRDefault="004E13A5">
      <w:pPr>
        <w:sectPr w:rsidR="004E13A5">
          <w:pgSz w:w="12240" w:h="15840"/>
          <w:pgMar w:top="1500" w:right="1260" w:bottom="1240" w:left="1220" w:header="0" w:footer="1023" w:gutter="0"/>
          <w:cols w:space="720"/>
        </w:sectPr>
      </w:pPr>
    </w:p>
    <w:p w:rsidR="004E13A5" w:rsidRDefault="00681463">
      <w:pPr>
        <w:pStyle w:val="BodyText"/>
        <w:spacing w:before="79"/>
        <w:ind w:right="99"/>
      </w:pPr>
      <w:r>
        <w:lastRenderedPageBreak/>
        <w:t>The rents paid for participants residing in group homes are subject to generally applicable</w:t>
      </w:r>
      <w:r>
        <w:rPr>
          <w:spacing w:val="-18"/>
        </w:rPr>
        <w:t xml:space="preserve"> </w:t>
      </w:r>
      <w:r>
        <w:t>standards for rent reasonableness. The rent for an assisted person must not exceed the prorata portion of the reasonable rent for the group home. In determining reasonable rent, the PHAmust  consider whether sanitary facilities and facilities for food preparation and service are common facilities or private</w:t>
      </w:r>
      <w:r>
        <w:rPr>
          <w:spacing w:val="-5"/>
        </w:rPr>
        <w:t xml:space="preserve"> </w:t>
      </w:r>
      <w:r>
        <w:t>facilities.</w:t>
      </w:r>
    </w:p>
    <w:p w:rsidR="004E13A5" w:rsidRDefault="004E13A5">
      <w:pPr>
        <w:sectPr w:rsidR="004E13A5">
          <w:pgSz w:w="12240" w:h="15840"/>
          <w:pgMar w:top="1000" w:right="1240" w:bottom="1240" w:left="1220" w:header="0" w:footer="1023" w:gutter="0"/>
          <w:cols w:space="720"/>
        </w:sectPr>
      </w:pPr>
    </w:p>
    <w:p w:rsidR="008D61FD" w:rsidRDefault="00681463" w:rsidP="008D61FD">
      <w:pPr>
        <w:pStyle w:val="Heading4"/>
        <w:spacing w:before="79"/>
        <w:rPr>
          <w:b w:val="0"/>
        </w:rPr>
      </w:pPr>
      <w:bookmarkStart w:id="243" w:name="_TOC_250185"/>
      <w:bookmarkEnd w:id="243"/>
      <w:r>
        <w:lastRenderedPageBreak/>
        <w:t>15-III.C.</w:t>
      </w:r>
      <w:r w:rsidRPr="008D61FD">
        <w:t xml:space="preserve"> </w:t>
      </w:r>
      <w:r w:rsidR="008D61FD" w:rsidRPr="008D61FD">
        <w:t>NATIONAL STANDARDS FOR THE PHYSICAL INSPECTION OF REAL ESTATE (NSPIRE)</w:t>
      </w:r>
    </w:p>
    <w:p w:rsidR="004E13A5" w:rsidRDefault="00681463" w:rsidP="008D61FD">
      <w:pPr>
        <w:pStyle w:val="Heading4"/>
        <w:spacing w:before="79"/>
      </w:pPr>
      <w:r>
        <w:t xml:space="preserve">The entire unit must comply with </w:t>
      </w:r>
      <w:r w:rsidR="002C4221">
        <w:t>NSPIRE</w:t>
      </w:r>
      <w:r>
        <w:t xml:space="preserve"> requirements described in Chapter 8 except for the requirements stated below.</w:t>
      </w:r>
    </w:p>
    <w:p w:rsidR="004E13A5" w:rsidRDefault="00681463">
      <w:pPr>
        <w:pStyle w:val="ListParagraph"/>
        <w:numPr>
          <w:ilvl w:val="0"/>
          <w:numId w:val="93"/>
        </w:numPr>
        <w:tabs>
          <w:tab w:val="left" w:pos="460"/>
          <w:tab w:val="left" w:pos="461"/>
        </w:tabs>
        <w:ind w:right="254"/>
        <w:rPr>
          <w:rFonts w:ascii="Symbol"/>
          <w:sz w:val="24"/>
        </w:rPr>
      </w:pPr>
      <w:r>
        <w:rPr>
          <w:i/>
          <w:sz w:val="24"/>
        </w:rPr>
        <w:t>Sanitary Facilities</w:t>
      </w:r>
      <w:r>
        <w:rPr>
          <w:sz w:val="24"/>
        </w:rPr>
        <w:t>: A group home must have at least one bathroom in the facility, with a</w:t>
      </w:r>
      <w:r>
        <w:rPr>
          <w:spacing w:val="-14"/>
          <w:sz w:val="24"/>
        </w:rPr>
        <w:t xml:space="preserve"> </w:t>
      </w:r>
      <w:r>
        <w:rPr>
          <w:sz w:val="24"/>
        </w:rPr>
        <w:t>flush toilet that can be used in privacy, a fixed basin with hot and cold running water, and a shower or bathtub with hot and cold running water. A group home may contain private or common bathrooms. However, no more than four residents can be required to share a</w:t>
      </w:r>
      <w:r>
        <w:rPr>
          <w:spacing w:val="-11"/>
          <w:sz w:val="24"/>
        </w:rPr>
        <w:t xml:space="preserve"> </w:t>
      </w:r>
      <w:r>
        <w:rPr>
          <w:sz w:val="24"/>
        </w:rPr>
        <w:t>bathroom.</w:t>
      </w:r>
    </w:p>
    <w:p w:rsidR="004E13A5" w:rsidRDefault="00681463">
      <w:pPr>
        <w:pStyle w:val="ListParagraph"/>
        <w:numPr>
          <w:ilvl w:val="0"/>
          <w:numId w:val="93"/>
        </w:numPr>
        <w:tabs>
          <w:tab w:val="left" w:pos="460"/>
          <w:tab w:val="left" w:pos="461"/>
        </w:tabs>
        <w:ind w:right="105"/>
        <w:rPr>
          <w:rFonts w:ascii="Symbol"/>
          <w:sz w:val="24"/>
        </w:rPr>
      </w:pPr>
      <w:r>
        <w:rPr>
          <w:i/>
          <w:sz w:val="24"/>
        </w:rPr>
        <w:t>Food Preparation and Service</w:t>
      </w:r>
      <w:r>
        <w:rPr>
          <w:sz w:val="24"/>
        </w:rPr>
        <w:t>: Group home units must contain a kitchen and dining area with adequate space to store, prepare, and serve food. The facilities for food preparation and service may be private or may be shared by the residents. The kitchen must contain a range, an oven, a refrigerator, and a sink with hot and cold running water. The sink must drain into an</w:t>
      </w:r>
      <w:r>
        <w:rPr>
          <w:spacing w:val="-18"/>
          <w:sz w:val="24"/>
        </w:rPr>
        <w:t xml:space="preserve"> </w:t>
      </w:r>
      <w:r>
        <w:rPr>
          <w:sz w:val="24"/>
        </w:rPr>
        <w:t>approvable public or private disposal</w:t>
      </w:r>
      <w:r>
        <w:rPr>
          <w:spacing w:val="-7"/>
          <w:sz w:val="24"/>
        </w:rPr>
        <w:t xml:space="preserve"> </w:t>
      </w:r>
      <w:r>
        <w:rPr>
          <w:sz w:val="24"/>
        </w:rPr>
        <w:t>system.</w:t>
      </w:r>
    </w:p>
    <w:p w:rsidR="004E13A5" w:rsidRDefault="00681463">
      <w:pPr>
        <w:pStyle w:val="ListParagraph"/>
        <w:numPr>
          <w:ilvl w:val="0"/>
          <w:numId w:val="93"/>
        </w:numPr>
        <w:tabs>
          <w:tab w:val="left" w:pos="460"/>
          <w:tab w:val="left" w:pos="461"/>
        </w:tabs>
        <w:spacing w:before="120"/>
        <w:ind w:right="489"/>
        <w:rPr>
          <w:rFonts w:ascii="Symbol"/>
          <w:sz w:val="24"/>
        </w:rPr>
      </w:pPr>
      <w:r>
        <w:rPr>
          <w:i/>
          <w:sz w:val="24"/>
        </w:rPr>
        <w:t>Space and Security</w:t>
      </w:r>
      <w:r>
        <w:rPr>
          <w:sz w:val="24"/>
        </w:rPr>
        <w:t>: Group homes must contain at least one bedroom of appropriate size for every two people, and a living room, kitchen, dining area, bathroom, and other appropriate social, recreational, or community space that may be shared with other residents. Doors</w:t>
      </w:r>
      <w:r>
        <w:rPr>
          <w:spacing w:val="-13"/>
          <w:sz w:val="24"/>
        </w:rPr>
        <w:t xml:space="preserve"> </w:t>
      </w:r>
      <w:r>
        <w:rPr>
          <w:sz w:val="24"/>
        </w:rPr>
        <w:t>and windows accessible from outside the unit must be</w:t>
      </w:r>
      <w:r>
        <w:rPr>
          <w:spacing w:val="-5"/>
          <w:sz w:val="24"/>
        </w:rPr>
        <w:t xml:space="preserve"> </w:t>
      </w:r>
      <w:r>
        <w:rPr>
          <w:sz w:val="24"/>
        </w:rPr>
        <w:t>lockable.</w:t>
      </w:r>
    </w:p>
    <w:p w:rsidR="004E13A5" w:rsidRDefault="00681463">
      <w:pPr>
        <w:pStyle w:val="ListParagraph"/>
        <w:numPr>
          <w:ilvl w:val="0"/>
          <w:numId w:val="93"/>
        </w:numPr>
        <w:tabs>
          <w:tab w:val="left" w:pos="460"/>
          <w:tab w:val="left" w:pos="461"/>
        </w:tabs>
        <w:ind w:right="245"/>
        <w:rPr>
          <w:rFonts w:ascii="Symbol"/>
          <w:sz w:val="24"/>
        </w:rPr>
      </w:pPr>
      <w:r>
        <w:rPr>
          <w:i/>
          <w:sz w:val="24"/>
        </w:rPr>
        <w:t>Structure and Material</w:t>
      </w:r>
      <w:r>
        <w:rPr>
          <w:sz w:val="24"/>
        </w:rPr>
        <w:t>: To avoid any threat to the health and safety of the residents, group homes must be structurally sound. Elevators must be in good condition. Group homes must be accessible to and usable by residents with</w:t>
      </w:r>
      <w:r>
        <w:rPr>
          <w:spacing w:val="-5"/>
          <w:sz w:val="24"/>
        </w:rPr>
        <w:t xml:space="preserve"> </w:t>
      </w:r>
      <w:r>
        <w:rPr>
          <w:sz w:val="24"/>
        </w:rPr>
        <w:t>disabilities.</w:t>
      </w:r>
    </w:p>
    <w:p w:rsidR="004E13A5" w:rsidRDefault="00681463">
      <w:pPr>
        <w:pStyle w:val="ListParagraph"/>
        <w:numPr>
          <w:ilvl w:val="0"/>
          <w:numId w:val="93"/>
        </w:numPr>
        <w:tabs>
          <w:tab w:val="left" w:pos="460"/>
          <w:tab w:val="left" w:pos="461"/>
        </w:tabs>
        <w:ind w:right="280"/>
        <w:rPr>
          <w:rFonts w:ascii="Symbol"/>
          <w:sz w:val="24"/>
        </w:rPr>
      </w:pPr>
      <w:r>
        <w:rPr>
          <w:i/>
          <w:sz w:val="24"/>
        </w:rPr>
        <w:t>Site and Neighborhood</w:t>
      </w:r>
      <w:r>
        <w:rPr>
          <w:sz w:val="24"/>
        </w:rPr>
        <w:t>: Group homes must be located in a residential setting. The site and neighborhood should be reasonably free from disturbing noises and reverberations, and other hazards to the health, safety, and general welfare of the residents, and should not be subject to serious adverse conditions, such</w:t>
      </w:r>
      <w:r>
        <w:rPr>
          <w:spacing w:val="-7"/>
          <w:sz w:val="24"/>
        </w:rPr>
        <w:t xml:space="preserve"> </w:t>
      </w:r>
      <w:r>
        <w:rPr>
          <w:sz w:val="24"/>
        </w:rPr>
        <w:t>as:</w:t>
      </w:r>
    </w:p>
    <w:p w:rsidR="004E13A5" w:rsidRDefault="00681463">
      <w:pPr>
        <w:pStyle w:val="ListParagraph"/>
        <w:numPr>
          <w:ilvl w:val="0"/>
          <w:numId w:val="51"/>
        </w:numPr>
        <w:tabs>
          <w:tab w:val="left" w:pos="820"/>
          <w:tab w:val="left" w:pos="821"/>
        </w:tabs>
        <w:spacing w:before="120"/>
        <w:rPr>
          <w:sz w:val="24"/>
        </w:rPr>
      </w:pPr>
      <w:r>
        <w:rPr>
          <w:sz w:val="24"/>
        </w:rPr>
        <w:t>Dangerous walks or</w:t>
      </w:r>
      <w:r>
        <w:rPr>
          <w:spacing w:val="-5"/>
          <w:sz w:val="24"/>
        </w:rPr>
        <w:t xml:space="preserve"> </w:t>
      </w:r>
      <w:r>
        <w:rPr>
          <w:sz w:val="24"/>
        </w:rPr>
        <w:t>steps</w:t>
      </w:r>
    </w:p>
    <w:p w:rsidR="004E13A5" w:rsidRDefault="00681463">
      <w:pPr>
        <w:pStyle w:val="ListParagraph"/>
        <w:numPr>
          <w:ilvl w:val="0"/>
          <w:numId w:val="51"/>
        </w:numPr>
        <w:tabs>
          <w:tab w:val="left" w:pos="820"/>
          <w:tab w:val="left" w:pos="821"/>
        </w:tabs>
        <w:rPr>
          <w:sz w:val="24"/>
        </w:rPr>
      </w:pPr>
      <w:r>
        <w:rPr>
          <w:sz w:val="24"/>
        </w:rPr>
        <w:t>Instability</w:t>
      </w:r>
    </w:p>
    <w:p w:rsidR="004E13A5" w:rsidRDefault="00681463">
      <w:pPr>
        <w:pStyle w:val="ListParagraph"/>
        <w:numPr>
          <w:ilvl w:val="0"/>
          <w:numId w:val="51"/>
        </w:numPr>
        <w:tabs>
          <w:tab w:val="left" w:pos="820"/>
          <w:tab w:val="left" w:pos="821"/>
        </w:tabs>
        <w:rPr>
          <w:sz w:val="24"/>
        </w:rPr>
      </w:pPr>
      <w:r>
        <w:rPr>
          <w:sz w:val="24"/>
        </w:rPr>
        <w:t>Flooding, poor</w:t>
      </w:r>
      <w:r>
        <w:rPr>
          <w:spacing w:val="-5"/>
          <w:sz w:val="24"/>
        </w:rPr>
        <w:t xml:space="preserve"> </w:t>
      </w:r>
      <w:r>
        <w:rPr>
          <w:sz w:val="24"/>
        </w:rPr>
        <w:t>drainage</w:t>
      </w:r>
    </w:p>
    <w:p w:rsidR="004E13A5" w:rsidRDefault="00681463">
      <w:pPr>
        <w:pStyle w:val="ListParagraph"/>
        <w:numPr>
          <w:ilvl w:val="0"/>
          <w:numId w:val="51"/>
        </w:numPr>
        <w:tabs>
          <w:tab w:val="left" w:pos="820"/>
          <w:tab w:val="left" w:pos="821"/>
        </w:tabs>
        <w:rPr>
          <w:sz w:val="24"/>
        </w:rPr>
      </w:pPr>
      <w:r>
        <w:rPr>
          <w:sz w:val="24"/>
        </w:rPr>
        <w:t>Septic tank</w:t>
      </w:r>
      <w:r>
        <w:rPr>
          <w:spacing w:val="-8"/>
          <w:sz w:val="24"/>
        </w:rPr>
        <w:t xml:space="preserve"> </w:t>
      </w:r>
      <w:r>
        <w:rPr>
          <w:sz w:val="24"/>
        </w:rPr>
        <w:t>back-ups</w:t>
      </w:r>
    </w:p>
    <w:p w:rsidR="004E13A5" w:rsidRDefault="00681463">
      <w:pPr>
        <w:pStyle w:val="ListParagraph"/>
        <w:numPr>
          <w:ilvl w:val="0"/>
          <w:numId w:val="51"/>
        </w:numPr>
        <w:tabs>
          <w:tab w:val="left" w:pos="820"/>
          <w:tab w:val="left" w:pos="821"/>
        </w:tabs>
        <w:rPr>
          <w:sz w:val="24"/>
        </w:rPr>
      </w:pPr>
      <w:r>
        <w:rPr>
          <w:sz w:val="24"/>
        </w:rPr>
        <w:t>sewage</w:t>
      </w:r>
      <w:r>
        <w:rPr>
          <w:spacing w:val="-5"/>
          <w:sz w:val="24"/>
        </w:rPr>
        <w:t xml:space="preserve"> </w:t>
      </w:r>
      <w:r>
        <w:rPr>
          <w:sz w:val="24"/>
        </w:rPr>
        <w:t>hazards</w:t>
      </w:r>
    </w:p>
    <w:p w:rsidR="004E13A5" w:rsidRDefault="00681463">
      <w:pPr>
        <w:pStyle w:val="ListParagraph"/>
        <w:numPr>
          <w:ilvl w:val="0"/>
          <w:numId w:val="51"/>
        </w:numPr>
        <w:tabs>
          <w:tab w:val="left" w:pos="820"/>
          <w:tab w:val="left" w:pos="821"/>
        </w:tabs>
        <w:rPr>
          <w:sz w:val="24"/>
        </w:rPr>
      </w:pPr>
      <w:r>
        <w:rPr>
          <w:sz w:val="24"/>
        </w:rPr>
        <w:t>Mud</w:t>
      </w:r>
      <w:r>
        <w:rPr>
          <w:spacing w:val="-1"/>
          <w:sz w:val="24"/>
        </w:rPr>
        <w:t xml:space="preserve"> </w:t>
      </w:r>
      <w:r>
        <w:rPr>
          <w:sz w:val="24"/>
        </w:rPr>
        <w:t>slides</w:t>
      </w:r>
    </w:p>
    <w:p w:rsidR="004E13A5" w:rsidRDefault="00681463">
      <w:pPr>
        <w:pStyle w:val="ListParagraph"/>
        <w:numPr>
          <w:ilvl w:val="0"/>
          <w:numId w:val="51"/>
        </w:numPr>
        <w:tabs>
          <w:tab w:val="left" w:pos="820"/>
          <w:tab w:val="left" w:pos="821"/>
        </w:tabs>
        <w:rPr>
          <w:sz w:val="24"/>
        </w:rPr>
      </w:pPr>
      <w:r>
        <w:rPr>
          <w:sz w:val="24"/>
        </w:rPr>
        <w:t>Abnormal air</w:t>
      </w:r>
      <w:r>
        <w:rPr>
          <w:spacing w:val="-4"/>
          <w:sz w:val="24"/>
        </w:rPr>
        <w:t xml:space="preserve"> </w:t>
      </w:r>
      <w:r>
        <w:rPr>
          <w:sz w:val="24"/>
        </w:rPr>
        <w:t>pollution</w:t>
      </w:r>
    </w:p>
    <w:p w:rsidR="004E13A5" w:rsidRDefault="00681463">
      <w:pPr>
        <w:pStyle w:val="ListParagraph"/>
        <w:numPr>
          <w:ilvl w:val="0"/>
          <w:numId w:val="51"/>
        </w:numPr>
        <w:tabs>
          <w:tab w:val="left" w:pos="820"/>
          <w:tab w:val="left" w:pos="821"/>
        </w:tabs>
        <w:rPr>
          <w:sz w:val="24"/>
        </w:rPr>
      </w:pPr>
      <w:r>
        <w:rPr>
          <w:sz w:val="24"/>
        </w:rPr>
        <w:t>Smoke or</w:t>
      </w:r>
      <w:r>
        <w:rPr>
          <w:spacing w:val="-4"/>
          <w:sz w:val="24"/>
        </w:rPr>
        <w:t xml:space="preserve"> </w:t>
      </w:r>
      <w:r>
        <w:rPr>
          <w:sz w:val="24"/>
        </w:rPr>
        <w:t>dust</w:t>
      </w:r>
    </w:p>
    <w:p w:rsidR="004E13A5" w:rsidRDefault="00681463">
      <w:pPr>
        <w:pStyle w:val="ListParagraph"/>
        <w:numPr>
          <w:ilvl w:val="0"/>
          <w:numId w:val="51"/>
        </w:numPr>
        <w:tabs>
          <w:tab w:val="left" w:pos="820"/>
          <w:tab w:val="left" w:pos="821"/>
        </w:tabs>
        <w:rPr>
          <w:sz w:val="24"/>
        </w:rPr>
      </w:pPr>
      <w:r>
        <w:rPr>
          <w:sz w:val="24"/>
        </w:rPr>
        <w:t>Excessive</w:t>
      </w:r>
      <w:r>
        <w:rPr>
          <w:spacing w:val="-3"/>
          <w:sz w:val="24"/>
        </w:rPr>
        <w:t xml:space="preserve"> </w:t>
      </w:r>
      <w:r>
        <w:rPr>
          <w:sz w:val="24"/>
        </w:rPr>
        <w:t>noise</w:t>
      </w:r>
    </w:p>
    <w:p w:rsidR="004E13A5" w:rsidRDefault="00681463">
      <w:pPr>
        <w:pStyle w:val="ListParagraph"/>
        <w:numPr>
          <w:ilvl w:val="0"/>
          <w:numId w:val="51"/>
        </w:numPr>
        <w:tabs>
          <w:tab w:val="left" w:pos="820"/>
          <w:tab w:val="left" w:pos="821"/>
        </w:tabs>
        <w:spacing w:before="120"/>
        <w:rPr>
          <w:sz w:val="24"/>
        </w:rPr>
      </w:pPr>
      <w:r>
        <w:rPr>
          <w:sz w:val="24"/>
        </w:rPr>
        <w:t>Vibrations or vehicular</w:t>
      </w:r>
      <w:r>
        <w:rPr>
          <w:spacing w:val="-6"/>
          <w:sz w:val="24"/>
        </w:rPr>
        <w:t xml:space="preserve"> </w:t>
      </w:r>
      <w:r>
        <w:rPr>
          <w:sz w:val="24"/>
        </w:rPr>
        <w:t>traffic</w:t>
      </w:r>
    </w:p>
    <w:p w:rsidR="004E13A5" w:rsidRDefault="00681463">
      <w:pPr>
        <w:pStyle w:val="ListParagraph"/>
        <w:numPr>
          <w:ilvl w:val="0"/>
          <w:numId w:val="51"/>
        </w:numPr>
        <w:tabs>
          <w:tab w:val="left" w:pos="820"/>
          <w:tab w:val="left" w:pos="821"/>
        </w:tabs>
        <w:spacing w:before="120"/>
        <w:rPr>
          <w:sz w:val="24"/>
        </w:rPr>
      </w:pPr>
      <w:r>
        <w:rPr>
          <w:sz w:val="24"/>
        </w:rPr>
        <w:t>Excessive accumulations of</w:t>
      </w:r>
      <w:r>
        <w:rPr>
          <w:spacing w:val="-7"/>
          <w:sz w:val="24"/>
        </w:rPr>
        <w:t xml:space="preserve"> </w:t>
      </w:r>
      <w:r>
        <w:rPr>
          <w:sz w:val="24"/>
        </w:rPr>
        <w:t>trash</w:t>
      </w:r>
    </w:p>
    <w:p w:rsidR="004E13A5" w:rsidRDefault="00681463">
      <w:pPr>
        <w:pStyle w:val="ListParagraph"/>
        <w:numPr>
          <w:ilvl w:val="0"/>
          <w:numId w:val="51"/>
        </w:numPr>
        <w:tabs>
          <w:tab w:val="left" w:pos="820"/>
          <w:tab w:val="left" w:pos="821"/>
        </w:tabs>
        <w:spacing w:before="120"/>
        <w:rPr>
          <w:sz w:val="24"/>
        </w:rPr>
      </w:pPr>
      <w:r>
        <w:rPr>
          <w:sz w:val="24"/>
        </w:rPr>
        <w:t>Vermin or rodent infestation,</w:t>
      </w:r>
      <w:r>
        <w:rPr>
          <w:spacing w:val="-5"/>
          <w:sz w:val="24"/>
        </w:rPr>
        <w:t xml:space="preserve"> </w:t>
      </w:r>
      <w:r>
        <w:rPr>
          <w:sz w:val="24"/>
        </w:rPr>
        <w:t>and</w:t>
      </w:r>
    </w:p>
    <w:p w:rsidR="004E13A5" w:rsidRDefault="00681463">
      <w:pPr>
        <w:pStyle w:val="ListParagraph"/>
        <w:numPr>
          <w:ilvl w:val="0"/>
          <w:numId w:val="51"/>
        </w:numPr>
        <w:tabs>
          <w:tab w:val="left" w:pos="820"/>
          <w:tab w:val="left" w:pos="821"/>
        </w:tabs>
        <w:spacing w:before="120"/>
        <w:rPr>
          <w:sz w:val="24"/>
        </w:rPr>
      </w:pPr>
      <w:r>
        <w:rPr>
          <w:sz w:val="24"/>
        </w:rPr>
        <w:t>Fire</w:t>
      </w:r>
      <w:r>
        <w:rPr>
          <w:spacing w:val="-4"/>
          <w:sz w:val="24"/>
        </w:rPr>
        <w:t xml:space="preserve"> </w:t>
      </w:r>
      <w:r>
        <w:rPr>
          <w:sz w:val="24"/>
        </w:rPr>
        <w:t>hazards.</w:t>
      </w:r>
    </w:p>
    <w:p w:rsidR="004E13A5" w:rsidRDefault="00681463">
      <w:pPr>
        <w:pStyle w:val="BodyText"/>
        <w:spacing w:before="120"/>
        <w:ind w:right="189"/>
      </w:pPr>
      <w:r>
        <w:t>The housing quality standards applicable to lead-based paint do not apply, unless a child under the age of six is expected to reside in the unit.</w:t>
      </w:r>
    </w:p>
    <w:p w:rsidR="004E13A5" w:rsidRDefault="004E13A5">
      <w:pPr>
        <w:sectPr w:rsidR="004E13A5">
          <w:pgSz w:w="12240" w:h="15840"/>
          <w:pgMar w:top="1240" w:right="1260" w:bottom="1240" w:left="1220" w:header="0" w:footer="1023" w:gutter="0"/>
          <w:cols w:space="720"/>
        </w:sectPr>
      </w:pPr>
    </w:p>
    <w:p w:rsidR="004E13A5" w:rsidRDefault="00681463">
      <w:pPr>
        <w:pStyle w:val="Heading4"/>
        <w:spacing w:before="79"/>
        <w:ind w:left="1165" w:right="1147"/>
        <w:jc w:val="center"/>
      </w:pPr>
      <w:r>
        <w:lastRenderedPageBreak/>
        <w:t>PART IV: SHARED HOUSING</w:t>
      </w:r>
    </w:p>
    <w:p w:rsidR="004E13A5" w:rsidRDefault="00681463">
      <w:pPr>
        <w:pStyle w:val="BodyText"/>
        <w:spacing w:before="120"/>
        <w:ind w:left="1166" w:right="1147"/>
        <w:jc w:val="center"/>
      </w:pPr>
      <w:r>
        <w:t>[24 CFR 982.615 through 982.618 ; Form HUD-52641; Notice PIH 2021-05;</w:t>
      </w:r>
    </w:p>
    <w:p w:rsidR="004E13A5" w:rsidRDefault="00681463">
      <w:pPr>
        <w:ind w:left="1165" w:right="1147"/>
        <w:jc w:val="center"/>
        <w:rPr>
          <w:sz w:val="24"/>
        </w:rPr>
      </w:pPr>
      <w:r>
        <w:rPr>
          <w:sz w:val="24"/>
        </w:rPr>
        <w:t xml:space="preserve">New HCV GB, </w:t>
      </w:r>
      <w:r>
        <w:rPr>
          <w:i/>
          <w:sz w:val="24"/>
        </w:rPr>
        <w:t xml:space="preserve">Special Housing Types, </w:t>
      </w:r>
      <w:r>
        <w:rPr>
          <w:sz w:val="24"/>
        </w:rPr>
        <w:t>p. 11]</w:t>
      </w:r>
    </w:p>
    <w:p w:rsidR="004E13A5" w:rsidRDefault="004E13A5">
      <w:pPr>
        <w:pStyle w:val="BodyText"/>
        <w:spacing w:before="1"/>
        <w:ind w:left="0"/>
        <w:rPr>
          <w:sz w:val="13"/>
        </w:rPr>
      </w:pPr>
    </w:p>
    <w:p w:rsidR="004E13A5" w:rsidRDefault="00681463">
      <w:pPr>
        <w:pStyle w:val="Heading4"/>
        <w:spacing w:before="89"/>
      </w:pPr>
      <w:r>
        <w:t>15-IV.A. OVERVIEW</w:t>
      </w:r>
    </w:p>
    <w:p w:rsidR="004E13A5" w:rsidRDefault="00681463">
      <w:pPr>
        <w:pStyle w:val="BodyText"/>
        <w:ind w:right="208"/>
      </w:pPr>
      <w:r>
        <w:t>Families in markets with tight rental conditions or with a prevalence of single-family housing may determine a shared housing living arrangement to be a useful way to secure affordable housing.</w:t>
      </w:r>
    </w:p>
    <w:p w:rsidR="004E13A5" w:rsidRDefault="00681463">
      <w:pPr>
        <w:pStyle w:val="BodyText"/>
        <w:spacing w:before="0"/>
        <w:ind w:right="82"/>
      </w:pPr>
      <w:r>
        <w:t>PHAs offering shared housing as a housing solution may also experienced some reduction in the average per-unit-cost (PUC) paid on behalf of assisted families.Shared housing is a single housing unit occupied by an assisted family and another resident or residents. The unit may be a house or an apartment. The shared unit consists of both common space for use by the occupants of the unit and separate private space for each assisted family.</w:t>
      </w:r>
    </w:p>
    <w:p w:rsidR="004E13A5" w:rsidRDefault="00681463">
      <w:pPr>
        <w:pStyle w:val="BodyText"/>
        <w:spacing w:before="121"/>
      </w:pPr>
      <w:r>
        <w:t>An assisted family may share a unit with other persons assisted under the HCV program or with other unassisted persons.</w:t>
      </w:r>
    </w:p>
    <w:p w:rsidR="004E13A5" w:rsidRDefault="00681463">
      <w:pPr>
        <w:pStyle w:val="BodyText"/>
        <w:spacing w:before="120"/>
      </w:pPr>
      <w:r>
        <w:t>Shared housing may be offered in a number of ways, including for-profit co-living (such as a boarding house, single bedroom with common living room/kitchen/dining room) run by a private company [Notice PIH 2021-05].</w:t>
      </w:r>
    </w:p>
    <w:p w:rsidR="004E13A5" w:rsidRDefault="00681463">
      <w:pPr>
        <w:pStyle w:val="BodyText"/>
        <w:spacing w:before="139"/>
        <w:ind w:right="189"/>
      </w:pPr>
      <w:r>
        <w:t>The owner of a shared housing unit may reside in the unit, but housing assistance may not be paid on behalf of the owner. The resident owner may not be related by blood or marriage to the assisted family.</w:t>
      </w:r>
    </w:p>
    <w:p w:rsidR="004E13A5" w:rsidRDefault="00681463">
      <w:pPr>
        <w:pStyle w:val="BodyText"/>
        <w:spacing w:before="120"/>
        <w:ind w:right="169"/>
      </w:pPr>
      <w:r>
        <w:t>If approved by the PHA, a live-in aide may reside with the family to care for a person with disabilities. The PHA must approve a live-in aide if needed as a reasonable accommodation so that the program is readily accessible to and usable by persons with disabilities.</w:t>
      </w:r>
    </w:p>
    <w:p w:rsidR="004E13A5" w:rsidRDefault="00681463">
      <w:pPr>
        <w:pStyle w:val="BodyText"/>
        <w:spacing w:before="120"/>
      </w:pPr>
      <w:r>
        <w:t>PHAs should work with local jurisdictions to find solutions that encourage affordable housing and are consistent with the Fair Housing Act, Title VI, and other federal, state, and local fair housing laws. PHAs should inform HUD if they encounter barriers to shared housing that may conflict with fair housing laws.</w:t>
      </w:r>
    </w:p>
    <w:p w:rsidR="004E13A5" w:rsidRDefault="00681463">
      <w:pPr>
        <w:pStyle w:val="BodyText"/>
      </w:pPr>
      <w:r>
        <w:t>When providing HCV assistance in shared housing, a separate lease and HAP contract are executed for each assisted family., The standard form of the HAP contract is used. (form HUD-52641) with the special housing type specified in Part A of the HAP contract, as follows: “This HAP contract is used for the following special housing type under HUD regulations for the Section 8 voucher program: Shared housing.”</w:t>
      </w:r>
    </w:p>
    <w:p w:rsidR="004E13A5" w:rsidRDefault="00681463">
      <w:pPr>
        <w:pStyle w:val="BodyText"/>
        <w:ind w:left="820"/>
      </w:pPr>
      <w:r>
        <w:rPr>
          <w:u w:val="single"/>
        </w:rPr>
        <w:t>PHA Policy</w:t>
      </w:r>
    </w:p>
    <w:p w:rsidR="00F55B95" w:rsidRDefault="00F55B95" w:rsidP="00F55B95">
      <w:pPr>
        <w:adjustRightInd w:val="0"/>
        <w:spacing w:before="120"/>
        <w:ind w:left="820"/>
        <w:rPr>
          <w:iCs/>
          <w:sz w:val="24"/>
          <w:szCs w:val="24"/>
        </w:rPr>
      </w:pPr>
      <w:bookmarkStart w:id="244" w:name="_GoBack"/>
      <w:r w:rsidRPr="00F55B95">
        <w:rPr>
          <w:iCs/>
          <w:sz w:val="24"/>
          <w:szCs w:val="24"/>
        </w:rPr>
        <w:t xml:space="preserve">The PHA will provide information to families regarding the shared housing option at briefing but will not provide any listings or information of housing matching services in the community. </w:t>
      </w:r>
    </w:p>
    <w:p w:rsidR="00F55B95" w:rsidRPr="00DD63EF" w:rsidRDefault="00F55B95" w:rsidP="00F55B95">
      <w:pPr>
        <w:spacing w:before="120"/>
        <w:ind w:left="820"/>
      </w:pPr>
      <w:r>
        <w:rPr>
          <w:iCs/>
        </w:rPr>
        <w:t xml:space="preserve">Although the PHA will not seek out solutions within the jurisdiction, the PHA </w:t>
      </w:r>
      <w:r w:rsidRPr="00DD63EF">
        <w:t xml:space="preserve">will inform HUD if </w:t>
      </w:r>
      <w:r>
        <w:t xml:space="preserve">the PHA encounters </w:t>
      </w:r>
      <w:r w:rsidRPr="00DD63EF">
        <w:t>barriers to shared housing that conflict with fair housing laws.</w:t>
      </w:r>
    </w:p>
    <w:bookmarkEnd w:id="244"/>
    <w:p w:rsidR="00F55B95" w:rsidRPr="00F55B95" w:rsidRDefault="00F55B95" w:rsidP="00F55B95">
      <w:pPr>
        <w:adjustRightInd w:val="0"/>
        <w:spacing w:before="120"/>
        <w:ind w:left="820"/>
        <w:rPr>
          <w:iCs/>
          <w:sz w:val="24"/>
          <w:szCs w:val="24"/>
        </w:rPr>
      </w:pPr>
    </w:p>
    <w:p w:rsidR="004E13A5" w:rsidRDefault="004E13A5">
      <w:pPr>
        <w:pStyle w:val="BodyText"/>
        <w:spacing w:before="10"/>
        <w:ind w:left="0"/>
        <w:rPr>
          <w:sz w:val="20"/>
        </w:rPr>
      </w:pPr>
    </w:p>
    <w:p w:rsidR="004E13A5" w:rsidRDefault="00681463">
      <w:pPr>
        <w:pStyle w:val="Heading4"/>
      </w:pPr>
      <w:bookmarkStart w:id="245" w:name="_TOC_250184"/>
      <w:bookmarkEnd w:id="245"/>
      <w:r>
        <w:t>15-IV.B. PAYMENT STANDARD, UTILITY ALLOWANCE AND HAP CALCULATION</w:t>
      </w:r>
    </w:p>
    <w:p w:rsidR="004E13A5" w:rsidRDefault="00681463">
      <w:pPr>
        <w:pStyle w:val="BodyText"/>
        <w:spacing w:before="120"/>
      </w:pPr>
      <w:r>
        <w:t xml:space="preserve">The payment standard for a family in shared housing is the lower of the payment standard for the </w:t>
      </w:r>
      <w:r>
        <w:lastRenderedPageBreak/>
        <w:t>family unit size(voucher size) or the prorata share of the payment standard for the shared housing unit size.</w:t>
      </w:r>
    </w:p>
    <w:p w:rsidR="004E13A5" w:rsidRDefault="00681463">
      <w:pPr>
        <w:pStyle w:val="BodyText"/>
        <w:spacing w:before="120"/>
      </w:pPr>
      <w:r>
        <w:t>The prorata share is calculated by dividing the number of bedrooms available for occupancy by the assisted family in the private , non-shared space by the total number of bedrooms in the unit.</w:t>
      </w:r>
    </w:p>
    <w:p w:rsidR="004E13A5" w:rsidRDefault="004E13A5">
      <w:pPr>
        <w:sectPr w:rsidR="004E13A5">
          <w:pgSz w:w="12240" w:h="15840"/>
          <w:pgMar w:top="1240" w:right="1240" w:bottom="1240" w:left="1220" w:header="0" w:footer="1023" w:gutter="0"/>
          <w:cols w:space="720"/>
        </w:sectPr>
      </w:pPr>
    </w:p>
    <w:p w:rsidR="004E13A5" w:rsidRDefault="00681463">
      <w:pPr>
        <w:ind w:left="815"/>
        <w:rPr>
          <w:sz w:val="20"/>
        </w:rPr>
      </w:pPr>
      <w:r>
        <w:rPr>
          <w:spacing w:val="-49"/>
          <w:sz w:val="20"/>
        </w:rPr>
        <w:lastRenderedPageBreak/>
        <w:t xml:space="preserve"> </w:t>
      </w:r>
      <w:r w:rsidR="003263D1">
        <w:rPr>
          <w:noProof/>
          <w:spacing w:val="-49"/>
          <w:sz w:val="20"/>
        </w:rPr>
        <mc:AlternateContent>
          <mc:Choice Requires="wps">
            <w:drawing>
              <wp:inline distT="0" distB="0" distL="0" distR="0">
                <wp:extent cx="5030470" cy="2620645"/>
                <wp:effectExtent l="9525" t="9525" r="8255" b="8255"/>
                <wp:docPr id="5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2620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98"/>
                              <w:ind w:left="722" w:right="722"/>
                              <w:jc w:val="center"/>
                              <w:rPr>
                                <w:sz w:val="24"/>
                              </w:rPr>
                            </w:pPr>
                            <w:r>
                              <w:rPr>
                                <w:b/>
                                <w:sz w:val="24"/>
                              </w:rPr>
                              <w:t xml:space="preserve">Example: </w:t>
                            </w:r>
                            <w:r>
                              <w:rPr>
                                <w:sz w:val="24"/>
                              </w:rPr>
                              <w:t>Family holds a two-bedroom voucher.</w:t>
                            </w:r>
                          </w:p>
                          <w:p w:rsidR="00BA59C9" w:rsidRDefault="00BA59C9">
                            <w:pPr>
                              <w:pStyle w:val="BodyText"/>
                              <w:spacing w:before="139" w:line="360" w:lineRule="auto"/>
                              <w:ind w:left="722" w:right="726"/>
                              <w:jc w:val="center"/>
                            </w:pPr>
                            <w:r>
                              <w:t>Shared housing unit size: bedrooms available to assisted family = 2 Total bedrooms in the unit: 3</w:t>
                            </w:r>
                          </w:p>
                          <w:p w:rsidR="00BA59C9" w:rsidRDefault="00BA59C9">
                            <w:pPr>
                              <w:pStyle w:val="BodyText"/>
                              <w:spacing w:before="8"/>
                              <w:ind w:left="722" w:right="722"/>
                              <w:jc w:val="center"/>
                            </w:pPr>
                            <w:r>
                              <w:t>2 Bedrooms for assisted family</w:t>
                            </w:r>
                          </w:p>
                          <w:p w:rsidR="00BA59C9" w:rsidRDefault="00BA59C9">
                            <w:pPr>
                              <w:pStyle w:val="BodyText"/>
                              <w:spacing w:before="138"/>
                              <w:ind w:left="722" w:right="726"/>
                              <w:jc w:val="center"/>
                            </w:pPr>
                            <w:r>
                              <w:t>÷ 3 Bedrooms in the unit</w:t>
                            </w:r>
                          </w:p>
                          <w:p w:rsidR="00BA59C9" w:rsidRDefault="00BA59C9">
                            <w:pPr>
                              <w:pStyle w:val="BodyText"/>
                              <w:spacing w:before="138"/>
                              <w:ind w:left="722" w:right="724"/>
                              <w:jc w:val="center"/>
                            </w:pPr>
                            <w:r>
                              <w:t>.667 pro-rata share</w:t>
                            </w:r>
                          </w:p>
                          <w:p w:rsidR="00BA59C9" w:rsidRDefault="00BA59C9">
                            <w:pPr>
                              <w:pStyle w:val="BodyText"/>
                              <w:spacing w:before="141"/>
                              <w:ind w:left="722" w:right="722"/>
                              <w:jc w:val="center"/>
                            </w:pPr>
                            <w:r>
                              <w:t>2 BR payment standard: $1200</w:t>
                            </w:r>
                          </w:p>
                          <w:p w:rsidR="00BA59C9" w:rsidRDefault="00BA59C9">
                            <w:pPr>
                              <w:pStyle w:val="BodyText"/>
                              <w:spacing w:before="139"/>
                              <w:ind w:left="160" w:right="160"/>
                              <w:jc w:val="center"/>
                            </w:pPr>
                            <w:r>
                              <w:t>3 BR payment standard: $1695 $1695 x .667 (pro-rata share) = $1131 $1131 is lower than the $1200 payment standard for the 2 BR family unit size $1131 is the payment standard used to calculate the HAP</w:t>
                            </w:r>
                          </w:p>
                        </w:txbxContent>
                      </wps:txbx>
                      <wps:bodyPr rot="0" vert="horz" wrap="square" lIns="0" tIns="0" rIns="0" bIns="0" anchor="t" anchorCtr="0" upright="1">
                        <a:noAutofit/>
                      </wps:bodyPr>
                    </wps:wsp>
                  </a:graphicData>
                </a:graphic>
              </wp:inline>
            </w:drawing>
          </mc:Choice>
          <mc:Fallback>
            <w:pict>
              <v:shape id="Text Box 91" o:spid="_x0000_s1042" type="#_x0000_t202" style="width:396.1pt;height:2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" filled="f" strokeweight=".48pt">
                <v:textbox inset="0,0,0,0">
                  <w:txbxContent>
                    <w:p w:rsidR="00BA59C9" w:rsidRDefault="00BA59C9">
                      <w:pPr>
                        <w:spacing w:before="198"/>
                        <w:ind w:left="722" w:right="722"/>
                        <w:jc w:val="center"/>
                        <w:rPr>
                          <w:sz w:val="24"/>
                        </w:rPr>
                      </w:pPr>
                      <w:r>
                        <w:rPr>
                          <w:b/>
                          <w:sz w:val="24"/>
                        </w:rPr>
                        <w:t xml:space="preserve">Example: </w:t>
                      </w:r>
                      <w:r>
                        <w:rPr>
                          <w:sz w:val="24"/>
                        </w:rPr>
                        <w:t>Family holds a two-bedroom voucher.</w:t>
                      </w:r>
                    </w:p>
                    <w:p w:rsidR="00BA59C9" w:rsidRDefault="00BA59C9">
                      <w:pPr>
                        <w:pStyle w:val="BodyText"/>
                        <w:spacing w:before="139" w:line="360" w:lineRule="auto"/>
                        <w:ind w:left="722" w:right="726"/>
                        <w:jc w:val="center"/>
                      </w:pPr>
                      <w:r>
                        <w:t>Shared housing unit size: bedrooms available to assisted family = 2 Total bedrooms in the unit: 3</w:t>
                      </w:r>
                    </w:p>
                    <w:p w:rsidR="00BA59C9" w:rsidRDefault="00BA59C9">
                      <w:pPr>
                        <w:pStyle w:val="BodyText"/>
                        <w:spacing w:before="8"/>
                        <w:ind w:left="722" w:right="722"/>
                        <w:jc w:val="center"/>
                      </w:pPr>
                      <w:r>
                        <w:t>2 Bedrooms for assisted family</w:t>
                      </w:r>
                    </w:p>
                    <w:p w:rsidR="00BA59C9" w:rsidRDefault="00BA59C9">
                      <w:pPr>
                        <w:pStyle w:val="BodyText"/>
                        <w:spacing w:before="138"/>
                        <w:ind w:left="722" w:right="726"/>
                        <w:jc w:val="center"/>
                      </w:pPr>
                      <w:r>
                        <w:t>÷ 3 Bedrooms in the unit</w:t>
                      </w:r>
                    </w:p>
                    <w:p w:rsidR="00BA59C9" w:rsidRDefault="00BA59C9">
                      <w:pPr>
                        <w:pStyle w:val="BodyText"/>
                        <w:spacing w:before="138"/>
                        <w:ind w:left="722" w:right="724"/>
                        <w:jc w:val="center"/>
                      </w:pPr>
                      <w:r>
                        <w:t>.667 pro-rata share</w:t>
                      </w:r>
                    </w:p>
                    <w:p w:rsidR="00BA59C9" w:rsidRDefault="00BA59C9">
                      <w:pPr>
                        <w:pStyle w:val="BodyText"/>
                        <w:spacing w:before="141"/>
                        <w:ind w:left="722" w:right="722"/>
                        <w:jc w:val="center"/>
                      </w:pPr>
                      <w:r>
                        <w:t>2 BR payment standard: $1200</w:t>
                      </w:r>
                    </w:p>
                    <w:p w:rsidR="00BA59C9" w:rsidRDefault="00BA59C9">
                      <w:pPr>
                        <w:pStyle w:val="BodyText"/>
                        <w:spacing w:before="139"/>
                        <w:ind w:left="160" w:right="160"/>
                        <w:jc w:val="center"/>
                      </w:pPr>
                      <w:r>
                        <w:t>3 BR payment standard: $1695 $1695 x .667 (pro-rata share) = $1131 $1131 is lower than the $1200 payment standard for the 2 BR family unit size $1131 is the payment standard used to calculate the HAP</w:t>
                      </w:r>
                    </w:p>
                  </w:txbxContent>
                </v:textbox>
                <w10:anchorlock/>
              </v:shape>
            </w:pict>
          </mc:Fallback>
        </mc:AlternateContent>
      </w:r>
    </w:p>
    <w:p w:rsidR="004E13A5" w:rsidRDefault="004E13A5">
      <w:pPr>
        <w:pStyle w:val="BodyText"/>
        <w:spacing w:before="0"/>
        <w:ind w:left="0"/>
        <w:rPr>
          <w:sz w:val="20"/>
        </w:rPr>
      </w:pPr>
    </w:p>
    <w:p w:rsidR="004E13A5" w:rsidRDefault="004E13A5">
      <w:pPr>
        <w:pStyle w:val="BodyText"/>
        <w:spacing w:before="2"/>
        <w:ind w:left="0"/>
        <w:rPr>
          <w:sz w:val="22"/>
        </w:rPr>
      </w:pPr>
    </w:p>
    <w:p w:rsidR="004E13A5" w:rsidRDefault="00681463">
      <w:pPr>
        <w:pStyle w:val="BodyText"/>
        <w:spacing w:before="1"/>
        <w:ind w:right="128"/>
      </w:pPr>
      <w:r>
        <w:t>The HAP for a family in shared housing is the lower of the payment standard minus the TTP or the gross rent minus the TTP.</w:t>
      </w:r>
    </w:p>
    <w:p w:rsidR="004E13A5" w:rsidRDefault="00681463">
      <w:pPr>
        <w:pStyle w:val="BodyText"/>
        <w:spacing w:before="120"/>
        <w:ind w:right="555" w:firstLine="60"/>
      </w:pPr>
      <w:r>
        <w:t>The utility allowance for an assisted family living in shared housing is the prorata share of the utility allowance for the shared housing unit.</w:t>
      </w:r>
    </w:p>
    <w:p w:rsidR="004E13A5" w:rsidRDefault="00681463">
      <w:pPr>
        <w:pStyle w:val="BodyText"/>
        <w:spacing w:before="139" w:line="242" w:lineRule="auto"/>
        <w:ind w:left="820" w:right="375"/>
      </w:pPr>
      <w:r>
        <w:rPr>
          <w:b/>
        </w:rPr>
        <w:t xml:space="preserve">Example: </w:t>
      </w:r>
      <w:r>
        <w:t>A family holds a 2-bedroom voucher. The family decides to occupy 3 out of 4 bedrooms available in the unit.</w:t>
      </w:r>
    </w:p>
    <w:p w:rsidR="004E13A5" w:rsidRDefault="00681463">
      <w:pPr>
        <w:pStyle w:val="BodyText"/>
        <w:spacing w:before="136" w:line="360" w:lineRule="auto"/>
        <w:ind w:left="796" w:right="3638"/>
      </w:pPr>
      <w:r>
        <w:t>The utility allowance for a 4-bedroom unit equals $200 The utility allowance for a 2-bedroom unit equals $100</w:t>
      </w:r>
    </w:p>
    <w:p w:rsidR="004E13A5" w:rsidRDefault="00681463">
      <w:pPr>
        <w:pStyle w:val="BodyText"/>
        <w:spacing w:before="6" w:line="362" w:lineRule="auto"/>
        <w:ind w:left="796" w:right="2899"/>
      </w:pPr>
      <w:r>
        <w:t>The prorata share of the utility allowance is $150 (3/4 of $200) The PHA will use the 2-bedroom utility allowance of $100.</w:t>
      </w:r>
    </w:p>
    <w:p w:rsidR="004E13A5" w:rsidRDefault="00681463">
      <w:pPr>
        <w:pStyle w:val="BodyText"/>
        <w:spacing w:before="0" w:line="260" w:lineRule="exact"/>
      </w:pPr>
      <w:r>
        <w:t>The rents paid for families living in shared housing are subject to generally applicable standards for</w:t>
      </w:r>
    </w:p>
    <w:p w:rsidR="004E13A5" w:rsidRDefault="00681463">
      <w:pPr>
        <w:pStyle w:val="BodyText"/>
        <w:spacing w:before="0"/>
        <w:ind w:right="130"/>
      </w:pPr>
      <w:r>
        <w:t>rent reasonableness. The rent paid to the owner for the assisted family must not exceed the pro-rata portion of the reasonable rent for the shared unit. In determining reasonable rent, the PHA may consider whether sanitary and food preparation areas are private or shared.</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57"/>
      </w:pPr>
      <w:bookmarkStart w:id="246" w:name="_TOC_250183"/>
      <w:bookmarkEnd w:id="246"/>
      <w:r>
        <w:t xml:space="preserve">15-IV.C. </w:t>
      </w:r>
      <w:r w:rsidR="00F55B95" w:rsidRPr="00F55B95">
        <w:t>NATIONAL STANDARDS FOR THE PHYSICAL INSPECTION OF REAL ESTATE (NSPIRE)</w:t>
      </w:r>
    </w:p>
    <w:p w:rsidR="004E13A5" w:rsidRDefault="00681463">
      <w:pPr>
        <w:pStyle w:val="BodyText"/>
      </w:pPr>
      <w:r>
        <w:t>The PHA may not give approval to reside in shared housing unless the entire unit, including the portion of the unit available for use by the assisted family under its lease, meets the housing quality standards.</w:t>
      </w:r>
    </w:p>
    <w:p w:rsidR="004E13A5" w:rsidRDefault="002C4221">
      <w:pPr>
        <w:pStyle w:val="BodyText"/>
        <w:ind w:right="582"/>
      </w:pPr>
      <w:r>
        <w:t>NSPIRE</w:t>
      </w:r>
      <w:r w:rsidR="00681463">
        <w:t xml:space="preserve"> requirements described in Chapter 8 apply to shared housing except for the requirements stated below.</w:t>
      </w:r>
    </w:p>
    <w:p w:rsidR="004E13A5" w:rsidRDefault="00681463">
      <w:pPr>
        <w:pStyle w:val="ListParagraph"/>
        <w:numPr>
          <w:ilvl w:val="0"/>
          <w:numId w:val="93"/>
        </w:numPr>
        <w:tabs>
          <w:tab w:val="left" w:pos="460"/>
          <w:tab w:val="left" w:pos="461"/>
        </w:tabs>
        <w:ind w:right="118"/>
        <w:rPr>
          <w:rFonts w:ascii="Symbol"/>
          <w:sz w:val="24"/>
        </w:rPr>
      </w:pPr>
      <w:r>
        <w:rPr>
          <w:i/>
          <w:sz w:val="24"/>
        </w:rPr>
        <w:t>Facilities Available for the Family</w:t>
      </w:r>
      <w:r>
        <w:rPr>
          <w:sz w:val="24"/>
        </w:rPr>
        <w:t>: Facilities available to the assisted family, whether shared</w:t>
      </w:r>
      <w:r>
        <w:rPr>
          <w:spacing w:val="-22"/>
          <w:sz w:val="24"/>
        </w:rPr>
        <w:t xml:space="preserve"> </w:t>
      </w:r>
      <w:r>
        <w:rPr>
          <w:sz w:val="24"/>
        </w:rPr>
        <w:t>or private, must include a living room, a bathroom, and food preparation and refuse disposal facilities.</w:t>
      </w:r>
    </w:p>
    <w:p w:rsidR="004E13A5" w:rsidRDefault="004E13A5">
      <w:pPr>
        <w:rPr>
          <w:rFonts w:ascii="Symbol"/>
          <w:sz w:val="24"/>
        </w:rPr>
        <w:sectPr w:rsidR="004E13A5">
          <w:pgSz w:w="12240" w:h="15840"/>
          <w:pgMar w:top="1080" w:right="126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105"/>
        <w:rPr>
          <w:rFonts w:ascii="Symbol"/>
          <w:sz w:val="24"/>
        </w:rPr>
      </w:pPr>
      <w:r>
        <w:rPr>
          <w:i/>
          <w:sz w:val="24"/>
        </w:rPr>
        <w:lastRenderedPageBreak/>
        <w:t>Space and Security</w:t>
      </w:r>
      <w:r>
        <w:rPr>
          <w:sz w:val="24"/>
        </w:rPr>
        <w:t>: The entire unit must provide adequate space and security for all assisted and unassisted residents. The private space for each assisted family must contain at least one bedroom for each two persons in the family. The number of bedrooms in the private space of an assisted family must not be less than the family unit size(voucher size).. A zero-bedroom</w:t>
      </w:r>
      <w:r>
        <w:rPr>
          <w:spacing w:val="-12"/>
          <w:sz w:val="24"/>
        </w:rPr>
        <w:t xml:space="preserve"> </w:t>
      </w:r>
      <w:r>
        <w:rPr>
          <w:sz w:val="24"/>
        </w:rPr>
        <w:t>or</w:t>
      </w:r>
    </w:p>
    <w:p w:rsidR="004E13A5" w:rsidRDefault="00681463">
      <w:pPr>
        <w:pStyle w:val="BodyText"/>
        <w:spacing w:before="0"/>
        <w:ind w:left="460"/>
      </w:pPr>
      <w:r>
        <w:t>one-bedroom unit may not be used for shared housing.</w:t>
      </w:r>
    </w:p>
    <w:p w:rsidR="004E13A5" w:rsidRDefault="004E13A5">
      <w:pPr>
        <w:pStyle w:val="BodyText"/>
        <w:spacing w:before="10"/>
        <w:ind w:left="0"/>
        <w:rPr>
          <w:sz w:val="20"/>
        </w:rPr>
      </w:pPr>
    </w:p>
    <w:p w:rsidR="004E13A5" w:rsidRDefault="00681463">
      <w:pPr>
        <w:pStyle w:val="Heading4"/>
        <w:ind w:left="2897"/>
      </w:pPr>
      <w:r>
        <w:t>PART V: COOPERATIVE HOUSING</w:t>
      </w:r>
    </w:p>
    <w:p w:rsidR="004E13A5" w:rsidRDefault="00681463">
      <w:pPr>
        <w:spacing w:before="119"/>
        <w:ind w:left="1826"/>
        <w:rPr>
          <w:sz w:val="24"/>
        </w:rPr>
      </w:pPr>
      <w:r>
        <w:rPr>
          <w:sz w:val="24"/>
        </w:rPr>
        <w:t xml:space="preserve">[24 CFR 982.619 New HCV GB, </w:t>
      </w:r>
      <w:r>
        <w:rPr>
          <w:i/>
          <w:sz w:val="24"/>
        </w:rPr>
        <w:t xml:space="preserve">Special Housing Types, </w:t>
      </w:r>
      <w:r>
        <w:rPr>
          <w:sz w:val="24"/>
        </w:rPr>
        <w:t>p. 14]</w:t>
      </w:r>
    </w:p>
    <w:p w:rsidR="004E13A5" w:rsidRDefault="004E13A5">
      <w:pPr>
        <w:pStyle w:val="BodyText"/>
        <w:spacing w:before="9"/>
        <w:ind w:left="0"/>
        <w:rPr>
          <w:sz w:val="20"/>
        </w:rPr>
      </w:pPr>
    </w:p>
    <w:p w:rsidR="004E13A5" w:rsidRDefault="00681463">
      <w:pPr>
        <w:pStyle w:val="Heading4"/>
      </w:pPr>
      <w:bookmarkStart w:id="247" w:name="_TOC_250182"/>
      <w:bookmarkEnd w:id="247"/>
      <w:r>
        <w:t>15-V.A. OVERVIEW</w:t>
      </w:r>
    </w:p>
    <w:p w:rsidR="004E13A5" w:rsidRDefault="00681463">
      <w:pPr>
        <w:pStyle w:val="BodyText"/>
        <w:ind w:right="301"/>
        <w:jc w:val="both"/>
      </w:pPr>
      <w:r>
        <w:t>This part applies to rental assistance for a cooperative member residing in cooperative housing. It does not apply to assistance for a cooperative member who has purchased membership under the HCV homeownership option, or to rental assistance for a family that leases a cooperative housing unit from a cooperative member.</w:t>
      </w:r>
    </w:p>
    <w:p w:rsidR="004E13A5" w:rsidRDefault="00681463">
      <w:pPr>
        <w:pStyle w:val="BodyText"/>
        <w:spacing w:before="120"/>
        <w:ind w:right="116"/>
      </w:pPr>
      <w:r>
        <w:t>A cooperative is a form of ownership (nonprofit corporation or association) in which the residents purchase memberships in the ownership entity. Rather than being charged “rent” a cooperative member is charged a “carrying charge.” The monthly carrying charge includes the member’s share of the cooperative debt service, operating expenses, and necessary payments to cooperative reserve funds. It does not include down payments or other payments to purchase the cooperative unit or to amortize a loan made to the family for this purpose.</w:t>
      </w:r>
    </w:p>
    <w:p w:rsidR="004E13A5" w:rsidRDefault="00681463">
      <w:pPr>
        <w:pStyle w:val="BodyText"/>
        <w:spacing w:before="139"/>
        <w:ind w:right="134"/>
        <w:jc w:val="both"/>
      </w:pPr>
      <w:r>
        <w:t>The occupancy agreement or lease and other appropriate documents must provide that the monthly carrying charge is subject to Section 8 limitations on rent to owner, and the rent must be reasonable as compared to comparable unassisted units.</w:t>
      </w:r>
    </w:p>
    <w:p w:rsidR="004E13A5" w:rsidRDefault="004E13A5">
      <w:pPr>
        <w:pStyle w:val="BodyText"/>
        <w:spacing w:before="0"/>
        <w:ind w:left="0"/>
        <w:rPr>
          <w:sz w:val="26"/>
        </w:rPr>
      </w:pPr>
    </w:p>
    <w:p w:rsidR="004E13A5" w:rsidRDefault="004E13A5">
      <w:pPr>
        <w:pStyle w:val="BodyText"/>
        <w:spacing w:before="9"/>
        <w:ind w:left="0"/>
        <w:rPr>
          <w:sz w:val="20"/>
        </w:rPr>
      </w:pPr>
    </w:p>
    <w:p w:rsidR="004E13A5" w:rsidRDefault="00681463">
      <w:pPr>
        <w:pStyle w:val="BodyText"/>
        <w:spacing w:before="0"/>
      </w:pPr>
      <w:r>
        <w:t>When providing HCV assistance in cooperative housing, the standard form of the HAP contract is used. with the special housing type specified in Part A of the HAP contract, as follows: “This HAP contract is used for the following special housing type under HUD regulations for the Section 8 voucher program: Cooperative housing.”</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does not provide rental assistance for cooperative housing units.</w:t>
      </w:r>
    </w:p>
    <w:p w:rsidR="004E13A5" w:rsidRDefault="004E13A5">
      <w:pPr>
        <w:pStyle w:val="BodyText"/>
        <w:spacing w:before="9"/>
        <w:ind w:left="0"/>
        <w:rPr>
          <w:sz w:val="20"/>
        </w:rPr>
      </w:pPr>
    </w:p>
    <w:p w:rsidR="004E13A5" w:rsidRDefault="00681463">
      <w:pPr>
        <w:pStyle w:val="Heading4"/>
        <w:spacing w:before="1"/>
      </w:pPr>
      <w:bookmarkStart w:id="248" w:name="_TOC_250181"/>
      <w:bookmarkEnd w:id="248"/>
      <w:r>
        <w:t>15-V.B. PAYMENT STANDARD, UTILITY ALLOWANCE AND HAP CALCULATION</w:t>
      </w:r>
    </w:p>
    <w:p w:rsidR="004E13A5" w:rsidRDefault="00681463">
      <w:pPr>
        <w:pStyle w:val="BodyText"/>
        <w:spacing w:before="120"/>
      </w:pPr>
      <w:r>
        <w:t>The payment standard and utility allowance are determined according to regular HCV program requirements.</w:t>
      </w:r>
    </w:p>
    <w:p w:rsidR="004E13A5" w:rsidRDefault="00681463">
      <w:pPr>
        <w:pStyle w:val="BodyText"/>
        <w:spacing w:before="120"/>
        <w:ind w:right="155"/>
      </w:pPr>
      <w:r>
        <w:t>The HAP for a cooperative housing unit is the lower of the payment standard minus the TTP or the gross rent (monthly carrying charge for the unit, plus any utility allowance), minus the TTP. The monthly carrying charge includes the member’s share of the cooperative debt service, operating expenses, and necessary payments to cooperative reserve funds. The carrying charge does not include down payments or other payments to purchase the cooperative unit or to amortize a loan made to the family for this purpose.</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pPr>
      <w:bookmarkStart w:id="249" w:name="_TOC_250180"/>
      <w:bookmarkEnd w:id="249"/>
      <w:r>
        <w:lastRenderedPageBreak/>
        <w:t>15-V.C.</w:t>
      </w:r>
      <w:r w:rsidRPr="00F55B95">
        <w:t xml:space="preserve"> </w:t>
      </w:r>
      <w:r w:rsidR="00F55B95" w:rsidRPr="00F55B95">
        <w:t>NATIONAL STANDARDS FOR THE PHYSICAL INSPECTION OF REAL ESTATE (NSPIRE)</w:t>
      </w:r>
    </w:p>
    <w:p w:rsidR="004E13A5" w:rsidRDefault="00681463">
      <w:pPr>
        <w:pStyle w:val="BodyText"/>
        <w:spacing w:before="120"/>
        <w:ind w:right="88"/>
      </w:pPr>
      <w:r>
        <w:t xml:space="preserve">All standard </w:t>
      </w:r>
      <w:r w:rsidR="002C4221">
        <w:t>NSPIRE</w:t>
      </w:r>
      <w:r>
        <w:t xml:space="preserve"> requirements apply to cooperative housing units. There are no additional </w:t>
      </w:r>
      <w:r w:rsidR="002C4221">
        <w:t>NSPIRE</w:t>
      </w:r>
      <w:r>
        <w:t xml:space="preserve"> requirements. The PHA remedies described in 24 CFR 982.404 do not apply. Rather, if the unit and premises are not maintained in accordance with </w:t>
      </w:r>
      <w:r w:rsidR="002C4221">
        <w:t>NSPIRE</w:t>
      </w:r>
      <w:r>
        <w:t xml:space="preserve">, the PHA may exercise all available remedies regardless of whether the family or cooperative is responsible for the breach of </w:t>
      </w:r>
      <w:r w:rsidR="002C4221">
        <w:t>NSPIRE</w:t>
      </w:r>
      <w:r>
        <w:t>.</w:t>
      </w:r>
    </w:p>
    <w:p w:rsidR="004E13A5" w:rsidRDefault="00681463">
      <w:pPr>
        <w:pStyle w:val="BodyText"/>
        <w:spacing w:before="139"/>
      </w:pPr>
      <w:r>
        <w:t xml:space="preserve">No housing assistance payment can be made unless unit meets </w:t>
      </w:r>
      <w:r w:rsidR="002C4221">
        <w:t>NSPIRE</w:t>
      </w:r>
      <w:r>
        <w:t xml:space="preserve"> and the defect is corrected within the period as specified by the PHA and the PHA verifies correction (see Chapter 8).</w:t>
      </w:r>
    </w:p>
    <w:p w:rsidR="004E13A5" w:rsidRDefault="00681463">
      <w:pPr>
        <w:pStyle w:val="BodyText"/>
        <w:spacing w:before="141"/>
        <w:ind w:right="296"/>
      </w:pPr>
      <w:r>
        <w:t xml:space="preserve">In addition to regular breaches of </w:t>
      </w:r>
      <w:r w:rsidR="002C4221">
        <w:t>NSPIRE</w:t>
      </w:r>
      <w:r>
        <w:t xml:space="preserve">, breaches of </w:t>
      </w:r>
      <w:r w:rsidR="002C4221">
        <w:t>NSPIRE</w:t>
      </w:r>
      <w:r>
        <w:t xml:space="preserve"> by the family include failure to perform any maintenance for which the family is responsible in accordance with the terms of the cooperative occupancy agreement [HCV GB].</w:t>
      </w:r>
    </w:p>
    <w:p w:rsidR="004E13A5" w:rsidRDefault="004E13A5">
      <w:pPr>
        <w:pStyle w:val="BodyText"/>
        <w:spacing w:before="0"/>
        <w:ind w:left="0"/>
        <w:rPr>
          <w:sz w:val="26"/>
        </w:rPr>
      </w:pPr>
    </w:p>
    <w:p w:rsidR="004E13A5" w:rsidRDefault="004E13A5">
      <w:pPr>
        <w:pStyle w:val="BodyText"/>
        <w:spacing w:before="11"/>
        <w:ind w:left="0"/>
        <w:rPr>
          <w:sz w:val="30"/>
        </w:rPr>
      </w:pPr>
    </w:p>
    <w:p w:rsidR="004E13A5" w:rsidRDefault="00681463">
      <w:pPr>
        <w:pStyle w:val="Heading4"/>
        <w:ind w:left="1166" w:right="1145"/>
        <w:jc w:val="center"/>
      </w:pPr>
      <w:r>
        <w:t>PART VI: MANUFACTURED HOMES</w:t>
      </w:r>
    </w:p>
    <w:p w:rsidR="004E13A5" w:rsidRDefault="00681463">
      <w:pPr>
        <w:pStyle w:val="BodyText"/>
        <w:spacing w:before="120"/>
        <w:ind w:left="1166" w:right="1145"/>
        <w:jc w:val="center"/>
      </w:pPr>
      <w:r>
        <w:t>[24 CFR 982.620 through 982.624; FR Notice 1/18/17 ; New HCV GB,</w:t>
      </w:r>
    </w:p>
    <w:p w:rsidR="004E13A5" w:rsidRDefault="00681463">
      <w:pPr>
        <w:ind w:left="1166" w:right="1144"/>
        <w:jc w:val="center"/>
        <w:rPr>
          <w:sz w:val="24"/>
        </w:rPr>
      </w:pPr>
      <w:r>
        <w:rPr>
          <w:i/>
          <w:sz w:val="24"/>
        </w:rPr>
        <w:t xml:space="preserve">Special Housing Types, </w:t>
      </w:r>
      <w:r>
        <w:rPr>
          <w:sz w:val="24"/>
        </w:rPr>
        <w:t>p. 15;]</w:t>
      </w:r>
    </w:p>
    <w:p w:rsidR="004E13A5" w:rsidRDefault="004E13A5">
      <w:pPr>
        <w:pStyle w:val="BodyText"/>
        <w:spacing w:before="0"/>
        <w:ind w:left="0"/>
        <w:rPr>
          <w:sz w:val="13"/>
        </w:rPr>
      </w:pPr>
    </w:p>
    <w:p w:rsidR="004E13A5" w:rsidRDefault="00681463">
      <w:pPr>
        <w:pStyle w:val="Heading4"/>
        <w:spacing w:before="90"/>
      </w:pPr>
      <w:bookmarkStart w:id="250" w:name="_TOC_250179"/>
      <w:bookmarkEnd w:id="250"/>
      <w:r>
        <w:t>15-VI.A. OVERVIEW</w:t>
      </w:r>
    </w:p>
    <w:p w:rsidR="004E13A5" w:rsidRDefault="00681463">
      <w:pPr>
        <w:pStyle w:val="BodyText"/>
        <w:ind w:right="343"/>
      </w:pPr>
      <w:r>
        <w:t>A manufactured home is a manufactured structure, transportable in one or more parts that is built on a permanent chassis, and designed for use as a principal place of residence. HCV-assisted families may occupy manufactured homes in three different ways.</w:t>
      </w:r>
    </w:p>
    <w:p w:rsidR="004E13A5" w:rsidRDefault="00681463">
      <w:pPr>
        <w:pStyle w:val="ListParagraph"/>
        <w:numPr>
          <w:ilvl w:val="0"/>
          <w:numId w:val="50"/>
        </w:numPr>
        <w:tabs>
          <w:tab w:val="left" w:pos="821"/>
        </w:tabs>
        <w:ind w:right="164"/>
        <w:jc w:val="both"/>
        <w:rPr>
          <w:sz w:val="24"/>
        </w:rPr>
      </w:pPr>
      <w:r>
        <w:rPr>
          <w:sz w:val="24"/>
        </w:rPr>
        <w:t>A family can choose to rent a manufactured home already installed on a space and the</w:t>
      </w:r>
      <w:r>
        <w:rPr>
          <w:spacing w:val="-15"/>
          <w:sz w:val="24"/>
        </w:rPr>
        <w:t xml:space="preserve"> </w:t>
      </w:r>
      <w:r>
        <w:rPr>
          <w:sz w:val="24"/>
        </w:rPr>
        <w:t xml:space="preserve">PHA must permit it. </w:t>
      </w:r>
      <w:r>
        <w:rPr>
          <w:spacing w:val="-3"/>
          <w:sz w:val="24"/>
        </w:rPr>
        <w:t xml:space="preserve">In </w:t>
      </w:r>
      <w:r>
        <w:rPr>
          <w:sz w:val="24"/>
        </w:rPr>
        <w:t xml:space="preserve">this instance program rules are the same as when a family rents any other residential housing, except that there are special </w:t>
      </w:r>
      <w:r w:rsidR="002C4221">
        <w:rPr>
          <w:sz w:val="24"/>
        </w:rPr>
        <w:t>NSPIRE</w:t>
      </w:r>
      <w:r>
        <w:rPr>
          <w:sz w:val="24"/>
        </w:rPr>
        <w:t xml:space="preserve"> requirements as provided in 15-VI.D below.</w:t>
      </w:r>
    </w:p>
    <w:p w:rsidR="004E13A5" w:rsidRDefault="00681463">
      <w:pPr>
        <w:pStyle w:val="ListParagraph"/>
        <w:numPr>
          <w:ilvl w:val="0"/>
          <w:numId w:val="50"/>
        </w:numPr>
        <w:tabs>
          <w:tab w:val="left" w:pos="821"/>
        </w:tabs>
        <w:spacing w:before="120"/>
        <w:ind w:right="1197"/>
        <w:rPr>
          <w:sz w:val="24"/>
        </w:rPr>
      </w:pPr>
      <w:r>
        <w:rPr>
          <w:sz w:val="24"/>
        </w:rPr>
        <w:t>A family can purchase a manufactured home under the Housing Choice</w:t>
      </w:r>
      <w:r>
        <w:rPr>
          <w:spacing w:val="-15"/>
          <w:sz w:val="24"/>
        </w:rPr>
        <w:t xml:space="preserve"> </w:t>
      </w:r>
      <w:r>
        <w:rPr>
          <w:sz w:val="24"/>
        </w:rPr>
        <w:t>Voucher Homeownership</w:t>
      </w:r>
      <w:r>
        <w:rPr>
          <w:spacing w:val="-2"/>
          <w:sz w:val="24"/>
        </w:rPr>
        <w:t xml:space="preserve"> </w:t>
      </w:r>
      <w:r>
        <w:rPr>
          <w:sz w:val="24"/>
        </w:rPr>
        <w:t>program.</w:t>
      </w:r>
    </w:p>
    <w:p w:rsidR="004E13A5" w:rsidRDefault="00681463">
      <w:pPr>
        <w:pStyle w:val="ListParagraph"/>
        <w:numPr>
          <w:ilvl w:val="0"/>
          <w:numId w:val="50"/>
        </w:numPr>
        <w:tabs>
          <w:tab w:val="left" w:pos="821"/>
        </w:tabs>
        <w:spacing w:before="120"/>
        <w:ind w:right="193"/>
        <w:rPr>
          <w:sz w:val="24"/>
        </w:rPr>
      </w:pPr>
      <w:r>
        <w:rPr>
          <w:sz w:val="24"/>
        </w:rPr>
        <w:t>) HUD also permits an otherwise eligible family that owns a manufactured home to rent a space for the manufactured home and receive HCV assistance with the rent for the space as well as certain other housing expenses. PHAs may, but are not required to, provide assistance for such</w:t>
      </w:r>
      <w:r>
        <w:rPr>
          <w:spacing w:val="-7"/>
          <w:sz w:val="24"/>
        </w:rPr>
        <w:t xml:space="preserve"> </w:t>
      </w:r>
      <w:r>
        <w:rPr>
          <w:sz w:val="24"/>
        </w:rPr>
        <w:t>families.</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does not provide rental assistance for manufactured homes owned by an eligible family and located on a rental space.</w:t>
      </w:r>
    </w:p>
    <w:p w:rsidR="004E13A5" w:rsidRDefault="004E13A5">
      <w:pPr>
        <w:pStyle w:val="BodyText"/>
        <w:spacing w:before="10"/>
        <w:ind w:left="0"/>
        <w:rPr>
          <w:sz w:val="20"/>
        </w:rPr>
      </w:pPr>
    </w:p>
    <w:p w:rsidR="004E13A5" w:rsidRDefault="00681463">
      <w:pPr>
        <w:pStyle w:val="Heading4"/>
        <w:ind w:right="332"/>
      </w:pPr>
      <w:r>
        <w:t>15-VI.B. SPECIAL REQUIREMENTS FOR MANUFACTURED HOME OWNERS WHO LEASE A SPACE</w:t>
      </w:r>
    </w:p>
    <w:p w:rsidR="004E13A5" w:rsidRDefault="00681463">
      <w:pPr>
        <w:pStyle w:val="Heading4"/>
        <w:spacing w:before="120"/>
      </w:pPr>
      <w:bookmarkStart w:id="251" w:name="_TOC_250178"/>
      <w:bookmarkEnd w:id="251"/>
      <w:r>
        <w:t>Family Income</w:t>
      </w:r>
    </w:p>
    <w:p w:rsidR="004E13A5" w:rsidRDefault="00681463">
      <w:pPr>
        <w:pStyle w:val="BodyText"/>
        <w:spacing w:before="120"/>
        <w:ind w:right="323"/>
      </w:pPr>
      <w:r>
        <w:t>In determining the annual income of families leasing manufactured home spaces, the value of the family’s equity in the manufactured home in which the family resides is not counted as a family asset.</w:t>
      </w:r>
    </w:p>
    <w:p w:rsidR="004E13A5" w:rsidRDefault="004E13A5">
      <w:pPr>
        <w:sectPr w:rsidR="004E13A5">
          <w:pgSz w:w="12240" w:h="15840"/>
          <w:pgMar w:top="1000" w:right="1240" w:bottom="1240" w:left="1220" w:header="0" w:footer="1023" w:gutter="0"/>
          <w:cols w:space="720"/>
        </w:sectPr>
      </w:pPr>
    </w:p>
    <w:p w:rsidR="004E13A5" w:rsidRDefault="00681463">
      <w:pPr>
        <w:pStyle w:val="Heading4"/>
        <w:spacing w:before="79"/>
      </w:pPr>
      <w:bookmarkStart w:id="252" w:name="_TOC_250177"/>
      <w:bookmarkEnd w:id="252"/>
      <w:r>
        <w:lastRenderedPageBreak/>
        <w:t>Lease and HAP Contract</w:t>
      </w:r>
    </w:p>
    <w:p w:rsidR="004E13A5" w:rsidRDefault="00681463">
      <w:pPr>
        <w:pStyle w:val="BodyText"/>
        <w:spacing w:before="120"/>
        <w:ind w:right="122"/>
      </w:pPr>
      <w:r>
        <w:t>There is a designated HAP Contract (form HUD-52642) and designated Tenancy Addendum (form HUD 52642-A for this special housing type.</w:t>
      </w:r>
    </w:p>
    <w:p w:rsidR="004E13A5" w:rsidRDefault="004E13A5">
      <w:pPr>
        <w:pStyle w:val="BodyText"/>
        <w:spacing w:before="9"/>
        <w:ind w:left="0"/>
        <w:rPr>
          <w:sz w:val="20"/>
        </w:rPr>
      </w:pPr>
    </w:p>
    <w:p w:rsidR="004E13A5" w:rsidRDefault="00681463">
      <w:pPr>
        <w:pStyle w:val="Heading4"/>
      </w:pPr>
      <w:bookmarkStart w:id="253" w:name="_TOC_250176"/>
      <w:bookmarkEnd w:id="253"/>
      <w:r>
        <w:t>15-VI.C. PAYMENT STANDARD, UTILITY ALLOWANCE AND HAP CALCULATION</w:t>
      </w:r>
    </w:p>
    <w:p w:rsidR="004E13A5" w:rsidRDefault="00681463">
      <w:pPr>
        <w:spacing w:line="343" w:lineRule="auto"/>
        <w:ind w:left="100" w:right="7619"/>
        <w:rPr>
          <w:b/>
          <w:sz w:val="24"/>
        </w:rPr>
      </w:pPr>
      <w:r>
        <w:rPr>
          <w:b/>
          <w:sz w:val="24"/>
        </w:rPr>
        <w:t>[FR Notice 1/18/17] Payment Standards</w:t>
      </w:r>
    </w:p>
    <w:p w:rsidR="004E13A5" w:rsidRDefault="00681463">
      <w:pPr>
        <w:pStyle w:val="BodyText"/>
        <w:spacing w:before="6"/>
        <w:ind w:left="160"/>
      </w:pPr>
      <w:r>
        <w:t>The PHA payment standard for manufactured homes is determined in accordance with 24 CFR</w:t>
      </w:r>
    </w:p>
    <w:p w:rsidR="004E13A5" w:rsidRDefault="00681463">
      <w:pPr>
        <w:pStyle w:val="BodyText"/>
        <w:spacing w:before="0"/>
        <w:ind w:right="415"/>
      </w:pPr>
      <w:r>
        <w:t>982.505 and is the payment standard used for the PHA’s HCV program. It is based on the applicable FMR for the area in which the manufactured home space is located.</w:t>
      </w:r>
    </w:p>
    <w:p w:rsidR="004E13A5" w:rsidRDefault="00681463">
      <w:pPr>
        <w:pStyle w:val="BodyText"/>
        <w:spacing w:before="120"/>
        <w:ind w:right="743"/>
      </w:pPr>
      <w:r>
        <w:t>The payment standard for the family is the lower of the family unit size (voucher size) or the payment standard for the number of bedrooms in the manufactured home.</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4"/>
      </w:pPr>
      <w:bookmarkStart w:id="254" w:name="_TOC_250175"/>
      <w:bookmarkEnd w:id="254"/>
      <w:r>
        <w:t>Utility Allowance</w:t>
      </w:r>
    </w:p>
    <w:p w:rsidR="004E13A5" w:rsidRDefault="00681463">
      <w:pPr>
        <w:pStyle w:val="BodyText"/>
        <w:ind w:right="130"/>
      </w:pPr>
      <w:r>
        <w:t>The PHA must establish utility allowances for manufactured home space rental. For the first 12 months of the initial lease term only, the allowance must include an amount for a utility hook-up charge if the family actually incurred a hook-up charge because of a move. This allowance will not be given to a family that leases in place. Utility allowances for manufactured home space must not include the costs of digging a well or installing a septic system.</w:t>
      </w:r>
    </w:p>
    <w:p w:rsidR="004E13A5" w:rsidRDefault="00681463">
      <w:pPr>
        <w:pStyle w:val="BodyText"/>
        <w:ind w:right="143"/>
      </w:pPr>
      <w:r>
        <w:t>If the amount of the monthly assistance payment for a family exceeds the monthly rent for the manufactured home space (including the owner’s monthly management and maintenance charges), the PHA may pay the remainder to the family, lender, or utility company.</w:t>
      </w:r>
    </w:p>
    <w:p w:rsidR="004E13A5" w:rsidRDefault="00681463">
      <w:pPr>
        <w:pStyle w:val="Heading4"/>
        <w:spacing w:before="119"/>
      </w:pPr>
      <w:bookmarkStart w:id="255" w:name="_TOC_250174"/>
      <w:bookmarkEnd w:id="255"/>
      <w:r>
        <w:t>Space Rent</w:t>
      </w:r>
    </w:p>
    <w:p w:rsidR="004E13A5" w:rsidRDefault="00681463">
      <w:pPr>
        <w:pStyle w:val="BodyText"/>
        <w:ind w:right="136" w:firstLine="60"/>
      </w:pPr>
      <w:r>
        <w:t>The rent for the manufactured home space (including other eligible housing expenses) is the total of:</w:t>
      </w:r>
    </w:p>
    <w:p w:rsidR="004E13A5" w:rsidRDefault="00681463">
      <w:pPr>
        <w:pStyle w:val="ListParagraph"/>
        <w:numPr>
          <w:ilvl w:val="0"/>
          <w:numId w:val="1"/>
        </w:numPr>
        <w:tabs>
          <w:tab w:val="left" w:pos="820"/>
          <w:tab w:val="left" w:pos="821"/>
        </w:tabs>
        <w:rPr>
          <w:sz w:val="24"/>
        </w:rPr>
      </w:pPr>
      <w:r>
        <w:rPr>
          <w:sz w:val="24"/>
        </w:rPr>
        <w:t>The rent charged for the manufactured home</w:t>
      </w:r>
      <w:r>
        <w:rPr>
          <w:spacing w:val="-9"/>
          <w:sz w:val="24"/>
        </w:rPr>
        <w:t xml:space="preserve"> </w:t>
      </w:r>
      <w:r>
        <w:rPr>
          <w:sz w:val="24"/>
        </w:rPr>
        <w:t>space;</w:t>
      </w:r>
    </w:p>
    <w:p w:rsidR="004E13A5" w:rsidRDefault="00681463">
      <w:pPr>
        <w:pStyle w:val="ListParagraph"/>
        <w:numPr>
          <w:ilvl w:val="0"/>
          <w:numId w:val="1"/>
        </w:numPr>
        <w:tabs>
          <w:tab w:val="left" w:pos="820"/>
          <w:tab w:val="left" w:pos="821"/>
        </w:tabs>
        <w:spacing w:before="118"/>
        <w:rPr>
          <w:sz w:val="24"/>
        </w:rPr>
      </w:pPr>
      <w:r>
        <w:rPr>
          <w:sz w:val="24"/>
        </w:rPr>
        <w:t>Owner maintenance and management charges for the</w:t>
      </w:r>
      <w:r>
        <w:rPr>
          <w:spacing w:val="-11"/>
          <w:sz w:val="24"/>
        </w:rPr>
        <w:t xml:space="preserve"> </w:t>
      </w:r>
      <w:r>
        <w:rPr>
          <w:sz w:val="24"/>
        </w:rPr>
        <w:t>space;</w:t>
      </w:r>
    </w:p>
    <w:p w:rsidR="004E13A5" w:rsidRDefault="00681463">
      <w:pPr>
        <w:pStyle w:val="ListParagraph"/>
        <w:numPr>
          <w:ilvl w:val="0"/>
          <w:numId w:val="1"/>
        </w:numPr>
        <w:tabs>
          <w:tab w:val="left" w:pos="820"/>
          <w:tab w:val="left" w:pos="821"/>
        </w:tabs>
        <w:spacing w:before="118"/>
        <w:ind w:right="1137"/>
        <w:rPr>
          <w:sz w:val="24"/>
        </w:rPr>
      </w:pPr>
      <w:r>
        <w:rPr>
          <w:sz w:val="24"/>
        </w:rPr>
        <w:t>The monthly payments made by the family to amortize the cost of purchasing</w:t>
      </w:r>
      <w:r>
        <w:rPr>
          <w:spacing w:val="-16"/>
          <w:sz w:val="24"/>
        </w:rPr>
        <w:t xml:space="preserve"> </w:t>
      </w:r>
      <w:r>
        <w:rPr>
          <w:sz w:val="24"/>
        </w:rPr>
        <w:t>the manufactured home, including any required insurance and property taxes;</w:t>
      </w:r>
      <w:r>
        <w:rPr>
          <w:spacing w:val="-13"/>
          <w:sz w:val="24"/>
        </w:rPr>
        <w:t xml:space="preserve"> </w:t>
      </w:r>
      <w:r>
        <w:rPr>
          <w:sz w:val="24"/>
        </w:rPr>
        <w:t>and</w:t>
      </w:r>
    </w:p>
    <w:p w:rsidR="004E13A5" w:rsidRDefault="00681463">
      <w:pPr>
        <w:pStyle w:val="BodyText"/>
      </w:pPr>
      <w:r>
        <w:t>The applicable allowance for tenant paid utilities.</w:t>
      </w:r>
    </w:p>
    <w:p w:rsidR="004E13A5" w:rsidRDefault="00681463">
      <w:pPr>
        <w:pStyle w:val="Heading4"/>
        <w:spacing w:before="119"/>
      </w:pPr>
      <w:bookmarkStart w:id="256" w:name="_TOC_250173"/>
      <w:bookmarkEnd w:id="256"/>
      <w:r>
        <w:t>Amortization Costs</w:t>
      </w:r>
    </w:p>
    <w:p w:rsidR="004E13A5" w:rsidRDefault="00681463">
      <w:pPr>
        <w:pStyle w:val="BodyText"/>
        <w:spacing w:before="120"/>
        <w:ind w:right="90"/>
      </w:pPr>
      <w:r>
        <w:t>The monthly payment made by the family to amortize the cost of purchasing the manufactured home is the debt service established at the time of application to a lender for financing the purchase of the manufactured home if monthly payments are still being made. Any increase in debt service due to refinancing after purchase of the home may not be included in the amortization cost. Debt service for set-up charges incurred by a family may be included in the monthly amortization payments made by the family. In addition, set-up charges incurred before the family became an assisted family may be included in the amortization cost if monthly payments are still being made to amortize the charges.</w:t>
      </w:r>
    </w:p>
    <w:p w:rsidR="004E13A5" w:rsidRDefault="004E13A5">
      <w:pPr>
        <w:sectPr w:rsidR="004E13A5">
          <w:pgSz w:w="12240" w:h="15840"/>
          <w:pgMar w:top="1000" w:right="1260" w:bottom="1240" w:left="1220" w:header="0" w:footer="1023" w:gutter="0"/>
          <w:cols w:space="720"/>
        </w:sectPr>
      </w:pPr>
    </w:p>
    <w:p w:rsidR="004E13A5" w:rsidRDefault="00681463">
      <w:pPr>
        <w:pStyle w:val="Heading4"/>
        <w:spacing w:before="79"/>
      </w:pPr>
      <w:bookmarkStart w:id="257" w:name="_TOC_250172"/>
      <w:bookmarkEnd w:id="257"/>
      <w:r>
        <w:lastRenderedPageBreak/>
        <w:t>Housing Assistance Payment</w:t>
      </w:r>
    </w:p>
    <w:p w:rsidR="004E13A5" w:rsidRDefault="00681463">
      <w:pPr>
        <w:pStyle w:val="BodyText"/>
        <w:spacing w:before="120"/>
        <w:ind w:right="101"/>
        <w:jc w:val="both"/>
      </w:pPr>
      <w:r>
        <w:t>The HAP for a manufactured home space under the housing choice voucher program is the lower of the payment standard minus the TTP or the manufactured home space rent (including other eligible housing expenses) minus the TTP.</w:t>
      </w:r>
    </w:p>
    <w:p w:rsidR="004E13A5" w:rsidRDefault="00681463">
      <w:pPr>
        <w:pStyle w:val="Heading4"/>
        <w:spacing w:before="119"/>
      </w:pPr>
      <w:bookmarkStart w:id="258" w:name="_TOC_250171"/>
      <w:bookmarkEnd w:id="258"/>
      <w:r>
        <w:t>Rent Reasonableness</w:t>
      </w:r>
    </w:p>
    <w:p w:rsidR="004E13A5" w:rsidRDefault="00681463">
      <w:pPr>
        <w:pStyle w:val="BodyText"/>
        <w:ind w:right="154"/>
      </w:pPr>
      <w:r>
        <w:t>Initially, and at least annually thereafter,the PHA must determine that the rent for the manufactured home space is reasonable based on rents for comparable manufactured home spaces. The PHA must consider the location and size of the space, and any services and maintenance to be provided by the owner. By accepting the monthly housing assistance payment, the owner of the manufactured home space certifies that the rent does not exceed rents charged by the owner for comparable unassisted spaces in the same Manufactured Home Park or</w:t>
      </w:r>
      <w:r>
        <w:rPr>
          <w:spacing w:val="-14"/>
        </w:rPr>
        <w:t xml:space="preserve"> </w:t>
      </w:r>
      <w:r>
        <w:t>elsewhere.</w:t>
      </w:r>
    </w:p>
    <w:p w:rsidR="004E13A5" w:rsidRDefault="00681463">
      <w:pPr>
        <w:pStyle w:val="BodyText"/>
        <w:ind w:right="228"/>
      </w:pPr>
      <w:r>
        <w:t>If requested by the PHA, the owner must give the PHA information on rents charged by the owner for other manufactured home spaces.</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91"/>
      </w:pPr>
      <w:bookmarkStart w:id="259" w:name="_TOC_250170"/>
      <w:bookmarkEnd w:id="259"/>
      <w:r>
        <w:t>15-VI.D.</w:t>
      </w:r>
      <w:r w:rsidRPr="00F55B95">
        <w:t xml:space="preserve"> </w:t>
      </w:r>
      <w:r w:rsidR="00F55B95" w:rsidRPr="00F55B95">
        <w:t>NATIONAL STANDARDS FOR THE PHYSICAL INSPECTION OF REAL ESTATE (NSPIRE)</w:t>
      </w:r>
    </w:p>
    <w:p w:rsidR="004E13A5" w:rsidRDefault="00681463">
      <w:pPr>
        <w:pStyle w:val="BodyText"/>
        <w:ind w:right="190"/>
      </w:pPr>
      <w:r>
        <w:t xml:space="preserve">Under either type of occupancy described in 15-VI.A above, the manufactured home must meet all </w:t>
      </w:r>
      <w:r w:rsidR="002C4221">
        <w:t>NSPIRE</w:t>
      </w:r>
      <w:r>
        <w:t xml:space="preserve"> performance requirements and acceptability criteria discussed in Chapter 8 of this plan. In addition, the following requirement applies:</w:t>
      </w:r>
    </w:p>
    <w:p w:rsidR="004E13A5" w:rsidRDefault="00681463">
      <w:pPr>
        <w:pStyle w:val="Heading5"/>
      </w:pPr>
      <w:r>
        <w:t>Manufactured Home Tie-Down</w:t>
      </w:r>
    </w:p>
    <w:p w:rsidR="004E13A5" w:rsidRDefault="00681463">
      <w:pPr>
        <w:pStyle w:val="BodyText"/>
        <w:spacing w:before="120"/>
        <w:ind w:right="143"/>
      </w:pPr>
      <w:r>
        <w:t>A manufactured home must be placed on the site in a stable manner, and must be free from hazards such as sliding or wind damage. The home must be securely anchored by a tie-down device that distributes and transfers the loads imposed by the unit to appropriate ground anchors to resist overturning and sliding.</w:t>
      </w:r>
    </w:p>
    <w:p w:rsidR="004E13A5" w:rsidRDefault="004E13A5">
      <w:pPr>
        <w:pStyle w:val="BodyText"/>
        <w:spacing w:before="0"/>
        <w:ind w:left="0"/>
        <w:rPr>
          <w:sz w:val="13"/>
        </w:rPr>
      </w:pPr>
    </w:p>
    <w:p w:rsidR="004E13A5" w:rsidRDefault="00681463">
      <w:pPr>
        <w:pStyle w:val="Heading4"/>
        <w:spacing w:before="90"/>
        <w:ind w:left="3165"/>
      </w:pPr>
      <w:r>
        <w:t>PART VII: HOMEOWNERSHIP</w:t>
      </w:r>
    </w:p>
    <w:p w:rsidR="004E13A5" w:rsidRDefault="00681463">
      <w:pPr>
        <w:pStyle w:val="BodyText"/>
        <w:ind w:left="3201"/>
      </w:pPr>
      <w:r>
        <w:t>[24 CFR 982.625 through 982.643]</w:t>
      </w:r>
    </w:p>
    <w:p w:rsidR="004E13A5" w:rsidRDefault="004E13A5">
      <w:pPr>
        <w:pStyle w:val="BodyText"/>
        <w:spacing w:before="9"/>
        <w:ind w:left="0"/>
        <w:rPr>
          <w:sz w:val="20"/>
        </w:rPr>
      </w:pPr>
    </w:p>
    <w:p w:rsidR="004E13A5" w:rsidRDefault="00681463">
      <w:pPr>
        <w:pStyle w:val="Heading4"/>
      </w:pPr>
      <w:bookmarkStart w:id="260" w:name="_TOC_250169"/>
      <w:bookmarkEnd w:id="260"/>
      <w:r>
        <w:t>15-VII.A. OVERVIEW [24 CFR 982.625]</w:t>
      </w:r>
    </w:p>
    <w:p w:rsidR="004E13A5" w:rsidRDefault="00681463">
      <w:pPr>
        <w:pStyle w:val="BodyText"/>
        <w:ind w:right="183"/>
      </w:pPr>
      <w:r>
        <w:t>The homeownership option is used to assist a family residing in a home purchased and owned by one or more members of the family. A family assisted under this option may be newly admitted or an existing participant in the HCV program. The PHA must have the capacity to operate a successful HCV homeownership program as defined by the regulations.</w:t>
      </w:r>
    </w:p>
    <w:p w:rsidR="004E13A5" w:rsidRDefault="00681463">
      <w:pPr>
        <w:pStyle w:val="BodyText"/>
        <w:ind w:right="183"/>
      </w:pPr>
      <w:r>
        <w:t>There are two forms of homeownership assistance described in the regulations: monthly homeownership assistance payments and single down payment assistance grants. However, PHAs may not offer down payment assistance until and unless funding is allocated by Congress. Since this has not yet happened, only monthly homeownership assistance may be offered.</w:t>
      </w:r>
    </w:p>
    <w:p w:rsidR="004E13A5" w:rsidRDefault="00681463">
      <w:pPr>
        <w:pStyle w:val="BodyText"/>
        <w:ind w:right="209"/>
      </w:pPr>
      <w:r>
        <w:t xml:space="preserve">The PHA may choose not to offer homeownership assistance. However, the PHA must offer homeownership assistance if needed as a reasonable accommodation so that the program is readily </w:t>
      </w:r>
      <w:r>
        <w:lastRenderedPageBreak/>
        <w:t>accessible to and usable by persons with disabilities. It is the sole responsibility of the PHA to</w:t>
      </w:r>
    </w:p>
    <w:p w:rsidR="004E13A5" w:rsidRDefault="004E13A5">
      <w:pPr>
        <w:sectPr w:rsidR="004E13A5">
          <w:pgSz w:w="12240" w:h="15840"/>
          <w:pgMar w:top="1000" w:right="1220" w:bottom="1240" w:left="1220" w:header="0" w:footer="1023" w:gutter="0"/>
          <w:cols w:space="720"/>
        </w:sectPr>
      </w:pPr>
    </w:p>
    <w:p w:rsidR="004E13A5" w:rsidRDefault="00681463">
      <w:pPr>
        <w:pStyle w:val="BodyText"/>
        <w:spacing w:before="79"/>
        <w:ind w:right="183"/>
      </w:pPr>
      <w:r>
        <w:lastRenderedPageBreak/>
        <w:t>determine whether it is reasonable to implement a homeownership program as a reasonable accommodation. The PHA must determine what is reasonable based on the specific circumstances and individual needs of the person with a disability. The PHA may determine that it is not reasonable to offer homeownership assistance as a reasonable accommodation in cases where the PHA has otherwise opted not to implement a homeownership program.</w:t>
      </w:r>
    </w:p>
    <w:p w:rsidR="004E13A5" w:rsidRDefault="00681463">
      <w:pPr>
        <w:pStyle w:val="BodyText"/>
        <w:spacing w:before="120"/>
        <w:ind w:right="123"/>
      </w:pPr>
      <w:r>
        <w:t>The PHA must approve a live-in aide if needed as a reasonable accommodation so that the program is readily accessible to and usable by persons with disabilities.</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does not provide rental assistance for homeownership.</w:t>
      </w:r>
    </w:p>
    <w:p w:rsidR="004E13A5" w:rsidRDefault="004E13A5">
      <w:pPr>
        <w:pStyle w:val="BodyText"/>
        <w:spacing w:before="10"/>
        <w:ind w:left="0"/>
        <w:rPr>
          <w:sz w:val="20"/>
        </w:rPr>
      </w:pPr>
    </w:p>
    <w:p w:rsidR="004E13A5" w:rsidRDefault="00681463">
      <w:pPr>
        <w:pStyle w:val="Heading4"/>
      </w:pPr>
      <w:bookmarkStart w:id="261" w:name="_TOC_250168"/>
      <w:bookmarkEnd w:id="261"/>
      <w:r>
        <w:t>15-VII.B. FAMILY ELIGIBILITY [24 CFR 982.627]</w:t>
      </w:r>
    </w:p>
    <w:p w:rsidR="004E13A5" w:rsidRDefault="00681463">
      <w:pPr>
        <w:pStyle w:val="BodyText"/>
        <w:spacing w:before="120"/>
      </w:pPr>
      <w:r>
        <w:t>If the PHA offers the homeownership option, participation by the family is optional. However, the family must meet all of the requirements listed below before the commencement of homeownership assistance. The PHA may also establish additional initial requirements as long as they are described in the PHA administrative plan.</w:t>
      </w:r>
    </w:p>
    <w:p w:rsidR="004E13A5" w:rsidRDefault="00681463">
      <w:pPr>
        <w:pStyle w:val="ListParagraph"/>
        <w:numPr>
          <w:ilvl w:val="0"/>
          <w:numId w:val="93"/>
        </w:numPr>
        <w:tabs>
          <w:tab w:val="left" w:pos="460"/>
          <w:tab w:val="left" w:pos="461"/>
        </w:tabs>
        <w:rPr>
          <w:rFonts w:ascii="Symbol"/>
          <w:sz w:val="24"/>
        </w:rPr>
      </w:pPr>
      <w:r>
        <w:rPr>
          <w:sz w:val="24"/>
        </w:rPr>
        <w:t>The family must have been admitted to the Housing Choice Voucher</w:t>
      </w:r>
      <w:r>
        <w:rPr>
          <w:spacing w:val="-16"/>
          <w:sz w:val="24"/>
        </w:rPr>
        <w:t xml:space="preserve"> </w:t>
      </w:r>
      <w:r>
        <w:rPr>
          <w:sz w:val="24"/>
        </w:rPr>
        <w:t>program.</w:t>
      </w:r>
    </w:p>
    <w:p w:rsidR="004E13A5" w:rsidRDefault="00681463">
      <w:pPr>
        <w:pStyle w:val="ListParagraph"/>
        <w:numPr>
          <w:ilvl w:val="0"/>
          <w:numId w:val="93"/>
        </w:numPr>
        <w:tabs>
          <w:tab w:val="left" w:pos="460"/>
          <w:tab w:val="left" w:pos="461"/>
        </w:tabs>
        <w:spacing w:before="118"/>
        <w:rPr>
          <w:rFonts w:ascii="Symbol"/>
          <w:sz w:val="24"/>
        </w:rPr>
      </w:pPr>
      <w:r>
        <w:rPr>
          <w:sz w:val="24"/>
        </w:rPr>
        <w:t>The family must qualify as a first-time homeowner, or may be a cooperative</w:t>
      </w:r>
      <w:r>
        <w:rPr>
          <w:spacing w:val="-13"/>
          <w:sz w:val="24"/>
        </w:rPr>
        <w:t xml:space="preserve"> </w:t>
      </w:r>
      <w:r>
        <w:rPr>
          <w:sz w:val="24"/>
        </w:rPr>
        <w:t>member.</w:t>
      </w:r>
    </w:p>
    <w:p w:rsidR="004E13A5" w:rsidRDefault="00681463">
      <w:pPr>
        <w:pStyle w:val="ListParagraph"/>
        <w:numPr>
          <w:ilvl w:val="0"/>
          <w:numId w:val="93"/>
        </w:numPr>
        <w:tabs>
          <w:tab w:val="left" w:pos="460"/>
          <w:tab w:val="left" w:pos="461"/>
        </w:tabs>
        <w:spacing w:before="118"/>
        <w:ind w:right="126"/>
        <w:rPr>
          <w:rFonts w:ascii="Symbol"/>
          <w:sz w:val="24"/>
        </w:rPr>
      </w:pPr>
      <w:r>
        <w:rPr>
          <w:sz w:val="24"/>
        </w:rPr>
        <w:t>The family must meet the Federal minimum income requirement. The family must have a gross annual income equal to the Federal minimum wage multiplied by 2000, based on the income of adult family members who will own the home. The PHA may establish a higher income standard for families. However, a family that meets the federal minimum income requirement (but not the PHA's requirement) will be considered to meet the minimum income requirement</w:t>
      </w:r>
      <w:r>
        <w:rPr>
          <w:spacing w:val="-16"/>
          <w:sz w:val="24"/>
        </w:rPr>
        <w:t xml:space="preserve"> </w:t>
      </w:r>
      <w:r>
        <w:rPr>
          <w:sz w:val="24"/>
        </w:rPr>
        <w:t>if it can demonstrate that it has been pre-qualified or pre-approved for financing that is sufficient to purchase an eligible</w:t>
      </w:r>
      <w:r>
        <w:rPr>
          <w:spacing w:val="-4"/>
          <w:sz w:val="24"/>
        </w:rPr>
        <w:t xml:space="preserve"> </w:t>
      </w:r>
      <w:r>
        <w:rPr>
          <w:sz w:val="24"/>
        </w:rPr>
        <w:t>unit.</w:t>
      </w:r>
    </w:p>
    <w:p w:rsidR="004E13A5" w:rsidRDefault="00681463">
      <w:pPr>
        <w:pStyle w:val="ListParagraph"/>
        <w:numPr>
          <w:ilvl w:val="0"/>
          <w:numId w:val="93"/>
        </w:numPr>
        <w:tabs>
          <w:tab w:val="left" w:pos="460"/>
          <w:tab w:val="left" w:pos="461"/>
        </w:tabs>
        <w:ind w:right="510"/>
        <w:rPr>
          <w:rFonts w:ascii="Symbol"/>
          <w:sz w:val="24"/>
        </w:rPr>
      </w:pPr>
      <w:r>
        <w:rPr>
          <w:sz w:val="24"/>
        </w:rPr>
        <w:t>For disabled families, the minimum income requirement is equal to the current SSI monthly payment for an individual living alone, multiplied by</w:t>
      </w:r>
      <w:r>
        <w:rPr>
          <w:spacing w:val="-14"/>
          <w:sz w:val="24"/>
        </w:rPr>
        <w:t xml:space="preserve"> </w:t>
      </w:r>
      <w:r>
        <w:rPr>
          <w:sz w:val="24"/>
        </w:rPr>
        <w:t>12.</w:t>
      </w:r>
    </w:p>
    <w:p w:rsidR="004E13A5" w:rsidRDefault="00681463">
      <w:pPr>
        <w:pStyle w:val="ListParagraph"/>
        <w:numPr>
          <w:ilvl w:val="0"/>
          <w:numId w:val="93"/>
        </w:numPr>
        <w:tabs>
          <w:tab w:val="left" w:pos="460"/>
          <w:tab w:val="left" w:pos="461"/>
        </w:tabs>
        <w:ind w:right="511"/>
        <w:rPr>
          <w:rFonts w:ascii="Symbol"/>
          <w:sz w:val="24"/>
        </w:rPr>
      </w:pPr>
      <w:r>
        <w:rPr>
          <w:sz w:val="24"/>
        </w:rPr>
        <w:t>For elderly or disabled families, welfare assistance payments for adult family members</w:t>
      </w:r>
      <w:r>
        <w:rPr>
          <w:spacing w:val="-20"/>
          <w:sz w:val="24"/>
        </w:rPr>
        <w:t xml:space="preserve"> </w:t>
      </w:r>
      <w:r>
        <w:rPr>
          <w:sz w:val="24"/>
        </w:rPr>
        <w:t>who will own the home will be included in determining whether the family meets the minimum income requirement. It will not be included for other</w:t>
      </w:r>
      <w:r>
        <w:rPr>
          <w:spacing w:val="-13"/>
          <w:sz w:val="24"/>
        </w:rPr>
        <w:t xml:space="preserve"> </w:t>
      </w:r>
      <w:r>
        <w:rPr>
          <w:sz w:val="24"/>
        </w:rPr>
        <w:t>families.</w:t>
      </w:r>
    </w:p>
    <w:p w:rsidR="004E13A5" w:rsidRDefault="00681463">
      <w:pPr>
        <w:pStyle w:val="ListParagraph"/>
        <w:numPr>
          <w:ilvl w:val="0"/>
          <w:numId w:val="93"/>
        </w:numPr>
        <w:tabs>
          <w:tab w:val="left" w:pos="460"/>
          <w:tab w:val="left" w:pos="461"/>
        </w:tabs>
        <w:ind w:right="147"/>
        <w:rPr>
          <w:rFonts w:ascii="Symbol"/>
          <w:sz w:val="24"/>
        </w:rPr>
      </w:pPr>
      <w:r>
        <w:rPr>
          <w:sz w:val="24"/>
        </w:rPr>
        <w:t>The family must satisfy the employment requirements by demonstrating that one or more adult members of the family who will own the home at commencement of homeownership assistance is currently employed on a full-time basis (the term 'full-time employment' means not less than an average of 30 hours per week); and has been continuously so employed during the year before commencement of homeownership assistance for the</w:t>
      </w:r>
      <w:r>
        <w:rPr>
          <w:spacing w:val="-9"/>
          <w:sz w:val="24"/>
        </w:rPr>
        <w:t xml:space="preserve"> </w:t>
      </w:r>
      <w:r>
        <w:rPr>
          <w:sz w:val="24"/>
        </w:rPr>
        <w:t>family.</w:t>
      </w:r>
    </w:p>
    <w:p w:rsidR="004E13A5" w:rsidRDefault="00681463">
      <w:pPr>
        <w:pStyle w:val="ListParagraph"/>
        <w:numPr>
          <w:ilvl w:val="0"/>
          <w:numId w:val="93"/>
        </w:numPr>
        <w:tabs>
          <w:tab w:val="left" w:pos="460"/>
          <w:tab w:val="left" w:pos="461"/>
        </w:tabs>
        <w:spacing w:before="120"/>
        <w:ind w:right="356"/>
        <w:rPr>
          <w:rFonts w:ascii="Symbol"/>
          <w:sz w:val="24"/>
        </w:rPr>
      </w:pPr>
      <w:r>
        <w:rPr>
          <w:sz w:val="24"/>
        </w:rPr>
        <w:t>The employment requirement does not apply to elderly and disabled families. In addition, if</w:t>
      </w:r>
      <w:r>
        <w:rPr>
          <w:spacing w:val="-19"/>
          <w:sz w:val="24"/>
        </w:rPr>
        <w:t xml:space="preserve"> </w:t>
      </w:r>
      <w:r>
        <w:rPr>
          <w:sz w:val="24"/>
        </w:rPr>
        <w:t>a family, other than an elderly or disabled family includes a person with disabilities, the PHA must grant an exemption from the employment requirement if the PHA determines that it is needed as a reasonable</w:t>
      </w:r>
      <w:r>
        <w:rPr>
          <w:spacing w:val="-6"/>
          <w:sz w:val="24"/>
        </w:rPr>
        <w:t xml:space="preserve"> </w:t>
      </w:r>
      <w:r>
        <w:rPr>
          <w:sz w:val="24"/>
        </w:rPr>
        <w:t>accommodation.</w:t>
      </w:r>
    </w:p>
    <w:p w:rsidR="004E13A5" w:rsidRDefault="00681463">
      <w:pPr>
        <w:pStyle w:val="ListParagraph"/>
        <w:numPr>
          <w:ilvl w:val="0"/>
          <w:numId w:val="93"/>
        </w:numPr>
        <w:tabs>
          <w:tab w:val="left" w:pos="460"/>
          <w:tab w:val="left" w:pos="461"/>
        </w:tabs>
        <w:ind w:right="922"/>
        <w:rPr>
          <w:rFonts w:ascii="Symbol"/>
          <w:sz w:val="24"/>
        </w:rPr>
      </w:pPr>
      <w:r>
        <w:rPr>
          <w:sz w:val="24"/>
        </w:rPr>
        <w:t>The family has not defaulted on a mortgage securing debt to purchase a home under</w:t>
      </w:r>
      <w:r>
        <w:rPr>
          <w:spacing w:val="-13"/>
          <w:sz w:val="24"/>
        </w:rPr>
        <w:t xml:space="preserve"> </w:t>
      </w:r>
      <w:r>
        <w:rPr>
          <w:sz w:val="24"/>
        </w:rPr>
        <w:t>the homeownership</w:t>
      </w:r>
      <w:r>
        <w:rPr>
          <w:spacing w:val="-2"/>
          <w:sz w:val="24"/>
        </w:rPr>
        <w:t xml:space="preserve"> </w:t>
      </w:r>
      <w:r>
        <w:rPr>
          <w:sz w:val="24"/>
        </w:rPr>
        <w:t>option</w:t>
      </w:r>
    </w:p>
    <w:p w:rsidR="004E13A5" w:rsidRDefault="00681463">
      <w:pPr>
        <w:pStyle w:val="ListParagraph"/>
        <w:numPr>
          <w:ilvl w:val="0"/>
          <w:numId w:val="93"/>
        </w:numPr>
        <w:tabs>
          <w:tab w:val="left" w:pos="460"/>
          <w:tab w:val="left" w:pos="461"/>
        </w:tabs>
        <w:ind w:right="481"/>
        <w:rPr>
          <w:rFonts w:ascii="Symbol"/>
          <w:sz w:val="24"/>
        </w:rPr>
      </w:pPr>
      <w:r>
        <w:rPr>
          <w:sz w:val="24"/>
        </w:rPr>
        <w:t>Except for cooperative members who have acquired cooperative membership shares prior to commencement of homeownership assistance, no family member has a present</w:t>
      </w:r>
      <w:r>
        <w:rPr>
          <w:spacing w:val="-11"/>
          <w:sz w:val="24"/>
        </w:rPr>
        <w:t xml:space="preserve"> </w:t>
      </w:r>
      <w:r>
        <w:rPr>
          <w:sz w:val="24"/>
        </w:rPr>
        <w:t>ownership</w:t>
      </w:r>
    </w:p>
    <w:p w:rsidR="004E13A5" w:rsidRDefault="004E13A5">
      <w:pPr>
        <w:rPr>
          <w:rFonts w:ascii="Symbol"/>
          <w:sz w:val="24"/>
        </w:rPr>
        <w:sectPr w:rsidR="004E13A5">
          <w:pgSz w:w="12240" w:h="15840"/>
          <w:pgMar w:top="1000" w:right="1220" w:bottom="1240" w:left="1220" w:header="0" w:footer="1023" w:gutter="0"/>
          <w:cols w:space="720"/>
        </w:sectPr>
      </w:pPr>
    </w:p>
    <w:p w:rsidR="004E13A5" w:rsidRDefault="00681463">
      <w:pPr>
        <w:pStyle w:val="BodyText"/>
        <w:spacing w:before="79"/>
        <w:ind w:left="460" w:right="183"/>
      </w:pPr>
      <w:r>
        <w:lastRenderedPageBreak/>
        <w:t>interest in a residence at the commencement of homeownership assistance for the purchase of any home.</w:t>
      </w:r>
    </w:p>
    <w:p w:rsidR="004E13A5" w:rsidRDefault="00681463">
      <w:pPr>
        <w:pStyle w:val="ListParagraph"/>
        <w:numPr>
          <w:ilvl w:val="0"/>
          <w:numId w:val="93"/>
        </w:numPr>
        <w:tabs>
          <w:tab w:val="left" w:pos="460"/>
          <w:tab w:val="left" w:pos="461"/>
        </w:tabs>
        <w:spacing w:before="120"/>
        <w:ind w:right="127"/>
        <w:rPr>
          <w:rFonts w:ascii="Symbol"/>
          <w:sz w:val="24"/>
        </w:rPr>
      </w:pPr>
      <w:r>
        <w:rPr>
          <w:sz w:val="24"/>
        </w:rPr>
        <w:t>Except for cooperative members who have acquired cooperative membership shares prior to the commencement of homeownership assistance, the family has entered a contract of sale in accordance with 24 CFR</w:t>
      </w:r>
      <w:r>
        <w:rPr>
          <w:spacing w:val="-7"/>
          <w:sz w:val="24"/>
        </w:rPr>
        <w:t xml:space="preserve"> </w:t>
      </w:r>
      <w:r>
        <w:rPr>
          <w:sz w:val="24"/>
        </w:rPr>
        <w:t>982.631(c).</w:t>
      </w:r>
    </w:p>
    <w:p w:rsidR="004E13A5" w:rsidRDefault="004E13A5">
      <w:pPr>
        <w:pStyle w:val="BodyText"/>
        <w:spacing w:before="10"/>
        <w:ind w:left="0"/>
        <w:rPr>
          <w:sz w:val="20"/>
        </w:rPr>
      </w:pPr>
    </w:p>
    <w:p w:rsidR="004E13A5" w:rsidRDefault="00681463">
      <w:pPr>
        <w:pStyle w:val="Heading4"/>
      </w:pPr>
      <w:bookmarkStart w:id="262" w:name="_TOC_250167"/>
      <w:bookmarkEnd w:id="262"/>
      <w:r>
        <w:t>15-VII.C. SELECTION OF FAMILIES [24 CFR 982.626]</w:t>
      </w:r>
    </w:p>
    <w:p w:rsidR="004E13A5" w:rsidRDefault="00681463">
      <w:pPr>
        <w:pStyle w:val="BodyText"/>
        <w:spacing w:before="120"/>
        <w:ind w:right="201"/>
      </w:pPr>
      <w:r>
        <w:t>Unless otherwise provided (under the homeownership option), the PHA may limit homeownership assistance to families or purposes defined by the PHA, and may prescribe additional requirements for commencement of homeownership assistance for a family. Any such limits or additional requirements must be described in the PHA administrative plan.</w:t>
      </w:r>
    </w:p>
    <w:p w:rsidR="004E13A5" w:rsidRDefault="00681463">
      <w:pPr>
        <w:pStyle w:val="BodyText"/>
        <w:spacing w:before="120"/>
        <w:ind w:right="535"/>
      </w:pPr>
      <w:r>
        <w:t>If the PHA limits the number of families that may participate in the homeownership option, the PHA must establish a system by which to select families to participate.</w:t>
      </w:r>
    </w:p>
    <w:p w:rsidR="004E13A5" w:rsidRDefault="004E13A5">
      <w:pPr>
        <w:pStyle w:val="BodyText"/>
        <w:spacing w:before="10"/>
        <w:ind w:left="0"/>
        <w:rPr>
          <w:sz w:val="20"/>
        </w:rPr>
      </w:pPr>
    </w:p>
    <w:p w:rsidR="004E13A5" w:rsidRDefault="00681463">
      <w:pPr>
        <w:pStyle w:val="Heading4"/>
      </w:pPr>
      <w:bookmarkStart w:id="263" w:name="_TOC_250166"/>
      <w:bookmarkEnd w:id="263"/>
      <w:r>
        <w:t>15-VII.D. ELIGIBLE UNITS [24 CFR 982.628]</w:t>
      </w:r>
    </w:p>
    <w:p w:rsidR="004E13A5" w:rsidRDefault="00681463">
      <w:pPr>
        <w:pStyle w:val="BodyText"/>
      </w:pPr>
      <w:r>
        <w:t>In order for a unit to be eligible, the PHA must determine that the unit satisfies all of the following requirements:</w:t>
      </w:r>
    </w:p>
    <w:p w:rsidR="004E13A5" w:rsidRDefault="00681463">
      <w:pPr>
        <w:pStyle w:val="ListParagraph"/>
        <w:numPr>
          <w:ilvl w:val="0"/>
          <w:numId w:val="93"/>
        </w:numPr>
        <w:tabs>
          <w:tab w:val="left" w:pos="460"/>
          <w:tab w:val="left" w:pos="461"/>
        </w:tabs>
        <w:ind w:right="528"/>
        <w:rPr>
          <w:rFonts w:ascii="Symbol" w:hAnsi="Symbol"/>
          <w:sz w:val="24"/>
        </w:rPr>
      </w:pPr>
      <w:r>
        <w:rPr>
          <w:sz w:val="24"/>
        </w:rPr>
        <w:t>The unit must meet HUD’s “eligible housing” requirements. The unit may not be any of</w:t>
      </w:r>
      <w:r>
        <w:rPr>
          <w:spacing w:val="-12"/>
          <w:sz w:val="24"/>
        </w:rPr>
        <w:t xml:space="preserve"> </w:t>
      </w:r>
      <w:r>
        <w:rPr>
          <w:sz w:val="24"/>
        </w:rPr>
        <w:t>the following:</w:t>
      </w:r>
    </w:p>
    <w:p w:rsidR="004E13A5" w:rsidRDefault="00681463">
      <w:pPr>
        <w:pStyle w:val="ListParagraph"/>
        <w:numPr>
          <w:ilvl w:val="1"/>
          <w:numId w:val="93"/>
        </w:numPr>
        <w:tabs>
          <w:tab w:val="left" w:pos="820"/>
          <w:tab w:val="left" w:pos="821"/>
        </w:tabs>
        <w:rPr>
          <w:sz w:val="24"/>
        </w:rPr>
      </w:pPr>
      <w:r>
        <w:rPr>
          <w:sz w:val="24"/>
        </w:rPr>
        <w:t>A public housing or Indian housing</w:t>
      </w:r>
      <w:r>
        <w:rPr>
          <w:spacing w:val="-7"/>
          <w:sz w:val="24"/>
        </w:rPr>
        <w:t xml:space="preserve"> </w:t>
      </w:r>
      <w:r>
        <w:rPr>
          <w:sz w:val="24"/>
        </w:rPr>
        <w:t>unit;</w:t>
      </w:r>
    </w:p>
    <w:p w:rsidR="004E13A5" w:rsidRDefault="00681463">
      <w:pPr>
        <w:pStyle w:val="ListParagraph"/>
        <w:numPr>
          <w:ilvl w:val="1"/>
          <w:numId w:val="93"/>
        </w:numPr>
        <w:tabs>
          <w:tab w:val="left" w:pos="820"/>
          <w:tab w:val="left" w:pos="821"/>
        </w:tabs>
        <w:spacing w:before="121"/>
        <w:rPr>
          <w:sz w:val="24"/>
        </w:rPr>
      </w:pPr>
      <w:r>
        <w:rPr>
          <w:sz w:val="24"/>
        </w:rPr>
        <w:t>A unit receiving Section 8 project-based</w:t>
      </w:r>
      <w:r>
        <w:rPr>
          <w:spacing w:val="-9"/>
          <w:sz w:val="24"/>
        </w:rPr>
        <w:t xml:space="preserve"> </w:t>
      </w:r>
      <w:r>
        <w:rPr>
          <w:sz w:val="24"/>
        </w:rPr>
        <w:t>assistance;</w:t>
      </w:r>
    </w:p>
    <w:p w:rsidR="004E13A5" w:rsidRDefault="00681463">
      <w:pPr>
        <w:pStyle w:val="ListParagraph"/>
        <w:numPr>
          <w:ilvl w:val="1"/>
          <w:numId w:val="93"/>
        </w:numPr>
        <w:tabs>
          <w:tab w:val="left" w:pos="820"/>
          <w:tab w:val="left" w:pos="821"/>
        </w:tabs>
        <w:spacing w:before="118"/>
        <w:ind w:right="311"/>
        <w:rPr>
          <w:sz w:val="24"/>
        </w:rPr>
      </w:pPr>
      <w:r>
        <w:rPr>
          <w:sz w:val="24"/>
        </w:rPr>
        <w:t>A nursing home, board and care home, or facility providing continual psychiatric,</w:t>
      </w:r>
      <w:r>
        <w:rPr>
          <w:spacing w:val="-15"/>
          <w:sz w:val="24"/>
        </w:rPr>
        <w:t xml:space="preserve"> </w:t>
      </w:r>
      <w:r>
        <w:rPr>
          <w:sz w:val="24"/>
        </w:rPr>
        <w:t>medical or nursing</w:t>
      </w:r>
      <w:r>
        <w:rPr>
          <w:spacing w:val="-4"/>
          <w:sz w:val="24"/>
        </w:rPr>
        <w:t xml:space="preserve"> </w:t>
      </w:r>
      <w:r>
        <w:rPr>
          <w:sz w:val="24"/>
        </w:rPr>
        <w:t>services;</w:t>
      </w:r>
    </w:p>
    <w:p w:rsidR="004E13A5" w:rsidRDefault="00681463">
      <w:pPr>
        <w:pStyle w:val="ListParagraph"/>
        <w:numPr>
          <w:ilvl w:val="1"/>
          <w:numId w:val="93"/>
        </w:numPr>
        <w:tabs>
          <w:tab w:val="left" w:pos="820"/>
          <w:tab w:val="left" w:pos="821"/>
        </w:tabs>
        <w:rPr>
          <w:sz w:val="24"/>
        </w:rPr>
      </w:pPr>
      <w:r>
        <w:rPr>
          <w:sz w:val="24"/>
        </w:rPr>
        <w:t>A college or other school</w:t>
      </w:r>
      <w:r>
        <w:rPr>
          <w:spacing w:val="-9"/>
          <w:sz w:val="24"/>
        </w:rPr>
        <w:t xml:space="preserve"> </w:t>
      </w:r>
      <w:r>
        <w:rPr>
          <w:sz w:val="24"/>
        </w:rPr>
        <w:t>dormitory;</w:t>
      </w:r>
    </w:p>
    <w:p w:rsidR="004E13A5" w:rsidRDefault="00681463">
      <w:pPr>
        <w:pStyle w:val="ListParagraph"/>
        <w:numPr>
          <w:ilvl w:val="1"/>
          <w:numId w:val="93"/>
        </w:numPr>
        <w:tabs>
          <w:tab w:val="left" w:pos="820"/>
          <w:tab w:val="left" w:pos="821"/>
        </w:tabs>
        <w:spacing w:before="121"/>
        <w:ind w:right="1046"/>
        <w:rPr>
          <w:sz w:val="24"/>
        </w:rPr>
      </w:pPr>
      <w:r>
        <w:rPr>
          <w:sz w:val="24"/>
        </w:rPr>
        <w:t>On the grounds of penal, reformatory, medical, mental, or similar public or private institutions.</w:t>
      </w:r>
    </w:p>
    <w:p w:rsidR="004E13A5" w:rsidRDefault="00681463">
      <w:pPr>
        <w:pStyle w:val="ListParagraph"/>
        <w:numPr>
          <w:ilvl w:val="0"/>
          <w:numId w:val="93"/>
        </w:numPr>
        <w:tabs>
          <w:tab w:val="left" w:pos="460"/>
          <w:tab w:val="left" w:pos="461"/>
        </w:tabs>
        <w:rPr>
          <w:rFonts w:ascii="Symbol"/>
          <w:sz w:val="24"/>
        </w:rPr>
      </w:pPr>
      <w:r>
        <w:rPr>
          <w:sz w:val="24"/>
        </w:rPr>
        <w:t>The unit must be a one-unit property or a single dwelling unit in a cooperative or</w:t>
      </w:r>
      <w:r>
        <w:rPr>
          <w:spacing w:val="-18"/>
          <w:sz w:val="24"/>
        </w:rPr>
        <w:t xml:space="preserve"> </w:t>
      </w:r>
      <w:r>
        <w:rPr>
          <w:sz w:val="24"/>
        </w:rPr>
        <w:t>condominium.</w:t>
      </w:r>
    </w:p>
    <w:p w:rsidR="004E13A5" w:rsidRDefault="00681463">
      <w:pPr>
        <w:pStyle w:val="ListParagraph"/>
        <w:numPr>
          <w:ilvl w:val="0"/>
          <w:numId w:val="93"/>
        </w:numPr>
        <w:tabs>
          <w:tab w:val="left" w:pos="460"/>
          <w:tab w:val="left" w:pos="461"/>
        </w:tabs>
        <w:spacing w:before="118"/>
        <w:ind w:right="267"/>
        <w:rPr>
          <w:rFonts w:ascii="Symbol"/>
          <w:sz w:val="24"/>
        </w:rPr>
      </w:pPr>
      <w:r>
        <w:rPr>
          <w:sz w:val="24"/>
        </w:rPr>
        <w:t>The unit must have been inspected by the PHA and by an independent inspector designated</w:t>
      </w:r>
      <w:r>
        <w:rPr>
          <w:spacing w:val="-12"/>
          <w:sz w:val="24"/>
        </w:rPr>
        <w:t xml:space="preserve"> </w:t>
      </w:r>
      <w:r>
        <w:rPr>
          <w:sz w:val="24"/>
        </w:rPr>
        <w:t>by the</w:t>
      </w:r>
      <w:r>
        <w:rPr>
          <w:spacing w:val="-6"/>
          <w:sz w:val="24"/>
        </w:rPr>
        <w:t xml:space="preserve"> </w:t>
      </w:r>
      <w:r>
        <w:rPr>
          <w:sz w:val="24"/>
        </w:rPr>
        <w:t>family.</w:t>
      </w:r>
    </w:p>
    <w:p w:rsidR="004E13A5" w:rsidRDefault="00681463">
      <w:pPr>
        <w:pStyle w:val="ListParagraph"/>
        <w:numPr>
          <w:ilvl w:val="0"/>
          <w:numId w:val="93"/>
        </w:numPr>
        <w:tabs>
          <w:tab w:val="left" w:pos="460"/>
          <w:tab w:val="left" w:pos="461"/>
        </w:tabs>
        <w:rPr>
          <w:rFonts w:ascii="Symbol"/>
          <w:sz w:val="24"/>
        </w:rPr>
      </w:pPr>
      <w:r>
        <w:rPr>
          <w:sz w:val="24"/>
        </w:rPr>
        <w:t>The unit must meet Housing Quality Standards (see Chapter</w:t>
      </w:r>
      <w:r>
        <w:rPr>
          <w:spacing w:val="-14"/>
          <w:sz w:val="24"/>
        </w:rPr>
        <w:t xml:space="preserve"> </w:t>
      </w:r>
      <w:r>
        <w:rPr>
          <w:sz w:val="24"/>
        </w:rPr>
        <w:t>8).</w:t>
      </w:r>
    </w:p>
    <w:p w:rsidR="004E13A5" w:rsidRDefault="00681463">
      <w:pPr>
        <w:pStyle w:val="ListParagraph"/>
        <w:numPr>
          <w:ilvl w:val="0"/>
          <w:numId w:val="93"/>
        </w:numPr>
        <w:tabs>
          <w:tab w:val="left" w:pos="460"/>
          <w:tab w:val="left" w:pos="461"/>
        </w:tabs>
        <w:ind w:right="386"/>
        <w:rPr>
          <w:rFonts w:ascii="Symbol"/>
          <w:sz w:val="24"/>
        </w:rPr>
      </w:pPr>
      <w:r>
        <w:rPr>
          <w:sz w:val="24"/>
        </w:rPr>
        <w:t>For a unit where the family will not own fee title to the real property (such as a</w:t>
      </w:r>
      <w:r>
        <w:rPr>
          <w:spacing w:val="-21"/>
          <w:sz w:val="24"/>
        </w:rPr>
        <w:t xml:space="preserve"> </w:t>
      </w:r>
      <w:r>
        <w:rPr>
          <w:sz w:val="24"/>
        </w:rPr>
        <w:t>manufactured home), the home must have a permanent foundation and the family must have the right to occupy the site for at least 40</w:t>
      </w:r>
      <w:r>
        <w:rPr>
          <w:spacing w:val="-8"/>
          <w:sz w:val="24"/>
        </w:rPr>
        <w:t xml:space="preserve"> </w:t>
      </w:r>
      <w:r>
        <w:rPr>
          <w:sz w:val="24"/>
        </w:rPr>
        <w:t>years.</w:t>
      </w:r>
    </w:p>
    <w:p w:rsidR="004E13A5" w:rsidRDefault="00681463">
      <w:pPr>
        <w:pStyle w:val="BodyText"/>
        <w:spacing w:before="120"/>
        <w:ind w:right="183"/>
      </w:pPr>
      <w:r>
        <w:t>Families may enter into contracts of sale for units not yet under construction. However, the PHA will not commence homeownership assistance for the family for that unit until:</w:t>
      </w:r>
    </w:p>
    <w:p w:rsidR="004E13A5" w:rsidRDefault="00681463">
      <w:pPr>
        <w:pStyle w:val="ListParagraph"/>
        <w:numPr>
          <w:ilvl w:val="0"/>
          <w:numId w:val="93"/>
        </w:numPr>
        <w:tabs>
          <w:tab w:val="left" w:pos="460"/>
          <w:tab w:val="left" w:pos="461"/>
        </w:tabs>
        <w:spacing w:before="138"/>
        <w:ind w:right="116"/>
        <w:rPr>
          <w:rFonts w:ascii="Symbol"/>
          <w:sz w:val="24"/>
        </w:rPr>
      </w:pPr>
      <w:r>
        <w:rPr>
          <w:sz w:val="24"/>
        </w:rPr>
        <w:t>Either the responsible entity completes the environmental review as required by 24 CFR part 58 and HUD approved the environmental certification and request for release of funds prior to commencement of construction or HUD performed an environmental review under CFR part</w:t>
      </w:r>
      <w:r>
        <w:rPr>
          <w:spacing w:val="-10"/>
          <w:sz w:val="24"/>
        </w:rPr>
        <w:t xml:space="preserve"> </w:t>
      </w:r>
      <w:r>
        <w:rPr>
          <w:sz w:val="24"/>
        </w:rPr>
        <w:t>50 and notified the PHA in writing of environmental approval of the site prior to construction commencement;</w:t>
      </w:r>
      <w:r>
        <w:rPr>
          <w:spacing w:val="-5"/>
          <w:sz w:val="24"/>
        </w:rPr>
        <w:t xml:space="preserve"> </w:t>
      </w:r>
      <w:r>
        <w:rPr>
          <w:sz w:val="24"/>
        </w:rPr>
        <w:t>and</w:t>
      </w:r>
    </w:p>
    <w:p w:rsidR="004E13A5" w:rsidRDefault="004E13A5">
      <w:pPr>
        <w:rPr>
          <w:rFonts w:ascii="Symbol"/>
          <w:sz w:val="24"/>
        </w:rPr>
        <w:sectPr w:rsidR="004E13A5">
          <w:pgSz w:w="12240" w:h="15840"/>
          <w:pgMar w:top="1000" w:right="122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1075"/>
        <w:rPr>
          <w:rFonts w:ascii="Symbol"/>
          <w:sz w:val="24"/>
        </w:rPr>
      </w:pPr>
      <w:r>
        <w:rPr>
          <w:sz w:val="24"/>
        </w:rPr>
        <w:lastRenderedPageBreak/>
        <w:t>Construction of the unit has been completed and the unit has passed the required</w:t>
      </w:r>
      <w:r>
        <w:rPr>
          <w:spacing w:val="-12"/>
          <w:sz w:val="24"/>
        </w:rPr>
        <w:t xml:space="preserve"> </w:t>
      </w:r>
      <w:r w:rsidR="002C4221">
        <w:rPr>
          <w:sz w:val="24"/>
        </w:rPr>
        <w:t>NSPIRE</w:t>
      </w:r>
      <w:r>
        <w:rPr>
          <w:sz w:val="24"/>
        </w:rPr>
        <w:t xml:space="preserve"> inspection and independent inspection as addressed elsewhere in this</w:t>
      </w:r>
      <w:r>
        <w:rPr>
          <w:spacing w:val="-14"/>
          <w:sz w:val="24"/>
        </w:rPr>
        <w:t xml:space="preserve"> </w:t>
      </w:r>
      <w:r>
        <w:rPr>
          <w:sz w:val="24"/>
        </w:rPr>
        <w:t>chapter.</w:t>
      </w:r>
    </w:p>
    <w:p w:rsidR="004E13A5" w:rsidRDefault="00681463">
      <w:pPr>
        <w:pStyle w:val="BodyText"/>
        <w:rPr>
          <w:rFonts w:ascii="Symbol" w:hAnsi="Symbol"/>
        </w:rPr>
      </w:pPr>
      <w:r>
        <w:rPr>
          <w:rFonts w:ascii="Symbol" w:hAnsi="Symbol"/>
        </w:rPr>
        <w:t></w:t>
      </w:r>
    </w:p>
    <w:p w:rsidR="004E13A5" w:rsidRDefault="00681463">
      <w:pPr>
        <w:pStyle w:val="BodyText"/>
      </w:pPr>
      <w:r>
        <w:t>For PHA-owned units all of the following conditions must be satisfied:</w:t>
      </w:r>
    </w:p>
    <w:p w:rsidR="004E13A5" w:rsidRDefault="00681463">
      <w:pPr>
        <w:pStyle w:val="ListParagraph"/>
        <w:numPr>
          <w:ilvl w:val="1"/>
          <w:numId w:val="93"/>
        </w:numPr>
        <w:tabs>
          <w:tab w:val="left" w:pos="1900"/>
          <w:tab w:val="left" w:pos="1901"/>
        </w:tabs>
        <w:ind w:left="1900" w:right="314"/>
        <w:rPr>
          <w:sz w:val="24"/>
        </w:rPr>
      </w:pPr>
      <w:r>
        <w:rPr>
          <w:sz w:val="24"/>
        </w:rPr>
        <w:t>The PHA informs the family, both orally and in writing, that the family has</w:t>
      </w:r>
      <w:r>
        <w:rPr>
          <w:spacing w:val="-15"/>
          <w:sz w:val="24"/>
        </w:rPr>
        <w:t xml:space="preserve"> </w:t>
      </w:r>
      <w:r>
        <w:rPr>
          <w:sz w:val="24"/>
        </w:rPr>
        <w:t>the right to purchase any eligible unit and a PHA-owned unit is freely selected by the family without PHA pressure or</w:t>
      </w:r>
      <w:r>
        <w:rPr>
          <w:spacing w:val="-12"/>
          <w:sz w:val="24"/>
        </w:rPr>
        <w:t xml:space="preserve"> </w:t>
      </w:r>
      <w:r>
        <w:rPr>
          <w:sz w:val="24"/>
        </w:rPr>
        <w:t>steering;</w:t>
      </w:r>
    </w:p>
    <w:p w:rsidR="004E13A5" w:rsidRDefault="00681463">
      <w:pPr>
        <w:pStyle w:val="ListParagraph"/>
        <w:numPr>
          <w:ilvl w:val="1"/>
          <w:numId w:val="93"/>
        </w:numPr>
        <w:tabs>
          <w:tab w:val="left" w:pos="1900"/>
          <w:tab w:val="left" w:pos="1901"/>
        </w:tabs>
        <w:ind w:left="1900"/>
        <w:rPr>
          <w:sz w:val="24"/>
        </w:rPr>
      </w:pPr>
      <w:r>
        <w:rPr>
          <w:sz w:val="24"/>
        </w:rPr>
        <w:t>The unit is not ineligible</w:t>
      </w:r>
      <w:r>
        <w:rPr>
          <w:spacing w:val="-11"/>
          <w:sz w:val="24"/>
        </w:rPr>
        <w:t xml:space="preserve"> </w:t>
      </w:r>
      <w:r>
        <w:rPr>
          <w:sz w:val="24"/>
        </w:rPr>
        <w:t>housing;</w:t>
      </w:r>
    </w:p>
    <w:p w:rsidR="004E13A5" w:rsidRDefault="00681463">
      <w:pPr>
        <w:pStyle w:val="ListParagraph"/>
        <w:numPr>
          <w:ilvl w:val="1"/>
          <w:numId w:val="93"/>
        </w:numPr>
        <w:tabs>
          <w:tab w:val="left" w:pos="1900"/>
          <w:tab w:val="left" w:pos="1901"/>
        </w:tabs>
        <w:ind w:left="1900" w:right="354"/>
        <w:rPr>
          <w:sz w:val="24"/>
        </w:rPr>
      </w:pPr>
      <w:r>
        <w:rPr>
          <w:sz w:val="24"/>
        </w:rPr>
        <w:t xml:space="preserve">The PHA obtains the services of an independent agency to inspect the unit for compliance with </w:t>
      </w:r>
      <w:r w:rsidR="002C4221">
        <w:rPr>
          <w:sz w:val="24"/>
        </w:rPr>
        <w:t>NSPIRE</w:t>
      </w:r>
      <w:r>
        <w:rPr>
          <w:sz w:val="24"/>
        </w:rPr>
        <w:t>, review the independent inspection report, review the contract of sale, determine the reasonableness of the sales price and any PHA provided financing. All of these actions must be completed in accordance</w:t>
      </w:r>
      <w:r>
        <w:rPr>
          <w:spacing w:val="-11"/>
          <w:sz w:val="24"/>
        </w:rPr>
        <w:t xml:space="preserve"> </w:t>
      </w:r>
      <w:r>
        <w:rPr>
          <w:sz w:val="24"/>
        </w:rPr>
        <w:t>with program</w:t>
      </w:r>
      <w:r>
        <w:rPr>
          <w:spacing w:val="-5"/>
          <w:sz w:val="24"/>
        </w:rPr>
        <w:t xml:space="preserve"> </w:t>
      </w:r>
      <w:r>
        <w:rPr>
          <w:sz w:val="24"/>
        </w:rPr>
        <w:t>requirements.</w:t>
      </w:r>
    </w:p>
    <w:p w:rsidR="004E13A5" w:rsidRDefault="00681463">
      <w:pPr>
        <w:pStyle w:val="BodyText"/>
        <w:spacing w:before="120"/>
      </w:pPr>
      <w:r>
        <w:t>The PHA must not approve the unit if the PHA has been informed that the seller is debarred, suspended, or subject to a limited denial of participation.</w:t>
      </w:r>
    </w:p>
    <w:p w:rsidR="004E13A5" w:rsidRDefault="004E13A5">
      <w:pPr>
        <w:pStyle w:val="BodyText"/>
        <w:spacing w:before="10"/>
        <w:ind w:left="0"/>
        <w:rPr>
          <w:sz w:val="20"/>
        </w:rPr>
      </w:pPr>
    </w:p>
    <w:p w:rsidR="004E13A5" w:rsidRDefault="00681463">
      <w:pPr>
        <w:pStyle w:val="Heading4"/>
        <w:ind w:right="532"/>
      </w:pPr>
      <w:r>
        <w:t>15-VII.E. ADDITIONAL PHA REQUIREMENTS FOR SEARCH AND PURCHASE [24 CFR 982.629]</w:t>
      </w:r>
    </w:p>
    <w:p w:rsidR="004E13A5" w:rsidRDefault="00681463">
      <w:pPr>
        <w:pStyle w:val="BodyText"/>
        <w:spacing w:before="117"/>
        <w:ind w:right="183"/>
      </w:pPr>
      <w:r>
        <w:t>It is the family’s responsibility to find a home that meets the criteria for voucher homeownership assistance. The PHA may establish the maximum time that will be allowed for a family to locate and purchase a home, and may require the family to report on their progress in finding and purchasing a home. If the family is unable to purchase a home within the maximum time established by the PHA, the PHA may issue the family a voucher to lease a unit or place the family’s name on the waiting list for a voucher.</w:t>
      </w:r>
    </w:p>
    <w:p w:rsidR="004E13A5" w:rsidRDefault="004E13A5">
      <w:pPr>
        <w:pStyle w:val="BodyText"/>
        <w:spacing w:before="9"/>
        <w:ind w:left="0"/>
        <w:rPr>
          <w:sz w:val="20"/>
        </w:rPr>
      </w:pPr>
    </w:p>
    <w:p w:rsidR="004E13A5" w:rsidRDefault="00681463">
      <w:pPr>
        <w:pStyle w:val="Heading4"/>
        <w:spacing w:before="1"/>
      </w:pPr>
      <w:bookmarkStart w:id="264" w:name="_TOC_250165"/>
      <w:bookmarkEnd w:id="264"/>
      <w:r>
        <w:t>15-VII.F. HOMEOWNERSHIP COUNSELING [24 CFR 982.630]</w:t>
      </w:r>
    </w:p>
    <w:p w:rsidR="004E13A5" w:rsidRDefault="00681463">
      <w:pPr>
        <w:pStyle w:val="BodyText"/>
        <w:spacing w:before="120"/>
        <w:ind w:right="89"/>
      </w:pPr>
      <w:r>
        <w:t>Before commencement of homeownership assistance for a family, the family must attend and satisfactorily complete the pre-assistance homeownership and housing counseling program required by the PHA. HUD suggests the following topics for the PHA-required pre-assistance counseling:</w:t>
      </w:r>
    </w:p>
    <w:p w:rsidR="004E13A5" w:rsidRDefault="00681463">
      <w:pPr>
        <w:pStyle w:val="ListParagraph"/>
        <w:numPr>
          <w:ilvl w:val="0"/>
          <w:numId w:val="49"/>
        </w:numPr>
        <w:tabs>
          <w:tab w:val="left" w:pos="820"/>
          <w:tab w:val="left" w:pos="821"/>
        </w:tabs>
        <w:rPr>
          <w:sz w:val="24"/>
        </w:rPr>
      </w:pPr>
      <w:r>
        <w:rPr>
          <w:sz w:val="24"/>
        </w:rPr>
        <w:t>Home maintenance (including care of the</w:t>
      </w:r>
      <w:r>
        <w:rPr>
          <w:spacing w:val="-7"/>
          <w:sz w:val="24"/>
        </w:rPr>
        <w:t xml:space="preserve"> </w:t>
      </w:r>
      <w:r>
        <w:rPr>
          <w:sz w:val="24"/>
        </w:rPr>
        <w:t>grounds);</w:t>
      </w:r>
    </w:p>
    <w:p w:rsidR="004E13A5" w:rsidRDefault="00681463">
      <w:pPr>
        <w:pStyle w:val="ListParagraph"/>
        <w:numPr>
          <w:ilvl w:val="0"/>
          <w:numId w:val="49"/>
        </w:numPr>
        <w:tabs>
          <w:tab w:val="left" w:pos="820"/>
          <w:tab w:val="left" w:pos="821"/>
        </w:tabs>
        <w:spacing w:before="120"/>
        <w:rPr>
          <w:sz w:val="24"/>
        </w:rPr>
      </w:pPr>
      <w:r>
        <w:rPr>
          <w:sz w:val="24"/>
        </w:rPr>
        <w:t>Budgeting and money</w:t>
      </w:r>
      <w:r>
        <w:rPr>
          <w:spacing w:val="-9"/>
          <w:sz w:val="24"/>
        </w:rPr>
        <w:t xml:space="preserve"> </w:t>
      </w:r>
      <w:r>
        <w:rPr>
          <w:sz w:val="24"/>
        </w:rPr>
        <w:t>management;</w:t>
      </w:r>
    </w:p>
    <w:p w:rsidR="004E13A5" w:rsidRDefault="00681463">
      <w:pPr>
        <w:pStyle w:val="ListParagraph"/>
        <w:numPr>
          <w:ilvl w:val="0"/>
          <w:numId w:val="49"/>
        </w:numPr>
        <w:tabs>
          <w:tab w:val="left" w:pos="820"/>
          <w:tab w:val="left" w:pos="821"/>
        </w:tabs>
        <w:spacing w:before="118"/>
        <w:rPr>
          <w:sz w:val="24"/>
        </w:rPr>
      </w:pPr>
      <w:r>
        <w:rPr>
          <w:sz w:val="24"/>
        </w:rPr>
        <w:t>Credit</w:t>
      </w:r>
      <w:r>
        <w:rPr>
          <w:spacing w:val="-7"/>
          <w:sz w:val="24"/>
        </w:rPr>
        <w:t xml:space="preserve"> </w:t>
      </w:r>
      <w:r>
        <w:rPr>
          <w:sz w:val="24"/>
        </w:rPr>
        <w:t>counseling;</w:t>
      </w:r>
    </w:p>
    <w:p w:rsidR="004E13A5" w:rsidRDefault="00681463">
      <w:pPr>
        <w:pStyle w:val="ListParagraph"/>
        <w:numPr>
          <w:ilvl w:val="0"/>
          <w:numId w:val="49"/>
        </w:numPr>
        <w:tabs>
          <w:tab w:val="left" w:pos="820"/>
          <w:tab w:val="left" w:pos="821"/>
        </w:tabs>
        <w:spacing w:before="118"/>
        <w:rPr>
          <w:sz w:val="24"/>
        </w:rPr>
      </w:pPr>
      <w:r>
        <w:rPr>
          <w:sz w:val="24"/>
        </w:rPr>
        <w:t>How to negotiate the purchase price of a</w:t>
      </w:r>
      <w:r>
        <w:rPr>
          <w:spacing w:val="-9"/>
          <w:sz w:val="24"/>
        </w:rPr>
        <w:t xml:space="preserve"> </w:t>
      </w:r>
      <w:r>
        <w:rPr>
          <w:sz w:val="24"/>
        </w:rPr>
        <w:t>home;</w:t>
      </w:r>
    </w:p>
    <w:p w:rsidR="004E13A5" w:rsidRDefault="00681463">
      <w:pPr>
        <w:pStyle w:val="ListParagraph"/>
        <w:numPr>
          <w:ilvl w:val="0"/>
          <w:numId w:val="49"/>
        </w:numPr>
        <w:tabs>
          <w:tab w:val="left" w:pos="820"/>
          <w:tab w:val="left" w:pos="821"/>
        </w:tabs>
        <w:spacing w:before="118"/>
        <w:ind w:right="205"/>
        <w:rPr>
          <w:sz w:val="24"/>
        </w:rPr>
      </w:pPr>
      <w:r>
        <w:rPr>
          <w:sz w:val="24"/>
        </w:rPr>
        <w:t>How to obtain homeownership financing and loan pre-approvals, including a description of types of financing that may be available, and the pros and cons of different types of financing;</w:t>
      </w:r>
    </w:p>
    <w:p w:rsidR="004E13A5" w:rsidRDefault="00681463">
      <w:pPr>
        <w:pStyle w:val="ListParagraph"/>
        <w:numPr>
          <w:ilvl w:val="0"/>
          <w:numId w:val="49"/>
        </w:numPr>
        <w:tabs>
          <w:tab w:val="left" w:pos="820"/>
          <w:tab w:val="left" w:pos="821"/>
        </w:tabs>
        <w:ind w:right="424"/>
        <w:rPr>
          <w:sz w:val="24"/>
        </w:rPr>
      </w:pPr>
      <w:r>
        <w:rPr>
          <w:sz w:val="24"/>
        </w:rPr>
        <w:t>How to find a home, including information about homeownership opportunities, schools, and transportation in the PHA</w:t>
      </w:r>
      <w:r>
        <w:rPr>
          <w:spacing w:val="-6"/>
          <w:sz w:val="24"/>
        </w:rPr>
        <w:t xml:space="preserve"> </w:t>
      </w:r>
      <w:r>
        <w:rPr>
          <w:sz w:val="24"/>
        </w:rPr>
        <w:t>jurisdiction;</w:t>
      </w:r>
    </w:p>
    <w:p w:rsidR="004E13A5" w:rsidRDefault="00681463">
      <w:pPr>
        <w:pStyle w:val="ListParagraph"/>
        <w:numPr>
          <w:ilvl w:val="0"/>
          <w:numId w:val="49"/>
        </w:numPr>
        <w:tabs>
          <w:tab w:val="left" w:pos="820"/>
          <w:tab w:val="left" w:pos="821"/>
        </w:tabs>
        <w:ind w:right="143"/>
        <w:rPr>
          <w:sz w:val="24"/>
        </w:rPr>
      </w:pPr>
      <w:r>
        <w:rPr>
          <w:sz w:val="24"/>
        </w:rPr>
        <w:t>Advantages of purchasing a home in an area that does not have a high concentration of</w:t>
      </w:r>
      <w:r>
        <w:rPr>
          <w:spacing w:val="-14"/>
          <w:sz w:val="24"/>
        </w:rPr>
        <w:t xml:space="preserve"> </w:t>
      </w:r>
      <w:r>
        <w:rPr>
          <w:sz w:val="24"/>
        </w:rPr>
        <w:t>low- income families and how to locate homes in such</w:t>
      </w:r>
      <w:r>
        <w:rPr>
          <w:spacing w:val="-11"/>
          <w:sz w:val="24"/>
        </w:rPr>
        <w:t xml:space="preserve"> </w:t>
      </w:r>
      <w:r>
        <w:rPr>
          <w:sz w:val="24"/>
        </w:rPr>
        <w:t>areas;</w:t>
      </w:r>
    </w:p>
    <w:p w:rsidR="004E13A5" w:rsidRDefault="004E13A5">
      <w:pPr>
        <w:rPr>
          <w:sz w:val="24"/>
        </w:rPr>
        <w:sectPr w:rsidR="004E13A5">
          <w:pgSz w:w="12240" w:h="15840"/>
          <w:pgMar w:top="1000" w:right="1220" w:bottom="1240" w:left="1220" w:header="0" w:footer="1023" w:gutter="0"/>
          <w:cols w:space="720"/>
        </w:sectPr>
      </w:pPr>
    </w:p>
    <w:p w:rsidR="004E13A5" w:rsidRDefault="00681463">
      <w:pPr>
        <w:pStyle w:val="ListParagraph"/>
        <w:numPr>
          <w:ilvl w:val="0"/>
          <w:numId w:val="49"/>
        </w:numPr>
        <w:tabs>
          <w:tab w:val="left" w:pos="820"/>
          <w:tab w:val="left" w:pos="821"/>
        </w:tabs>
        <w:spacing w:before="78"/>
        <w:ind w:right="1153"/>
        <w:rPr>
          <w:sz w:val="24"/>
        </w:rPr>
      </w:pPr>
      <w:r>
        <w:rPr>
          <w:sz w:val="24"/>
        </w:rPr>
        <w:lastRenderedPageBreak/>
        <w:t>Information on fair housing, including fair housing lending and local fair</w:t>
      </w:r>
      <w:r>
        <w:rPr>
          <w:spacing w:val="-14"/>
          <w:sz w:val="24"/>
        </w:rPr>
        <w:t xml:space="preserve"> </w:t>
      </w:r>
      <w:r>
        <w:rPr>
          <w:sz w:val="24"/>
        </w:rPr>
        <w:t>housing enforcement agencies;</w:t>
      </w:r>
      <w:r>
        <w:rPr>
          <w:spacing w:val="-4"/>
          <w:sz w:val="24"/>
        </w:rPr>
        <w:t xml:space="preserve"> </w:t>
      </w:r>
      <w:r>
        <w:rPr>
          <w:sz w:val="24"/>
        </w:rPr>
        <w:t>and</w:t>
      </w:r>
    </w:p>
    <w:p w:rsidR="004E13A5" w:rsidRDefault="00681463">
      <w:pPr>
        <w:pStyle w:val="ListParagraph"/>
        <w:numPr>
          <w:ilvl w:val="0"/>
          <w:numId w:val="49"/>
        </w:numPr>
        <w:tabs>
          <w:tab w:val="left" w:pos="820"/>
          <w:tab w:val="left" w:pos="821"/>
        </w:tabs>
        <w:ind w:right="198"/>
        <w:rPr>
          <w:sz w:val="24"/>
        </w:rPr>
      </w:pPr>
      <w:r>
        <w:rPr>
          <w:sz w:val="24"/>
        </w:rPr>
        <w:t>Information about the Real Estate Settlement Procedures Act (12 U.S.C. 2601 et seq.) (RESPA), state and Federal truth-in-lending laws, and how to identify and avoid loans with oppressive terms and</w:t>
      </w:r>
      <w:r>
        <w:rPr>
          <w:spacing w:val="-4"/>
          <w:sz w:val="24"/>
        </w:rPr>
        <w:t xml:space="preserve"> </w:t>
      </w:r>
      <w:r>
        <w:rPr>
          <w:sz w:val="24"/>
        </w:rPr>
        <w:t>conditions.</w:t>
      </w:r>
    </w:p>
    <w:p w:rsidR="004E13A5" w:rsidRDefault="00681463">
      <w:pPr>
        <w:pStyle w:val="BodyText"/>
        <w:ind w:right="1182"/>
      </w:pPr>
      <w:r>
        <w:t>The PHA may adapt the subjects covered in pre-assistance counseling (as listed) to local circumstances and the needs of individual families.</w:t>
      </w:r>
    </w:p>
    <w:p w:rsidR="004E13A5" w:rsidRDefault="00681463">
      <w:pPr>
        <w:pStyle w:val="BodyText"/>
        <w:ind w:right="249"/>
      </w:pPr>
      <w:r>
        <w:t>The PHA may also offer additional counseling after commencement of homeownership assistance (ongoing counseling). If the PHA offers a program of ongoing counseling for participants in the homeownership option, the PHA shall have discretion to determine whether the family is required to participate in the ongoing counseling.</w:t>
      </w:r>
    </w:p>
    <w:p w:rsidR="004E13A5" w:rsidRDefault="00681463">
      <w:pPr>
        <w:pStyle w:val="BodyText"/>
        <w:ind w:right="95"/>
      </w:pPr>
      <w:r>
        <w:t>If the PHA does not use a HUD-approved housing counseling agency to provide the counseling, the PHA should ensure that its counseling program is consistent with the counseling provided under HUD’s Housing Counseling program.</w:t>
      </w:r>
    </w:p>
    <w:p w:rsidR="004E13A5" w:rsidRDefault="004E13A5">
      <w:pPr>
        <w:pStyle w:val="BodyText"/>
        <w:spacing w:before="9"/>
        <w:ind w:left="0"/>
        <w:rPr>
          <w:sz w:val="20"/>
        </w:rPr>
      </w:pPr>
    </w:p>
    <w:p w:rsidR="004E13A5" w:rsidRDefault="00681463">
      <w:pPr>
        <w:pStyle w:val="Heading4"/>
        <w:ind w:right="219"/>
      </w:pPr>
      <w:r>
        <w:t>15-VII.G. HOME INSPECTIONS, CONTRACT OF SALE, AND PHA DISAPPROVAL OF SELLER [24 CFR 982.631]</w:t>
      </w:r>
    </w:p>
    <w:p w:rsidR="004E13A5" w:rsidRDefault="00681463">
      <w:pPr>
        <w:pStyle w:val="Heading4"/>
        <w:spacing w:before="119"/>
      </w:pPr>
      <w:bookmarkStart w:id="265" w:name="_TOC_250164"/>
      <w:bookmarkEnd w:id="265"/>
      <w:r>
        <w:t>Home Inspections</w:t>
      </w:r>
    </w:p>
    <w:p w:rsidR="004E13A5" w:rsidRDefault="00681463">
      <w:pPr>
        <w:pStyle w:val="BodyText"/>
      </w:pPr>
      <w:r>
        <w:t xml:space="preserve">The PHA may not commence monthly homeownership assistance payments for a family until the PHA has inspected the unit and has determined that the unit passes </w:t>
      </w:r>
      <w:r w:rsidR="002C4221">
        <w:t>NSPIRE</w:t>
      </w:r>
      <w:r>
        <w:t>.</w:t>
      </w:r>
    </w:p>
    <w:p w:rsidR="004E13A5" w:rsidRDefault="00681463">
      <w:pPr>
        <w:pStyle w:val="BodyText"/>
        <w:ind w:right="222"/>
      </w:pPr>
      <w:r>
        <w:t>An independent professional inspector selected by and paid for by the family must also inspect the unit. The independent inspection must cover major building systems and components, including foundation and structure, housing interior and exterior, and the roofing, plumbing, electrical, and heating systems. The independent inspector must be qualified to report on property conditions, including major building systems and components.</w:t>
      </w:r>
    </w:p>
    <w:p w:rsidR="004E13A5" w:rsidRDefault="00681463">
      <w:pPr>
        <w:pStyle w:val="BodyText"/>
        <w:ind w:right="183"/>
      </w:pPr>
      <w:r>
        <w:t>The PHA may not require the family to use an independent inspector selected by the PHA. The independent inspector may not be a PHA employee or contractor, or other person under control of the PHA. However, the PHA may establish standards for qualification of inspectors selected by families under the homeownership option.</w:t>
      </w:r>
    </w:p>
    <w:p w:rsidR="004E13A5" w:rsidRDefault="00681463">
      <w:pPr>
        <w:pStyle w:val="BodyText"/>
      </w:pPr>
      <w:r>
        <w:t xml:space="preserve">The PHA may disapprove a unit for assistance based on information in the independent inspector’s report, even if the unit was found to comply with </w:t>
      </w:r>
      <w:r w:rsidR="002C4221">
        <w:t>NSPIRE</w:t>
      </w:r>
      <w:r>
        <w:t>.</w:t>
      </w:r>
    </w:p>
    <w:p w:rsidR="004E13A5" w:rsidRDefault="00681463">
      <w:pPr>
        <w:pStyle w:val="Heading4"/>
        <w:spacing w:before="119"/>
      </w:pPr>
      <w:bookmarkStart w:id="266" w:name="_TOC_250163"/>
      <w:bookmarkEnd w:id="266"/>
      <w:r>
        <w:t>Contract of Sale</w:t>
      </w:r>
    </w:p>
    <w:p w:rsidR="004E13A5" w:rsidRDefault="00681463">
      <w:pPr>
        <w:pStyle w:val="BodyText"/>
        <w:ind w:right="223"/>
        <w:jc w:val="both"/>
      </w:pPr>
      <w:r>
        <w:t>Before commencement of monthly homeownership assistance payments, a member or members</w:t>
      </w:r>
      <w:r>
        <w:rPr>
          <w:spacing w:val="-13"/>
        </w:rPr>
        <w:t xml:space="preserve"> </w:t>
      </w:r>
      <w:r>
        <w:t>of the family must enter into a contract of sale with the seller of the unit to be acquired by the family. The family must give the PHA a copy of the contract of sale. The contract of sale</w:t>
      </w:r>
      <w:r>
        <w:rPr>
          <w:spacing w:val="-14"/>
        </w:rPr>
        <w:t xml:space="preserve"> </w:t>
      </w:r>
      <w:r>
        <w:t>must:</w:t>
      </w:r>
    </w:p>
    <w:p w:rsidR="004E13A5" w:rsidRDefault="00681463">
      <w:pPr>
        <w:pStyle w:val="ListParagraph"/>
        <w:numPr>
          <w:ilvl w:val="0"/>
          <w:numId w:val="93"/>
        </w:numPr>
        <w:tabs>
          <w:tab w:val="left" w:pos="460"/>
          <w:tab w:val="left" w:pos="461"/>
        </w:tabs>
        <w:rPr>
          <w:rFonts w:ascii="Symbol"/>
          <w:sz w:val="24"/>
        </w:rPr>
      </w:pPr>
      <w:r>
        <w:rPr>
          <w:sz w:val="24"/>
        </w:rPr>
        <w:t>Specify the price and other terms of sale by the seller to the</w:t>
      </w:r>
      <w:r>
        <w:rPr>
          <w:spacing w:val="-13"/>
          <w:sz w:val="24"/>
        </w:rPr>
        <w:t xml:space="preserve"> </w:t>
      </w:r>
      <w:r>
        <w:rPr>
          <w:sz w:val="24"/>
        </w:rPr>
        <w:t>purchaser;</w:t>
      </w:r>
    </w:p>
    <w:p w:rsidR="004E13A5" w:rsidRDefault="00681463">
      <w:pPr>
        <w:pStyle w:val="ListParagraph"/>
        <w:numPr>
          <w:ilvl w:val="0"/>
          <w:numId w:val="93"/>
        </w:numPr>
        <w:tabs>
          <w:tab w:val="left" w:pos="460"/>
          <w:tab w:val="left" w:pos="461"/>
        </w:tabs>
        <w:ind w:right="228"/>
        <w:rPr>
          <w:rFonts w:ascii="Symbol"/>
          <w:sz w:val="24"/>
        </w:rPr>
      </w:pPr>
      <w:r>
        <w:rPr>
          <w:sz w:val="24"/>
        </w:rPr>
        <w:t>Provide that the purchaser will arrange for a pre-purchase inspection of the dwelling unit by</w:t>
      </w:r>
      <w:r>
        <w:rPr>
          <w:spacing w:val="-17"/>
          <w:sz w:val="24"/>
        </w:rPr>
        <w:t xml:space="preserve"> </w:t>
      </w:r>
      <w:r>
        <w:rPr>
          <w:sz w:val="24"/>
        </w:rPr>
        <w:t>an independent inspector selected by the</w:t>
      </w:r>
      <w:r>
        <w:rPr>
          <w:spacing w:val="-10"/>
          <w:sz w:val="24"/>
        </w:rPr>
        <w:t xml:space="preserve"> </w:t>
      </w:r>
      <w:r>
        <w:rPr>
          <w:sz w:val="24"/>
        </w:rPr>
        <w:t>purchaser;</w:t>
      </w:r>
    </w:p>
    <w:p w:rsidR="004E13A5" w:rsidRDefault="00681463">
      <w:pPr>
        <w:pStyle w:val="ListParagraph"/>
        <w:numPr>
          <w:ilvl w:val="0"/>
          <w:numId w:val="93"/>
        </w:numPr>
        <w:tabs>
          <w:tab w:val="left" w:pos="460"/>
          <w:tab w:val="left" w:pos="461"/>
        </w:tabs>
        <w:ind w:right="1062"/>
        <w:rPr>
          <w:rFonts w:ascii="Symbol"/>
          <w:sz w:val="24"/>
        </w:rPr>
      </w:pPr>
      <w:r>
        <w:rPr>
          <w:sz w:val="24"/>
        </w:rPr>
        <w:t>Provide that the purchaser is not obligated to purchase the unit unless the inspection</w:t>
      </w:r>
      <w:r>
        <w:rPr>
          <w:spacing w:val="-13"/>
          <w:sz w:val="24"/>
        </w:rPr>
        <w:t xml:space="preserve"> </w:t>
      </w:r>
      <w:r>
        <w:rPr>
          <w:sz w:val="24"/>
        </w:rPr>
        <w:t>is satisfactory to the</w:t>
      </w:r>
      <w:r>
        <w:rPr>
          <w:spacing w:val="-7"/>
          <w:sz w:val="24"/>
        </w:rPr>
        <w:t xml:space="preserve"> </w:t>
      </w:r>
      <w:r>
        <w:rPr>
          <w:sz w:val="24"/>
        </w:rPr>
        <w:t>purchaser;</w:t>
      </w:r>
    </w:p>
    <w:p w:rsidR="004E13A5" w:rsidRDefault="00681463">
      <w:pPr>
        <w:pStyle w:val="ListParagraph"/>
        <w:numPr>
          <w:ilvl w:val="0"/>
          <w:numId w:val="93"/>
        </w:numPr>
        <w:tabs>
          <w:tab w:val="left" w:pos="460"/>
          <w:tab w:val="left" w:pos="461"/>
        </w:tabs>
        <w:rPr>
          <w:rFonts w:ascii="Symbol"/>
          <w:sz w:val="24"/>
        </w:rPr>
      </w:pPr>
      <w:r>
        <w:rPr>
          <w:sz w:val="24"/>
        </w:rPr>
        <w:t>Provide that the purchaser is not obligated to pay for any necessary repairs;</w:t>
      </w:r>
      <w:r>
        <w:rPr>
          <w:spacing w:val="-14"/>
          <w:sz w:val="24"/>
        </w:rPr>
        <w:t xml:space="preserve"> </w:t>
      </w:r>
      <w:r>
        <w:rPr>
          <w:sz w:val="24"/>
        </w:rPr>
        <w:t>and</w:t>
      </w:r>
    </w:p>
    <w:p w:rsidR="004E13A5" w:rsidRDefault="004E13A5">
      <w:pPr>
        <w:rPr>
          <w:rFonts w:ascii="Symbol"/>
          <w:sz w:val="24"/>
        </w:rPr>
        <w:sectPr w:rsidR="004E13A5">
          <w:pgSz w:w="12240" w:h="15840"/>
          <w:pgMar w:top="1000" w:right="122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783"/>
        <w:rPr>
          <w:rFonts w:ascii="Symbol"/>
          <w:sz w:val="24"/>
        </w:rPr>
      </w:pPr>
      <w:r>
        <w:rPr>
          <w:sz w:val="24"/>
        </w:rPr>
        <w:lastRenderedPageBreak/>
        <w:t>Contain a certification from the seller that the seller has not been debarred, suspended,</w:t>
      </w:r>
      <w:r>
        <w:rPr>
          <w:spacing w:val="-13"/>
          <w:sz w:val="24"/>
        </w:rPr>
        <w:t xml:space="preserve"> </w:t>
      </w:r>
      <w:r>
        <w:rPr>
          <w:sz w:val="24"/>
        </w:rPr>
        <w:t>or subject to a limited denial of participation under CFR part</w:t>
      </w:r>
      <w:r>
        <w:rPr>
          <w:spacing w:val="-12"/>
          <w:sz w:val="24"/>
        </w:rPr>
        <w:t xml:space="preserve"> </w:t>
      </w:r>
      <w:r>
        <w:rPr>
          <w:sz w:val="24"/>
        </w:rPr>
        <w:t>24.</w:t>
      </w:r>
    </w:p>
    <w:p w:rsidR="004E13A5" w:rsidRDefault="00681463">
      <w:pPr>
        <w:pStyle w:val="ListParagraph"/>
        <w:numPr>
          <w:ilvl w:val="0"/>
          <w:numId w:val="93"/>
        </w:numPr>
        <w:tabs>
          <w:tab w:val="left" w:pos="460"/>
          <w:tab w:val="left" w:pos="461"/>
        </w:tabs>
        <w:ind w:right="103"/>
        <w:rPr>
          <w:rFonts w:ascii="Symbol"/>
          <w:sz w:val="24"/>
        </w:rPr>
      </w:pPr>
      <w:r>
        <w:rPr>
          <w:sz w:val="24"/>
        </w:rPr>
        <w:t>A contract for the sale of a unit not yet under construction must meet all above requirements, and requirements below. Commencement of construction in violation of the below</w:t>
      </w:r>
      <w:r>
        <w:rPr>
          <w:spacing w:val="-13"/>
          <w:sz w:val="24"/>
        </w:rPr>
        <w:t xml:space="preserve"> </w:t>
      </w:r>
      <w:r>
        <w:rPr>
          <w:sz w:val="24"/>
        </w:rPr>
        <w:t>requirements voids the purchase</w:t>
      </w:r>
      <w:r>
        <w:rPr>
          <w:spacing w:val="-5"/>
          <w:sz w:val="24"/>
        </w:rPr>
        <w:t xml:space="preserve"> </w:t>
      </w:r>
      <w:r>
        <w:rPr>
          <w:sz w:val="24"/>
        </w:rPr>
        <w:t>contract.</w:t>
      </w:r>
    </w:p>
    <w:p w:rsidR="004E13A5" w:rsidRDefault="00681463">
      <w:pPr>
        <w:pStyle w:val="ListParagraph"/>
        <w:numPr>
          <w:ilvl w:val="0"/>
          <w:numId w:val="48"/>
        </w:numPr>
        <w:tabs>
          <w:tab w:val="left" w:pos="821"/>
        </w:tabs>
        <w:spacing w:before="123" w:line="276" w:lineRule="exact"/>
        <w:ind w:right="129"/>
        <w:rPr>
          <w:sz w:val="24"/>
        </w:rPr>
      </w:pPr>
      <w:r>
        <w:rPr>
          <w:sz w:val="24"/>
        </w:rPr>
        <w:t>The purchaser is not obligated to purchase the unit unless an environmental review has</w:t>
      </w:r>
      <w:r>
        <w:rPr>
          <w:spacing w:val="-13"/>
          <w:sz w:val="24"/>
        </w:rPr>
        <w:t xml:space="preserve"> </w:t>
      </w:r>
      <w:r>
        <w:rPr>
          <w:sz w:val="24"/>
        </w:rPr>
        <w:t>been performed and the site received environmental approval prior to commencement of construction in accordance with 24 CFR 982.628;</w:t>
      </w:r>
      <w:r>
        <w:rPr>
          <w:spacing w:val="-8"/>
          <w:sz w:val="24"/>
        </w:rPr>
        <w:t xml:space="preserve"> </w:t>
      </w:r>
      <w:r>
        <w:rPr>
          <w:sz w:val="24"/>
        </w:rPr>
        <w:t>and</w:t>
      </w:r>
    </w:p>
    <w:p w:rsidR="004E13A5" w:rsidRDefault="00681463">
      <w:pPr>
        <w:pStyle w:val="ListParagraph"/>
        <w:numPr>
          <w:ilvl w:val="0"/>
          <w:numId w:val="48"/>
        </w:numPr>
        <w:tabs>
          <w:tab w:val="left" w:pos="821"/>
        </w:tabs>
        <w:spacing w:before="120" w:line="276" w:lineRule="exact"/>
        <w:ind w:right="494"/>
        <w:rPr>
          <w:sz w:val="24"/>
        </w:rPr>
      </w:pPr>
      <w:r>
        <w:rPr>
          <w:sz w:val="24"/>
        </w:rPr>
        <w:t>The construction will not commence until the environmental review has been</w:t>
      </w:r>
      <w:r>
        <w:rPr>
          <w:spacing w:val="-12"/>
          <w:sz w:val="24"/>
        </w:rPr>
        <w:t xml:space="preserve"> </w:t>
      </w:r>
      <w:r>
        <w:rPr>
          <w:sz w:val="24"/>
        </w:rPr>
        <w:t>completed and the seller has received written notice from the PHA that environmental approval has been obtained. Environmental approval may be conditioned on the contracting parties’ agreement to modification to the unit design or to mitigation</w:t>
      </w:r>
      <w:r>
        <w:rPr>
          <w:spacing w:val="-16"/>
          <w:sz w:val="24"/>
        </w:rPr>
        <w:t xml:space="preserve"> </w:t>
      </w:r>
      <w:r>
        <w:rPr>
          <w:sz w:val="24"/>
        </w:rPr>
        <w:t>actions.</w:t>
      </w:r>
    </w:p>
    <w:p w:rsidR="004E13A5" w:rsidRDefault="00681463">
      <w:pPr>
        <w:pStyle w:val="BodyText"/>
        <w:spacing w:before="117"/>
        <w:rPr>
          <w:rFonts w:ascii="Symbol" w:hAnsi="Symbol"/>
        </w:rPr>
      </w:pPr>
      <w:r>
        <w:rPr>
          <w:rFonts w:ascii="Symbol" w:hAnsi="Symbol"/>
        </w:rPr>
        <w:t></w:t>
      </w:r>
    </w:p>
    <w:p w:rsidR="004E13A5" w:rsidRDefault="00681463">
      <w:pPr>
        <w:pStyle w:val="Heading4"/>
        <w:spacing w:before="119"/>
      </w:pPr>
      <w:bookmarkStart w:id="267" w:name="_TOC_250162"/>
      <w:bookmarkEnd w:id="267"/>
      <w:r>
        <w:t>Disapproval of a Seller</w:t>
      </w:r>
    </w:p>
    <w:p w:rsidR="004E13A5" w:rsidRDefault="00681463">
      <w:pPr>
        <w:pStyle w:val="BodyText"/>
      </w:pPr>
      <w:r>
        <w:t>In its administrative discretion, the PHA may deny approval of a seller for the same reasons a PHA may disapprove an owner under the regular HCV program [see 24 CFR 982.306(c)].</w:t>
      </w:r>
    </w:p>
    <w:p w:rsidR="004E13A5" w:rsidRDefault="004E13A5">
      <w:pPr>
        <w:pStyle w:val="BodyText"/>
        <w:spacing w:before="9"/>
        <w:ind w:left="0"/>
        <w:rPr>
          <w:sz w:val="20"/>
        </w:rPr>
      </w:pPr>
    </w:p>
    <w:p w:rsidR="004E13A5" w:rsidRDefault="00681463">
      <w:pPr>
        <w:pStyle w:val="Heading4"/>
      </w:pPr>
      <w:bookmarkStart w:id="268" w:name="_TOC_250161"/>
      <w:bookmarkEnd w:id="268"/>
      <w:r>
        <w:t>15-VII.H. FINANCING [24 CFR 982.632]</w:t>
      </w:r>
    </w:p>
    <w:p w:rsidR="004E13A5" w:rsidRDefault="00681463">
      <w:pPr>
        <w:pStyle w:val="BodyText"/>
        <w:ind w:right="183"/>
      </w:pPr>
      <w:r>
        <w:t>The PHA may establish requirements for financing purchase of a home under the homeownership option. This may include requirements concerning qualification of lenders, terms of financing, restrictions concerning debt secured by the home, lender qualifications, loan terms, and affordability of the debt. The PHA must establish policies describing these requirements in the administrative plan.</w:t>
      </w:r>
    </w:p>
    <w:p w:rsidR="004E13A5" w:rsidRDefault="00681463">
      <w:pPr>
        <w:pStyle w:val="BodyText"/>
        <w:ind w:right="136"/>
      </w:pPr>
      <w:r>
        <w:t>A PHA may not require that families acquire financing from one or more specified lenders, thereby restricting the family’s ability to secure favorable financing terms.</w:t>
      </w:r>
    </w:p>
    <w:p w:rsidR="004E13A5" w:rsidRDefault="004E13A5">
      <w:pPr>
        <w:pStyle w:val="BodyText"/>
        <w:spacing w:before="9"/>
        <w:ind w:left="0"/>
        <w:rPr>
          <w:sz w:val="20"/>
        </w:rPr>
      </w:pPr>
    </w:p>
    <w:p w:rsidR="004E13A5" w:rsidRDefault="00681463">
      <w:pPr>
        <w:pStyle w:val="Heading4"/>
        <w:ind w:right="398"/>
      </w:pPr>
      <w:r>
        <w:t>15-VII.I. CONTINUED ASSISTANCE REQUIREMENTS; FAMILY OBLIGATIONS [24 CFR 982.633]</w:t>
      </w:r>
    </w:p>
    <w:p w:rsidR="004E13A5" w:rsidRDefault="00681463">
      <w:pPr>
        <w:pStyle w:val="BodyText"/>
      </w:pPr>
      <w:r>
        <w:t>Homeownership assistance may only be paid while the family is residing in the home. If the family moves out of the home, the PHA may not continue homeownership assistance after the month when the family moves out. The family or lender is not required to refund to the PHA the homeownership assistance for the month when the family moves out.</w:t>
      </w:r>
    </w:p>
    <w:p w:rsidR="004E13A5" w:rsidRDefault="00681463">
      <w:pPr>
        <w:pStyle w:val="BodyText"/>
        <w:ind w:right="162"/>
      </w:pPr>
      <w:r>
        <w:t>Before commencement of homeownership assistance, the family must execute a statement of family obligations in the form prescribed by HUD [form HUD-52649]. In the statement, the family agrees to comply with all family obligations under the homeownership option.</w:t>
      </w:r>
    </w:p>
    <w:p w:rsidR="004E13A5" w:rsidRDefault="00681463">
      <w:pPr>
        <w:pStyle w:val="BodyText"/>
        <w:spacing w:before="142"/>
      </w:pPr>
      <w:r>
        <w:t>The family must comply with the following obligations:</w:t>
      </w:r>
    </w:p>
    <w:p w:rsidR="004E13A5" w:rsidRDefault="00681463">
      <w:pPr>
        <w:pStyle w:val="ListParagraph"/>
        <w:numPr>
          <w:ilvl w:val="0"/>
          <w:numId w:val="93"/>
        </w:numPr>
        <w:tabs>
          <w:tab w:val="left" w:pos="460"/>
          <w:tab w:val="left" w:pos="461"/>
        </w:tabs>
        <w:ind w:right="244"/>
        <w:rPr>
          <w:rFonts w:ascii="Symbol"/>
          <w:sz w:val="24"/>
        </w:rPr>
      </w:pPr>
      <w:r>
        <w:rPr>
          <w:sz w:val="24"/>
        </w:rPr>
        <w:t>The family must comply with the terms of the mortgage securing debt incurred to purchase</w:t>
      </w:r>
      <w:r>
        <w:rPr>
          <w:spacing w:val="-15"/>
          <w:sz w:val="24"/>
        </w:rPr>
        <w:t xml:space="preserve"> </w:t>
      </w:r>
      <w:r>
        <w:rPr>
          <w:sz w:val="24"/>
        </w:rPr>
        <w:t>the home, or any refinancing of such</w:t>
      </w:r>
      <w:r>
        <w:rPr>
          <w:spacing w:val="-9"/>
          <w:sz w:val="24"/>
        </w:rPr>
        <w:t xml:space="preserve"> </w:t>
      </w:r>
      <w:r>
        <w:rPr>
          <w:sz w:val="24"/>
        </w:rPr>
        <w:t>debt.</w:t>
      </w:r>
    </w:p>
    <w:p w:rsidR="004E13A5" w:rsidRDefault="00681463">
      <w:pPr>
        <w:pStyle w:val="ListParagraph"/>
        <w:numPr>
          <w:ilvl w:val="0"/>
          <w:numId w:val="93"/>
        </w:numPr>
        <w:tabs>
          <w:tab w:val="left" w:pos="460"/>
          <w:tab w:val="left" w:pos="461"/>
        </w:tabs>
        <w:ind w:right="424"/>
        <w:rPr>
          <w:rFonts w:ascii="Symbol"/>
          <w:sz w:val="24"/>
        </w:rPr>
      </w:pPr>
      <w:r>
        <w:rPr>
          <w:sz w:val="24"/>
        </w:rPr>
        <w:t>The family may not convey or transfer ownership of the home, except for purposes of financing, refinancing, or pending settlement of the estate of a deceased family member.</w:t>
      </w:r>
      <w:r>
        <w:rPr>
          <w:spacing w:val="-19"/>
          <w:sz w:val="24"/>
        </w:rPr>
        <w:t xml:space="preserve"> </w:t>
      </w:r>
      <w:r>
        <w:rPr>
          <w:sz w:val="24"/>
        </w:rPr>
        <w:t>Use and occupancy of the home are subject to 24 CFR 982.551 (h) and</w:t>
      </w:r>
      <w:r>
        <w:rPr>
          <w:spacing w:val="-14"/>
          <w:sz w:val="24"/>
        </w:rPr>
        <w:t xml:space="preserve"> </w:t>
      </w:r>
      <w:r>
        <w:rPr>
          <w:sz w:val="24"/>
        </w:rPr>
        <w:t>(i).</w:t>
      </w:r>
    </w:p>
    <w:p w:rsidR="004E13A5" w:rsidRDefault="004E13A5">
      <w:pPr>
        <w:rPr>
          <w:rFonts w:ascii="Symbol"/>
          <w:sz w:val="24"/>
        </w:rPr>
        <w:sectPr w:rsidR="004E13A5">
          <w:pgSz w:w="12240" w:h="15840"/>
          <w:pgMar w:top="1000" w:right="1220" w:bottom="1240" w:left="1220" w:header="0" w:footer="1023" w:gutter="0"/>
          <w:cols w:space="720"/>
        </w:sectPr>
      </w:pPr>
    </w:p>
    <w:p w:rsidR="004E13A5" w:rsidRDefault="00681463">
      <w:pPr>
        <w:pStyle w:val="ListParagraph"/>
        <w:numPr>
          <w:ilvl w:val="0"/>
          <w:numId w:val="93"/>
        </w:numPr>
        <w:tabs>
          <w:tab w:val="left" w:pos="460"/>
          <w:tab w:val="left" w:pos="461"/>
        </w:tabs>
        <w:spacing w:before="78"/>
        <w:ind w:right="434"/>
        <w:rPr>
          <w:rFonts w:ascii="Symbol"/>
          <w:sz w:val="24"/>
        </w:rPr>
      </w:pPr>
      <w:r>
        <w:rPr>
          <w:sz w:val="24"/>
        </w:rPr>
        <w:lastRenderedPageBreak/>
        <w:t>The family must supply information to the PHA or HUD as specified in 24 CFR</w:t>
      </w:r>
      <w:r>
        <w:rPr>
          <w:spacing w:val="-15"/>
          <w:sz w:val="24"/>
        </w:rPr>
        <w:t xml:space="preserve"> </w:t>
      </w:r>
      <w:r>
        <w:rPr>
          <w:sz w:val="24"/>
        </w:rPr>
        <w:t>982.551(b). The family must further supply any information required by the PHA or HUD concerning mortgage financing or refinancing, sale or transfer of any interest in the home, or homeownership</w:t>
      </w:r>
      <w:r>
        <w:rPr>
          <w:spacing w:val="-2"/>
          <w:sz w:val="24"/>
        </w:rPr>
        <w:t xml:space="preserve"> </w:t>
      </w:r>
      <w:r>
        <w:rPr>
          <w:sz w:val="24"/>
        </w:rPr>
        <w:t>expenses.</w:t>
      </w:r>
    </w:p>
    <w:p w:rsidR="004E13A5" w:rsidRDefault="00681463">
      <w:pPr>
        <w:pStyle w:val="ListParagraph"/>
        <w:numPr>
          <w:ilvl w:val="0"/>
          <w:numId w:val="93"/>
        </w:numPr>
        <w:tabs>
          <w:tab w:val="left" w:pos="460"/>
          <w:tab w:val="left" w:pos="461"/>
        </w:tabs>
        <w:rPr>
          <w:rFonts w:ascii="Symbol"/>
          <w:sz w:val="24"/>
        </w:rPr>
      </w:pPr>
      <w:r>
        <w:rPr>
          <w:sz w:val="24"/>
        </w:rPr>
        <w:t>The family must notify the PHA before moving out of the</w:t>
      </w:r>
      <w:r>
        <w:rPr>
          <w:spacing w:val="-12"/>
          <w:sz w:val="24"/>
        </w:rPr>
        <w:t xml:space="preserve"> </w:t>
      </w:r>
      <w:r>
        <w:rPr>
          <w:sz w:val="24"/>
        </w:rPr>
        <w:t>home.</w:t>
      </w:r>
    </w:p>
    <w:p w:rsidR="004E13A5" w:rsidRDefault="00681463">
      <w:pPr>
        <w:pStyle w:val="ListParagraph"/>
        <w:numPr>
          <w:ilvl w:val="0"/>
          <w:numId w:val="93"/>
        </w:numPr>
        <w:tabs>
          <w:tab w:val="left" w:pos="460"/>
          <w:tab w:val="left" w:pos="461"/>
        </w:tabs>
        <w:ind w:right="509"/>
        <w:rPr>
          <w:rFonts w:ascii="Symbol"/>
          <w:sz w:val="24"/>
        </w:rPr>
      </w:pPr>
      <w:r>
        <w:rPr>
          <w:sz w:val="24"/>
        </w:rPr>
        <w:t>The family must notify the PHA if the family defaults on the mortgage used to purchase</w:t>
      </w:r>
      <w:r>
        <w:rPr>
          <w:spacing w:val="-17"/>
          <w:sz w:val="24"/>
        </w:rPr>
        <w:t xml:space="preserve"> </w:t>
      </w:r>
      <w:r>
        <w:rPr>
          <w:sz w:val="24"/>
        </w:rPr>
        <w:t>the home.</w:t>
      </w:r>
    </w:p>
    <w:p w:rsidR="004E13A5" w:rsidRDefault="00681463">
      <w:pPr>
        <w:pStyle w:val="ListParagraph"/>
        <w:numPr>
          <w:ilvl w:val="0"/>
          <w:numId w:val="93"/>
        </w:numPr>
        <w:tabs>
          <w:tab w:val="left" w:pos="460"/>
          <w:tab w:val="left" w:pos="461"/>
        </w:tabs>
        <w:ind w:right="749"/>
        <w:rPr>
          <w:rFonts w:ascii="Symbol"/>
          <w:sz w:val="24"/>
        </w:rPr>
      </w:pPr>
      <w:r>
        <w:rPr>
          <w:sz w:val="24"/>
        </w:rPr>
        <w:t>The family must provide the PHA with information on any satisfaction or payment of</w:t>
      </w:r>
      <w:r>
        <w:rPr>
          <w:spacing w:val="-15"/>
          <w:sz w:val="24"/>
        </w:rPr>
        <w:t xml:space="preserve"> </w:t>
      </w:r>
      <w:r>
        <w:rPr>
          <w:sz w:val="24"/>
        </w:rPr>
        <w:t>the mortgage</w:t>
      </w:r>
      <w:r>
        <w:rPr>
          <w:spacing w:val="-4"/>
          <w:sz w:val="24"/>
        </w:rPr>
        <w:t xml:space="preserve"> </w:t>
      </w:r>
      <w:r>
        <w:rPr>
          <w:sz w:val="24"/>
        </w:rPr>
        <w:t>debt.</w:t>
      </w:r>
    </w:p>
    <w:p w:rsidR="004E13A5" w:rsidRDefault="00681463">
      <w:pPr>
        <w:pStyle w:val="BodyText"/>
        <w:rPr>
          <w:rFonts w:ascii="Symbol" w:hAnsi="Symbol"/>
        </w:rPr>
      </w:pPr>
      <w:r>
        <w:rPr>
          <w:rFonts w:ascii="Symbol" w:hAnsi="Symbol"/>
        </w:rPr>
        <w:t></w:t>
      </w:r>
    </w:p>
    <w:p w:rsidR="004E13A5" w:rsidRDefault="00681463">
      <w:pPr>
        <w:pStyle w:val="ListParagraph"/>
        <w:numPr>
          <w:ilvl w:val="0"/>
          <w:numId w:val="93"/>
        </w:numPr>
        <w:tabs>
          <w:tab w:val="left" w:pos="460"/>
          <w:tab w:val="left" w:pos="461"/>
        </w:tabs>
        <w:rPr>
          <w:rFonts w:ascii="Symbol"/>
          <w:sz w:val="24"/>
        </w:rPr>
      </w:pPr>
      <w:r>
        <w:rPr>
          <w:sz w:val="24"/>
        </w:rPr>
        <w:t>No family member may have any ownership interest in any other residential</w:t>
      </w:r>
      <w:r>
        <w:rPr>
          <w:spacing w:val="-19"/>
          <w:sz w:val="24"/>
        </w:rPr>
        <w:t xml:space="preserve"> </w:t>
      </w:r>
      <w:r>
        <w:rPr>
          <w:sz w:val="24"/>
        </w:rPr>
        <w:t>property.</w:t>
      </w:r>
    </w:p>
    <w:p w:rsidR="004E13A5" w:rsidRDefault="00681463">
      <w:pPr>
        <w:pStyle w:val="ListParagraph"/>
        <w:numPr>
          <w:ilvl w:val="0"/>
          <w:numId w:val="93"/>
        </w:numPr>
        <w:tabs>
          <w:tab w:val="left" w:pos="460"/>
          <w:tab w:val="left" w:pos="461"/>
        </w:tabs>
        <w:ind w:right="750"/>
        <w:rPr>
          <w:rFonts w:ascii="Symbol"/>
          <w:sz w:val="24"/>
        </w:rPr>
      </w:pPr>
      <w:r>
        <w:rPr>
          <w:sz w:val="24"/>
        </w:rPr>
        <w:t>The family must comply with the obligations of a participant family described in 24</w:t>
      </w:r>
      <w:r>
        <w:rPr>
          <w:spacing w:val="-19"/>
          <w:sz w:val="24"/>
        </w:rPr>
        <w:t xml:space="preserve"> </w:t>
      </w:r>
      <w:r>
        <w:rPr>
          <w:sz w:val="24"/>
        </w:rPr>
        <w:t>CFR 982.551, except for the following provisions which do not apply to assistance under the homeownership option: 24 CFR 982.551(c), (d), (e), (f), (g) and</w:t>
      </w:r>
      <w:r>
        <w:rPr>
          <w:spacing w:val="-12"/>
          <w:sz w:val="24"/>
        </w:rPr>
        <w:t xml:space="preserve"> </w:t>
      </w:r>
      <w:r>
        <w:rPr>
          <w:sz w:val="24"/>
        </w:rPr>
        <w:t>(j).</w:t>
      </w:r>
    </w:p>
    <w:p w:rsidR="004E13A5" w:rsidRDefault="004E13A5">
      <w:pPr>
        <w:pStyle w:val="BodyText"/>
        <w:spacing w:before="9"/>
        <w:ind w:left="0"/>
        <w:rPr>
          <w:sz w:val="20"/>
        </w:rPr>
      </w:pPr>
    </w:p>
    <w:p w:rsidR="004E13A5" w:rsidRDefault="00681463">
      <w:pPr>
        <w:pStyle w:val="Heading4"/>
      </w:pPr>
      <w:bookmarkStart w:id="269" w:name="_TOC_250160"/>
      <w:bookmarkEnd w:id="269"/>
      <w:r>
        <w:t>15-VII.J. MAXIMUM TERM OF HOMEOWNER ASSISTANCE [24 CFR 982.634]</w:t>
      </w:r>
    </w:p>
    <w:p w:rsidR="004E13A5" w:rsidRDefault="00681463">
      <w:pPr>
        <w:pStyle w:val="BodyText"/>
      </w:pPr>
      <w:r>
        <w:t>Except in the case of a family that qualifies as an elderly or disabled family, other family members (described below) shall not receive homeownership assistance for more than:</w:t>
      </w:r>
    </w:p>
    <w:p w:rsidR="004E13A5" w:rsidRDefault="00681463">
      <w:pPr>
        <w:pStyle w:val="ListParagraph"/>
        <w:numPr>
          <w:ilvl w:val="0"/>
          <w:numId w:val="93"/>
        </w:numPr>
        <w:tabs>
          <w:tab w:val="left" w:pos="460"/>
          <w:tab w:val="left" w:pos="461"/>
        </w:tabs>
        <w:ind w:right="269"/>
        <w:rPr>
          <w:rFonts w:ascii="Symbol"/>
          <w:sz w:val="24"/>
        </w:rPr>
      </w:pPr>
      <w:r>
        <w:rPr>
          <w:sz w:val="24"/>
        </w:rPr>
        <w:t>Fifteen years, if the initial mortgage incurred to finance purchase of the home has a term of</w:t>
      </w:r>
      <w:r>
        <w:rPr>
          <w:spacing w:val="-16"/>
          <w:sz w:val="24"/>
        </w:rPr>
        <w:t xml:space="preserve"> </w:t>
      </w:r>
      <w:r>
        <w:rPr>
          <w:sz w:val="24"/>
        </w:rPr>
        <w:t>20 years or longer;</w:t>
      </w:r>
      <w:r>
        <w:rPr>
          <w:spacing w:val="-6"/>
          <w:sz w:val="24"/>
        </w:rPr>
        <w:t xml:space="preserve"> </w:t>
      </w:r>
      <w:r>
        <w:rPr>
          <w:sz w:val="24"/>
        </w:rPr>
        <w:t>or</w:t>
      </w:r>
    </w:p>
    <w:p w:rsidR="004E13A5" w:rsidRDefault="00681463">
      <w:pPr>
        <w:pStyle w:val="ListParagraph"/>
        <w:numPr>
          <w:ilvl w:val="0"/>
          <w:numId w:val="93"/>
        </w:numPr>
        <w:tabs>
          <w:tab w:val="left" w:pos="460"/>
          <w:tab w:val="left" w:pos="461"/>
        </w:tabs>
        <w:rPr>
          <w:rFonts w:ascii="Symbol"/>
          <w:sz w:val="24"/>
        </w:rPr>
      </w:pPr>
      <w:r>
        <w:rPr>
          <w:sz w:val="24"/>
        </w:rPr>
        <w:t>Ten years, in all other</w:t>
      </w:r>
      <w:r>
        <w:rPr>
          <w:spacing w:val="-6"/>
          <w:sz w:val="24"/>
        </w:rPr>
        <w:t xml:space="preserve"> </w:t>
      </w:r>
      <w:r>
        <w:rPr>
          <w:sz w:val="24"/>
        </w:rPr>
        <w:t>cases.</w:t>
      </w:r>
    </w:p>
    <w:p w:rsidR="004E13A5" w:rsidRDefault="00681463">
      <w:pPr>
        <w:pStyle w:val="BodyText"/>
        <w:spacing w:before="118"/>
      </w:pPr>
      <w:r>
        <w:t>The maximum term described above applies to any member of the family who:</w:t>
      </w:r>
    </w:p>
    <w:p w:rsidR="004E13A5" w:rsidRDefault="00681463">
      <w:pPr>
        <w:pStyle w:val="ListParagraph"/>
        <w:numPr>
          <w:ilvl w:val="0"/>
          <w:numId w:val="93"/>
        </w:numPr>
        <w:tabs>
          <w:tab w:val="left" w:pos="460"/>
          <w:tab w:val="left" w:pos="461"/>
        </w:tabs>
        <w:ind w:right="281"/>
        <w:rPr>
          <w:rFonts w:ascii="Symbol"/>
          <w:sz w:val="24"/>
        </w:rPr>
      </w:pPr>
      <w:r>
        <w:rPr>
          <w:sz w:val="24"/>
        </w:rPr>
        <w:t>Has an ownership interest in the unit during the time that homeownership payments are</w:t>
      </w:r>
      <w:r>
        <w:rPr>
          <w:spacing w:val="-11"/>
          <w:sz w:val="24"/>
        </w:rPr>
        <w:t xml:space="preserve"> </w:t>
      </w:r>
      <w:r>
        <w:rPr>
          <w:sz w:val="24"/>
        </w:rPr>
        <w:t>made; or</w:t>
      </w:r>
    </w:p>
    <w:p w:rsidR="004E13A5" w:rsidRDefault="00681463">
      <w:pPr>
        <w:pStyle w:val="ListParagraph"/>
        <w:numPr>
          <w:ilvl w:val="0"/>
          <w:numId w:val="93"/>
        </w:numPr>
        <w:tabs>
          <w:tab w:val="left" w:pos="460"/>
          <w:tab w:val="left" w:pos="461"/>
        </w:tabs>
        <w:ind w:right="219"/>
        <w:rPr>
          <w:rFonts w:ascii="Symbol"/>
          <w:sz w:val="24"/>
        </w:rPr>
      </w:pPr>
      <w:r>
        <w:rPr>
          <w:sz w:val="24"/>
        </w:rPr>
        <w:t>Is the spouse of any member of the household who has an ownership interest in the unit during the time homeownership payments are</w:t>
      </w:r>
      <w:r>
        <w:rPr>
          <w:spacing w:val="-7"/>
          <w:sz w:val="24"/>
        </w:rPr>
        <w:t xml:space="preserve"> </w:t>
      </w:r>
      <w:r>
        <w:rPr>
          <w:sz w:val="24"/>
        </w:rPr>
        <w:t>made.</w:t>
      </w:r>
    </w:p>
    <w:p w:rsidR="004E13A5" w:rsidRDefault="00681463">
      <w:pPr>
        <w:pStyle w:val="BodyText"/>
        <w:ind w:right="116"/>
      </w:pPr>
      <w:r>
        <w:t>In the case of an elderly family, the exception only applies if the family qualifies as an elderly family at the start of homeownership assistance. In the case of a disabled family, the exception applies if at any time during receipt of homeownership assistance the family qualifies as a disabled family.</w:t>
      </w:r>
    </w:p>
    <w:p w:rsidR="004E13A5" w:rsidRDefault="00681463">
      <w:pPr>
        <w:pStyle w:val="BodyText"/>
      </w:pPr>
      <w:r>
        <w:t>If, during the course of homeownership assistance, the family ceases to qualify as a disabled or elderly family, the maximum term becomes applicable from the date homeownership assistance commenced. However, such a family must be provided at least 6 months of homeownership assistance after the maximum term becomes applicable (provided the family is otherwise eligible to receive homeownership assistance).</w:t>
      </w:r>
    </w:p>
    <w:p w:rsidR="004E13A5" w:rsidRDefault="00681463">
      <w:pPr>
        <w:pStyle w:val="BodyText"/>
      </w:pPr>
      <w:r>
        <w:t>If the family has received such assistance for different homes, or from different PHAs, the total of such assistance terms is subject to the maximum term described in this part.</w:t>
      </w:r>
    </w:p>
    <w:p w:rsidR="004E13A5" w:rsidRDefault="004E13A5">
      <w:pPr>
        <w:sectPr w:rsidR="004E13A5">
          <w:footerReference w:type="default" r:id="rId45"/>
          <w:pgSz w:w="12240" w:h="15840"/>
          <w:pgMar w:top="1000" w:right="1240" w:bottom="1240" w:left="1220" w:header="0" w:footer="1058" w:gutter="0"/>
          <w:cols w:space="720"/>
        </w:sectPr>
      </w:pPr>
    </w:p>
    <w:p w:rsidR="004E13A5" w:rsidRDefault="00681463">
      <w:pPr>
        <w:pStyle w:val="Heading4"/>
        <w:spacing w:before="79"/>
        <w:ind w:right="512"/>
      </w:pPr>
      <w:r>
        <w:lastRenderedPageBreak/>
        <w:t>15-VII.K. HOMEOWNERSHIP ASSISTANCE PAYMENTS AND HOMEOWNERSHIP EXPENSES [24 CFR 982.635]</w:t>
      </w:r>
    </w:p>
    <w:p w:rsidR="004E13A5" w:rsidRDefault="00681463">
      <w:pPr>
        <w:pStyle w:val="BodyText"/>
        <w:spacing w:before="120"/>
        <w:ind w:right="517"/>
        <w:jc w:val="both"/>
      </w:pPr>
      <w:r>
        <w:t>The monthly homeownership assistance payment is the lower of: the voucher payment</w:t>
      </w:r>
      <w:r>
        <w:rPr>
          <w:spacing w:val="-16"/>
        </w:rPr>
        <w:t xml:space="preserve"> </w:t>
      </w:r>
      <w:r>
        <w:t>standard minus the total tenant payment, or the monthly homeownership expenses minus the total tenant payment.</w:t>
      </w:r>
    </w:p>
    <w:p w:rsidR="004E13A5" w:rsidRDefault="00681463">
      <w:pPr>
        <w:pStyle w:val="BodyText"/>
        <w:ind w:right="82"/>
      </w:pPr>
      <w:r>
        <w:t>In determining the amount of the homeownership assistance payment, the PHA will use the same payment standard schedule, payment standard amounts, and subsidy standards as those described elsewhere in this plan for the Housing Choice Voucher program. The payment standard for a family is the greater of (i) The payment standard as determined at the commencement of homeownership assistance for occupancy of the home, or (ii) The payment standard at the most recent regular reexamination of family income and composition since the commencement of homeownership assistance for occupancy of the home.</w:t>
      </w:r>
    </w:p>
    <w:p w:rsidR="004E13A5" w:rsidRDefault="00681463">
      <w:pPr>
        <w:pStyle w:val="BodyText"/>
        <w:ind w:right="183"/>
      </w:pPr>
      <w:r>
        <w:t>The PHA must adopt policies for determining the amount of homeownership expenses to be allowed by the PHA in accordance with HUD requirements.</w:t>
      </w:r>
    </w:p>
    <w:p w:rsidR="004E13A5" w:rsidRDefault="00681463">
      <w:pPr>
        <w:pStyle w:val="BodyText"/>
        <w:ind w:right="221"/>
      </w:pPr>
      <w:r>
        <w:t>Homeownership expenses (not including cooperatives) must include amounts allowed by the PHA to cover:</w:t>
      </w:r>
    </w:p>
    <w:p w:rsidR="004E13A5" w:rsidRDefault="00681463">
      <w:pPr>
        <w:pStyle w:val="ListParagraph"/>
        <w:numPr>
          <w:ilvl w:val="0"/>
          <w:numId w:val="93"/>
        </w:numPr>
        <w:tabs>
          <w:tab w:val="left" w:pos="460"/>
          <w:tab w:val="left" w:pos="461"/>
        </w:tabs>
        <w:ind w:right="251"/>
        <w:rPr>
          <w:rFonts w:ascii="Symbol"/>
          <w:sz w:val="24"/>
        </w:rPr>
      </w:pPr>
      <w:r>
        <w:rPr>
          <w:sz w:val="24"/>
        </w:rPr>
        <w:t>Principal and interest on initial mortgage debt, any refinancing of such debt, and any</w:t>
      </w:r>
      <w:r>
        <w:rPr>
          <w:spacing w:val="-20"/>
          <w:sz w:val="24"/>
        </w:rPr>
        <w:t xml:space="preserve"> </w:t>
      </w:r>
      <w:r>
        <w:rPr>
          <w:sz w:val="24"/>
        </w:rPr>
        <w:t>mortgage insurance premium incurred to finance purchase of the</w:t>
      </w:r>
      <w:r>
        <w:rPr>
          <w:spacing w:val="-7"/>
          <w:sz w:val="24"/>
        </w:rPr>
        <w:t xml:space="preserve"> </w:t>
      </w:r>
      <w:r>
        <w:rPr>
          <w:sz w:val="24"/>
        </w:rPr>
        <w:t>home;</w:t>
      </w:r>
    </w:p>
    <w:p w:rsidR="004E13A5" w:rsidRDefault="00681463">
      <w:pPr>
        <w:pStyle w:val="ListParagraph"/>
        <w:numPr>
          <w:ilvl w:val="0"/>
          <w:numId w:val="93"/>
        </w:numPr>
        <w:tabs>
          <w:tab w:val="left" w:pos="460"/>
          <w:tab w:val="left" w:pos="461"/>
        </w:tabs>
        <w:rPr>
          <w:rFonts w:ascii="Symbol"/>
          <w:sz w:val="24"/>
        </w:rPr>
      </w:pPr>
      <w:r>
        <w:rPr>
          <w:sz w:val="24"/>
        </w:rPr>
        <w:t>Real estate taxes and public assessments on the</w:t>
      </w:r>
      <w:r>
        <w:rPr>
          <w:spacing w:val="-6"/>
          <w:sz w:val="24"/>
        </w:rPr>
        <w:t xml:space="preserve"> </w:t>
      </w:r>
      <w:r>
        <w:rPr>
          <w:sz w:val="24"/>
        </w:rPr>
        <w:t>home;</w:t>
      </w:r>
    </w:p>
    <w:p w:rsidR="004E13A5" w:rsidRDefault="00681463">
      <w:pPr>
        <w:pStyle w:val="ListParagraph"/>
        <w:numPr>
          <w:ilvl w:val="0"/>
          <w:numId w:val="93"/>
        </w:numPr>
        <w:tabs>
          <w:tab w:val="left" w:pos="460"/>
          <w:tab w:val="left" w:pos="461"/>
        </w:tabs>
        <w:spacing w:before="118"/>
        <w:rPr>
          <w:rFonts w:ascii="Symbol"/>
          <w:sz w:val="24"/>
        </w:rPr>
      </w:pPr>
      <w:r>
        <w:rPr>
          <w:sz w:val="24"/>
        </w:rPr>
        <w:t>Home</w:t>
      </w:r>
      <w:r>
        <w:rPr>
          <w:spacing w:val="-3"/>
          <w:sz w:val="24"/>
        </w:rPr>
        <w:t xml:space="preserve"> </w:t>
      </w:r>
      <w:r>
        <w:rPr>
          <w:sz w:val="24"/>
        </w:rPr>
        <w:t>insurance;</w:t>
      </w:r>
    </w:p>
    <w:p w:rsidR="004E13A5" w:rsidRDefault="00681463">
      <w:pPr>
        <w:pStyle w:val="ListParagraph"/>
        <w:numPr>
          <w:ilvl w:val="0"/>
          <w:numId w:val="93"/>
        </w:numPr>
        <w:tabs>
          <w:tab w:val="left" w:pos="460"/>
          <w:tab w:val="left" w:pos="461"/>
        </w:tabs>
        <w:spacing w:before="118"/>
        <w:rPr>
          <w:rFonts w:ascii="Symbol"/>
          <w:sz w:val="24"/>
        </w:rPr>
      </w:pPr>
      <w:r>
        <w:rPr>
          <w:sz w:val="24"/>
        </w:rPr>
        <w:t>The PHA allowance for maintenance</w:t>
      </w:r>
      <w:r>
        <w:rPr>
          <w:spacing w:val="-8"/>
          <w:sz w:val="24"/>
        </w:rPr>
        <w:t xml:space="preserve"> </w:t>
      </w:r>
      <w:r>
        <w:rPr>
          <w:sz w:val="24"/>
        </w:rPr>
        <w:t>expenses;</w:t>
      </w:r>
    </w:p>
    <w:p w:rsidR="004E13A5" w:rsidRDefault="00681463">
      <w:pPr>
        <w:pStyle w:val="ListParagraph"/>
        <w:numPr>
          <w:ilvl w:val="0"/>
          <w:numId w:val="93"/>
        </w:numPr>
        <w:tabs>
          <w:tab w:val="left" w:pos="460"/>
          <w:tab w:val="left" w:pos="461"/>
        </w:tabs>
        <w:spacing w:before="120"/>
        <w:rPr>
          <w:rFonts w:ascii="Symbol"/>
          <w:sz w:val="24"/>
        </w:rPr>
      </w:pPr>
      <w:r>
        <w:rPr>
          <w:sz w:val="24"/>
        </w:rPr>
        <w:t>The PHA allowance for costs of major repairs and</w:t>
      </w:r>
      <w:r>
        <w:rPr>
          <w:spacing w:val="-12"/>
          <w:sz w:val="24"/>
        </w:rPr>
        <w:t xml:space="preserve"> </w:t>
      </w:r>
      <w:r>
        <w:rPr>
          <w:sz w:val="24"/>
        </w:rPr>
        <w:t>replacements;</w:t>
      </w:r>
    </w:p>
    <w:p w:rsidR="004E13A5" w:rsidRDefault="00681463">
      <w:pPr>
        <w:pStyle w:val="ListParagraph"/>
        <w:numPr>
          <w:ilvl w:val="0"/>
          <w:numId w:val="93"/>
        </w:numPr>
        <w:tabs>
          <w:tab w:val="left" w:pos="460"/>
          <w:tab w:val="left" w:pos="461"/>
        </w:tabs>
        <w:spacing w:before="118"/>
        <w:rPr>
          <w:rFonts w:ascii="Symbol"/>
          <w:sz w:val="24"/>
        </w:rPr>
      </w:pPr>
      <w:r>
        <w:rPr>
          <w:sz w:val="24"/>
        </w:rPr>
        <w:t>The PHA utility allowance for the</w:t>
      </w:r>
      <w:r>
        <w:rPr>
          <w:spacing w:val="-12"/>
          <w:sz w:val="24"/>
        </w:rPr>
        <w:t xml:space="preserve"> </w:t>
      </w:r>
      <w:r>
        <w:rPr>
          <w:sz w:val="24"/>
        </w:rPr>
        <w:t>home;</w:t>
      </w:r>
    </w:p>
    <w:p w:rsidR="004E13A5" w:rsidRDefault="00681463">
      <w:pPr>
        <w:pStyle w:val="ListParagraph"/>
        <w:numPr>
          <w:ilvl w:val="0"/>
          <w:numId w:val="93"/>
        </w:numPr>
        <w:tabs>
          <w:tab w:val="left" w:pos="460"/>
          <w:tab w:val="left" w:pos="461"/>
        </w:tabs>
        <w:spacing w:before="118"/>
        <w:ind w:right="178"/>
        <w:rPr>
          <w:rFonts w:ascii="Symbol"/>
          <w:sz w:val="24"/>
        </w:rPr>
      </w:pPr>
      <w:r>
        <w:rPr>
          <w:sz w:val="24"/>
        </w:rPr>
        <w:t>Principal and interest on mortgage debt incurred to finance costs for major repairs, replacements or improvements for the home. If a member of the family is a person with disabilities, such debt may include debt incurred by the family to finance costs needed to make the home accessible for such person, if the PHA determines that allowance of such costs as homeownership expenses is needed as a reasonable accommodation so that the</w:t>
      </w:r>
      <w:r>
        <w:rPr>
          <w:spacing w:val="-12"/>
          <w:sz w:val="24"/>
        </w:rPr>
        <w:t xml:space="preserve"> </w:t>
      </w:r>
      <w:r>
        <w:rPr>
          <w:sz w:val="24"/>
        </w:rPr>
        <w:t>homeownership option is readily accessible to and usable by such</w:t>
      </w:r>
      <w:r>
        <w:rPr>
          <w:spacing w:val="-9"/>
          <w:sz w:val="24"/>
        </w:rPr>
        <w:t xml:space="preserve"> </w:t>
      </w:r>
      <w:r>
        <w:rPr>
          <w:sz w:val="24"/>
        </w:rPr>
        <w:t>person;</w:t>
      </w:r>
    </w:p>
    <w:p w:rsidR="004E13A5" w:rsidRDefault="00681463">
      <w:pPr>
        <w:pStyle w:val="ListParagraph"/>
        <w:numPr>
          <w:ilvl w:val="0"/>
          <w:numId w:val="93"/>
        </w:numPr>
        <w:tabs>
          <w:tab w:val="left" w:pos="460"/>
          <w:tab w:val="left" w:pos="461"/>
        </w:tabs>
        <w:ind w:right="510"/>
        <w:rPr>
          <w:rFonts w:ascii="Symbol"/>
          <w:sz w:val="24"/>
        </w:rPr>
      </w:pPr>
      <w:r>
        <w:rPr>
          <w:sz w:val="24"/>
        </w:rPr>
        <w:t>Land lease payments where a family does not own fee title to the real property on which</w:t>
      </w:r>
      <w:r>
        <w:rPr>
          <w:spacing w:val="-17"/>
          <w:sz w:val="24"/>
        </w:rPr>
        <w:t xml:space="preserve"> </w:t>
      </w:r>
      <w:r>
        <w:rPr>
          <w:sz w:val="24"/>
        </w:rPr>
        <w:t>the home is located; [see 24 CFR</w:t>
      </w:r>
      <w:r>
        <w:rPr>
          <w:spacing w:val="-7"/>
          <w:sz w:val="24"/>
        </w:rPr>
        <w:t xml:space="preserve"> </w:t>
      </w:r>
      <w:r>
        <w:rPr>
          <w:sz w:val="24"/>
        </w:rPr>
        <w:t>982.628(b)].</w:t>
      </w:r>
    </w:p>
    <w:p w:rsidR="004E13A5" w:rsidRDefault="00681463">
      <w:pPr>
        <w:pStyle w:val="ListParagraph"/>
        <w:numPr>
          <w:ilvl w:val="0"/>
          <w:numId w:val="93"/>
        </w:numPr>
        <w:tabs>
          <w:tab w:val="left" w:pos="460"/>
          <w:tab w:val="left" w:pos="461"/>
        </w:tabs>
        <w:ind w:right="299"/>
        <w:rPr>
          <w:rFonts w:ascii="Symbol"/>
          <w:sz w:val="24"/>
        </w:rPr>
      </w:pPr>
      <w:r>
        <w:rPr>
          <w:sz w:val="24"/>
        </w:rPr>
        <w:t>For a condominium unit, condominium operating charges or maintenance fees assessed by</w:t>
      </w:r>
      <w:r>
        <w:rPr>
          <w:spacing w:val="-21"/>
          <w:sz w:val="24"/>
        </w:rPr>
        <w:t xml:space="preserve"> </w:t>
      </w:r>
      <w:r>
        <w:rPr>
          <w:sz w:val="24"/>
        </w:rPr>
        <w:t>the condominium homeowner</w:t>
      </w:r>
      <w:r>
        <w:rPr>
          <w:spacing w:val="-7"/>
          <w:sz w:val="24"/>
        </w:rPr>
        <w:t xml:space="preserve"> </w:t>
      </w:r>
      <w:r>
        <w:rPr>
          <w:sz w:val="24"/>
        </w:rPr>
        <w:t>association.</w:t>
      </w:r>
    </w:p>
    <w:p w:rsidR="004E13A5" w:rsidRDefault="00681463">
      <w:pPr>
        <w:pStyle w:val="ListParagraph"/>
        <w:numPr>
          <w:ilvl w:val="0"/>
          <w:numId w:val="93"/>
        </w:numPr>
        <w:tabs>
          <w:tab w:val="left" w:pos="460"/>
          <w:tab w:val="left" w:pos="461"/>
        </w:tabs>
        <w:spacing w:before="120"/>
        <w:ind w:right="255"/>
        <w:rPr>
          <w:rFonts w:ascii="Symbol"/>
          <w:sz w:val="24"/>
        </w:rPr>
      </w:pPr>
      <w:r>
        <w:rPr>
          <w:sz w:val="24"/>
        </w:rPr>
        <w:t>The PHA does not have the discretion to exclude any of the listed homeownership expenses</w:t>
      </w:r>
      <w:r>
        <w:rPr>
          <w:spacing w:val="-14"/>
          <w:sz w:val="24"/>
        </w:rPr>
        <w:t xml:space="preserve"> </w:t>
      </w:r>
      <w:r>
        <w:rPr>
          <w:sz w:val="24"/>
        </w:rPr>
        <w:t>or to add any additional</w:t>
      </w:r>
      <w:r>
        <w:rPr>
          <w:spacing w:val="-8"/>
          <w:sz w:val="24"/>
        </w:rPr>
        <w:t xml:space="preserve"> </w:t>
      </w:r>
      <w:r>
        <w:rPr>
          <w:sz w:val="24"/>
        </w:rPr>
        <w:t>items.</w:t>
      </w:r>
    </w:p>
    <w:p w:rsidR="004E13A5" w:rsidRDefault="00681463">
      <w:pPr>
        <w:pStyle w:val="BodyText"/>
        <w:spacing w:before="141"/>
        <w:rPr>
          <w:rFonts w:ascii="Symbol" w:hAnsi="Symbol"/>
        </w:rPr>
      </w:pPr>
      <w:r>
        <w:rPr>
          <w:rFonts w:ascii="Symbol" w:hAnsi="Symbol"/>
        </w:rPr>
        <w:t></w:t>
      </w:r>
    </w:p>
    <w:p w:rsidR="004E13A5" w:rsidRDefault="00681463">
      <w:pPr>
        <w:pStyle w:val="BodyText"/>
        <w:ind w:right="183"/>
      </w:pPr>
      <w:r>
        <w:t>Homeownership expenses for a cooperative member include amounts allowed by the PHA to cover:</w:t>
      </w:r>
    </w:p>
    <w:p w:rsidR="004E13A5" w:rsidRDefault="00681463">
      <w:pPr>
        <w:pStyle w:val="ListParagraph"/>
        <w:numPr>
          <w:ilvl w:val="0"/>
          <w:numId w:val="93"/>
        </w:numPr>
        <w:tabs>
          <w:tab w:val="left" w:pos="460"/>
          <w:tab w:val="left" w:pos="461"/>
        </w:tabs>
        <w:ind w:right="191"/>
        <w:rPr>
          <w:rFonts w:ascii="Symbol"/>
          <w:sz w:val="24"/>
        </w:rPr>
      </w:pPr>
      <w:r>
        <w:rPr>
          <w:sz w:val="24"/>
        </w:rPr>
        <w:t>The cooperative charge under the cooperative occupancy agreement including payment for</w:t>
      </w:r>
      <w:r>
        <w:rPr>
          <w:spacing w:val="-15"/>
          <w:sz w:val="24"/>
        </w:rPr>
        <w:t xml:space="preserve"> </w:t>
      </w:r>
      <w:r>
        <w:rPr>
          <w:sz w:val="24"/>
        </w:rPr>
        <w:t>real estate taxes and public assessments on the</w:t>
      </w:r>
      <w:r>
        <w:rPr>
          <w:spacing w:val="-7"/>
          <w:sz w:val="24"/>
        </w:rPr>
        <w:t xml:space="preserve"> </w:t>
      </w:r>
      <w:r>
        <w:rPr>
          <w:sz w:val="24"/>
        </w:rPr>
        <w:t>home;</w:t>
      </w:r>
    </w:p>
    <w:p w:rsidR="004E13A5" w:rsidRDefault="004E13A5">
      <w:pPr>
        <w:rPr>
          <w:rFonts w:ascii="Symbol"/>
          <w:sz w:val="24"/>
        </w:rPr>
        <w:sectPr w:rsidR="004E13A5">
          <w:footerReference w:type="default" r:id="rId46"/>
          <w:pgSz w:w="12240" w:h="15840"/>
          <w:pgMar w:top="1000" w:right="1220" w:bottom="1180" w:left="1220" w:header="0" w:footer="998" w:gutter="0"/>
          <w:pgNumType w:start="301"/>
          <w:cols w:space="720"/>
        </w:sectPr>
      </w:pPr>
    </w:p>
    <w:p w:rsidR="004E13A5" w:rsidRDefault="00681463">
      <w:pPr>
        <w:pStyle w:val="ListParagraph"/>
        <w:numPr>
          <w:ilvl w:val="0"/>
          <w:numId w:val="93"/>
        </w:numPr>
        <w:tabs>
          <w:tab w:val="left" w:pos="460"/>
          <w:tab w:val="left" w:pos="461"/>
        </w:tabs>
        <w:spacing w:before="78"/>
        <w:ind w:right="436"/>
        <w:rPr>
          <w:rFonts w:ascii="Symbol"/>
          <w:sz w:val="24"/>
        </w:rPr>
      </w:pPr>
      <w:r>
        <w:rPr>
          <w:sz w:val="24"/>
        </w:rPr>
        <w:lastRenderedPageBreak/>
        <w:t>Principal and interest on initial debt incurred to finance purchase of cooperative</w:t>
      </w:r>
      <w:r>
        <w:rPr>
          <w:spacing w:val="-13"/>
          <w:sz w:val="24"/>
        </w:rPr>
        <w:t xml:space="preserve"> </w:t>
      </w:r>
      <w:r>
        <w:rPr>
          <w:sz w:val="24"/>
        </w:rPr>
        <w:t>membership shares and any refinancing of such</w:t>
      </w:r>
      <w:r>
        <w:rPr>
          <w:spacing w:val="-10"/>
          <w:sz w:val="24"/>
        </w:rPr>
        <w:t xml:space="preserve"> </w:t>
      </w:r>
      <w:r>
        <w:rPr>
          <w:sz w:val="24"/>
        </w:rPr>
        <w:t>debt;</w:t>
      </w:r>
    </w:p>
    <w:p w:rsidR="004E13A5" w:rsidRDefault="00681463">
      <w:pPr>
        <w:pStyle w:val="ListParagraph"/>
        <w:numPr>
          <w:ilvl w:val="0"/>
          <w:numId w:val="93"/>
        </w:numPr>
        <w:tabs>
          <w:tab w:val="left" w:pos="460"/>
          <w:tab w:val="left" w:pos="461"/>
        </w:tabs>
        <w:rPr>
          <w:rFonts w:ascii="Symbol"/>
          <w:sz w:val="24"/>
        </w:rPr>
      </w:pPr>
      <w:r>
        <w:rPr>
          <w:sz w:val="24"/>
        </w:rPr>
        <w:t>Home</w:t>
      </w:r>
      <w:r>
        <w:rPr>
          <w:spacing w:val="-3"/>
          <w:sz w:val="24"/>
        </w:rPr>
        <w:t xml:space="preserve"> </w:t>
      </w:r>
      <w:r>
        <w:rPr>
          <w:sz w:val="24"/>
        </w:rPr>
        <w:t>insurance;</w:t>
      </w:r>
    </w:p>
    <w:p w:rsidR="004E13A5" w:rsidRDefault="00681463">
      <w:pPr>
        <w:pStyle w:val="ListParagraph"/>
        <w:numPr>
          <w:ilvl w:val="0"/>
          <w:numId w:val="93"/>
        </w:numPr>
        <w:tabs>
          <w:tab w:val="left" w:pos="460"/>
          <w:tab w:val="left" w:pos="461"/>
        </w:tabs>
        <w:spacing w:before="118"/>
        <w:rPr>
          <w:rFonts w:ascii="Symbol"/>
          <w:sz w:val="24"/>
        </w:rPr>
      </w:pPr>
      <w:r>
        <w:rPr>
          <w:sz w:val="24"/>
        </w:rPr>
        <w:t>The PHA allowance for maintenance</w:t>
      </w:r>
      <w:r>
        <w:rPr>
          <w:spacing w:val="-6"/>
          <w:sz w:val="24"/>
        </w:rPr>
        <w:t xml:space="preserve"> </w:t>
      </w:r>
      <w:r>
        <w:rPr>
          <w:sz w:val="24"/>
        </w:rPr>
        <w:t>expenses;</w:t>
      </w:r>
    </w:p>
    <w:p w:rsidR="004E13A5" w:rsidRDefault="00681463">
      <w:pPr>
        <w:pStyle w:val="ListParagraph"/>
        <w:numPr>
          <w:ilvl w:val="0"/>
          <w:numId w:val="93"/>
        </w:numPr>
        <w:tabs>
          <w:tab w:val="left" w:pos="460"/>
          <w:tab w:val="left" w:pos="461"/>
        </w:tabs>
        <w:spacing w:before="118"/>
        <w:rPr>
          <w:rFonts w:ascii="Symbol"/>
          <w:sz w:val="24"/>
        </w:rPr>
      </w:pPr>
      <w:r>
        <w:rPr>
          <w:sz w:val="24"/>
        </w:rPr>
        <w:t>The PHA allowance for costs of major repairs and</w:t>
      </w:r>
      <w:r>
        <w:rPr>
          <w:spacing w:val="-12"/>
          <w:sz w:val="24"/>
        </w:rPr>
        <w:t xml:space="preserve"> </w:t>
      </w:r>
      <w:r>
        <w:rPr>
          <w:sz w:val="24"/>
        </w:rPr>
        <w:t>replacements;</w:t>
      </w:r>
    </w:p>
    <w:p w:rsidR="004E13A5" w:rsidRDefault="00681463">
      <w:pPr>
        <w:pStyle w:val="ListParagraph"/>
        <w:numPr>
          <w:ilvl w:val="0"/>
          <w:numId w:val="93"/>
        </w:numPr>
        <w:tabs>
          <w:tab w:val="left" w:pos="460"/>
          <w:tab w:val="left" w:pos="461"/>
        </w:tabs>
        <w:spacing w:before="121"/>
        <w:rPr>
          <w:rFonts w:ascii="Symbol"/>
          <w:sz w:val="24"/>
        </w:rPr>
      </w:pPr>
      <w:r>
        <w:rPr>
          <w:sz w:val="24"/>
        </w:rPr>
        <w:t>The PHA utility allowance for the home;</w:t>
      </w:r>
      <w:r>
        <w:rPr>
          <w:spacing w:val="-13"/>
          <w:sz w:val="24"/>
        </w:rPr>
        <w:t xml:space="preserve"> </w:t>
      </w:r>
      <w:r>
        <w:rPr>
          <w:sz w:val="24"/>
        </w:rPr>
        <w:t>and</w:t>
      </w:r>
    </w:p>
    <w:p w:rsidR="004E13A5" w:rsidRDefault="00681463">
      <w:pPr>
        <w:pStyle w:val="ListParagraph"/>
        <w:numPr>
          <w:ilvl w:val="0"/>
          <w:numId w:val="93"/>
        </w:numPr>
        <w:tabs>
          <w:tab w:val="left" w:pos="460"/>
          <w:tab w:val="left" w:pos="461"/>
        </w:tabs>
        <w:ind w:right="104"/>
        <w:rPr>
          <w:rFonts w:ascii="Symbol"/>
          <w:sz w:val="24"/>
        </w:rPr>
      </w:pPr>
      <w:r>
        <w:rPr>
          <w:sz w:val="24"/>
        </w:rPr>
        <w:t>Principal and interest on debt incurred to finance major repairs, replacements or improvements for the home. If a member of the family is a person with disabilities, such debt may include</w:t>
      </w:r>
      <w:r>
        <w:rPr>
          <w:spacing w:val="-20"/>
          <w:sz w:val="24"/>
        </w:rPr>
        <w:t xml:space="preserve"> </w:t>
      </w:r>
      <w:r>
        <w:rPr>
          <w:sz w:val="24"/>
        </w:rPr>
        <w:t>debt incurred by the family to finance costs needed to make the home accessible for such person, if the PHA determines that allowance of such costs as homeownership expenses is needed as a reasonable accommodation so that the homeownership option is readily accessible to and</w:t>
      </w:r>
      <w:r>
        <w:rPr>
          <w:spacing w:val="-15"/>
          <w:sz w:val="24"/>
        </w:rPr>
        <w:t xml:space="preserve"> </w:t>
      </w:r>
      <w:r>
        <w:rPr>
          <w:sz w:val="24"/>
        </w:rPr>
        <w:t>usable by such</w:t>
      </w:r>
      <w:r>
        <w:rPr>
          <w:spacing w:val="-4"/>
          <w:sz w:val="24"/>
        </w:rPr>
        <w:t xml:space="preserve"> </w:t>
      </w:r>
      <w:r>
        <w:rPr>
          <w:sz w:val="24"/>
        </w:rPr>
        <w:t>person.</w:t>
      </w:r>
    </w:p>
    <w:p w:rsidR="004E13A5" w:rsidRDefault="00681463">
      <w:pPr>
        <w:pStyle w:val="ListParagraph"/>
        <w:numPr>
          <w:ilvl w:val="0"/>
          <w:numId w:val="93"/>
        </w:numPr>
        <w:tabs>
          <w:tab w:val="left" w:pos="460"/>
          <w:tab w:val="left" w:pos="461"/>
        </w:tabs>
        <w:spacing w:before="120"/>
        <w:ind w:right="532"/>
        <w:rPr>
          <w:rFonts w:ascii="Symbol"/>
          <w:sz w:val="24"/>
        </w:rPr>
      </w:pPr>
      <w:r>
        <w:rPr>
          <w:sz w:val="24"/>
        </w:rPr>
        <w:t>Cooperative operating charges or maintenance fees assessed by the cooperative</w:t>
      </w:r>
      <w:r>
        <w:rPr>
          <w:spacing w:val="-16"/>
          <w:sz w:val="24"/>
        </w:rPr>
        <w:t xml:space="preserve"> </w:t>
      </w:r>
      <w:r>
        <w:rPr>
          <w:sz w:val="24"/>
        </w:rPr>
        <w:t>homeowner association.</w:t>
      </w:r>
    </w:p>
    <w:p w:rsidR="004E13A5" w:rsidRDefault="00681463">
      <w:pPr>
        <w:pStyle w:val="ListParagraph"/>
        <w:numPr>
          <w:ilvl w:val="0"/>
          <w:numId w:val="93"/>
        </w:numPr>
        <w:tabs>
          <w:tab w:val="left" w:pos="461"/>
        </w:tabs>
        <w:ind w:right="575"/>
        <w:jc w:val="both"/>
        <w:rPr>
          <w:rFonts w:ascii="Symbol" w:hAnsi="Symbol"/>
          <w:sz w:val="24"/>
        </w:rPr>
      </w:pPr>
      <w:r>
        <w:rPr>
          <w:sz w:val="24"/>
        </w:rPr>
        <w:t>The PHA may pay the homeownership assistance payments directly to the family, or at the PHA’s discretion, to a lender on behalf of the family. If the assistance payment exceeds</w:t>
      </w:r>
      <w:r>
        <w:rPr>
          <w:spacing w:val="-13"/>
          <w:sz w:val="24"/>
        </w:rPr>
        <w:t xml:space="preserve"> </w:t>
      </w:r>
      <w:r>
        <w:rPr>
          <w:sz w:val="24"/>
        </w:rPr>
        <w:t>the amount due to the lender, the PHA must pay the excess directly to the</w:t>
      </w:r>
      <w:r>
        <w:rPr>
          <w:spacing w:val="-16"/>
          <w:sz w:val="24"/>
        </w:rPr>
        <w:t xml:space="preserve"> </w:t>
      </w:r>
      <w:r>
        <w:rPr>
          <w:sz w:val="24"/>
        </w:rPr>
        <w:t>family.</w:t>
      </w:r>
    </w:p>
    <w:p w:rsidR="004E13A5" w:rsidRDefault="00681463">
      <w:pPr>
        <w:pStyle w:val="BodyText"/>
        <w:spacing w:before="141"/>
        <w:rPr>
          <w:rFonts w:ascii="Symbol" w:hAnsi="Symbol"/>
        </w:rPr>
      </w:pPr>
      <w:r>
        <w:rPr>
          <w:rFonts w:ascii="Symbol" w:hAnsi="Symbol"/>
        </w:rPr>
        <w:t></w:t>
      </w:r>
    </w:p>
    <w:p w:rsidR="004E13A5" w:rsidRDefault="00681463">
      <w:pPr>
        <w:pStyle w:val="Heading4"/>
        <w:spacing w:before="239"/>
      </w:pPr>
      <w:r>
        <w:t>15-VII.L. PORTABILITY [24 CFR 982.636, 982.637, 982.353(b) and (c), 982.552, 982.553]</w:t>
      </w:r>
    </w:p>
    <w:p w:rsidR="004E13A5" w:rsidRDefault="00681463">
      <w:pPr>
        <w:pStyle w:val="BodyText"/>
      </w:pPr>
      <w:r>
        <w:t>Subject to the restrictions on portability included in HUD regulations and PHA policies, a family may exercise portability if the receiving PHA is administering a voucher homeownership program and accepting new homeownership families. The receiving PHA may absorb the family into its voucher program, or bill the initial PHA.</w:t>
      </w:r>
    </w:p>
    <w:p w:rsidR="004E13A5" w:rsidRDefault="00681463">
      <w:pPr>
        <w:pStyle w:val="BodyText"/>
      </w:pPr>
      <w:r>
        <w:t>The family must attend the briefing and counseling sessions required by the receiving PHA. The receiving PHA will determine whether the financing for, and the physical condition of the unit, are acceptable. The receiving PHA must promptly notify the initial PHA if the family has purchased an eligible unit under the program, or if the family is unable to purchase a home within the maximum time established by the PHA.</w:t>
      </w:r>
    </w:p>
    <w:p w:rsidR="004E13A5" w:rsidRDefault="004E13A5">
      <w:pPr>
        <w:pStyle w:val="BodyText"/>
        <w:spacing w:before="9"/>
        <w:ind w:left="0"/>
        <w:rPr>
          <w:sz w:val="20"/>
        </w:rPr>
      </w:pPr>
    </w:p>
    <w:p w:rsidR="004E13A5" w:rsidRDefault="00681463">
      <w:pPr>
        <w:pStyle w:val="Heading4"/>
      </w:pPr>
      <w:bookmarkStart w:id="270" w:name="_TOC_250159"/>
      <w:bookmarkEnd w:id="270"/>
      <w:r>
        <w:t>15-VII.M. MOVING WITH CONTINUED ASSISTANCE [24 CFR 982.637]</w:t>
      </w:r>
    </w:p>
    <w:p w:rsidR="004E13A5" w:rsidRDefault="00681463">
      <w:pPr>
        <w:pStyle w:val="BodyText"/>
        <w:ind w:right="142"/>
      </w:pPr>
      <w:r>
        <w:t>A family receiving homeownership assistance may move with continued tenant-based assistance or with voucher homeownership assistance.</w:t>
      </w:r>
    </w:p>
    <w:p w:rsidR="004E13A5" w:rsidRDefault="00681463">
      <w:pPr>
        <w:pStyle w:val="BodyText"/>
        <w:ind w:right="629"/>
      </w:pPr>
      <w:r>
        <w:t>The PHA must determine that all initial requirements have been satisfied if a family that has received homeownership assistance wants to move with continued homeownership assistance. However, the following do not apply:</w:t>
      </w:r>
    </w:p>
    <w:p w:rsidR="004E13A5" w:rsidRDefault="00681463">
      <w:pPr>
        <w:pStyle w:val="ListParagraph"/>
        <w:numPr>
          <w:ilvl w:val="0"/>
          <w:numId w:val="93"/>
        </w:numPr>
        <w:tabs>
          <w:tab w:val="left" w:pos="460"/>
          <w:tab w:val="left" w:pos="461"/>
        </w:tabs>
        <w:spacing w:before="138"/>
        <w:rPr>
          <w:rFonts w:ascii="Symbol"/>
          <w:sz w:val="24"/>
        </w:rPr>
      </w:pPr>
      <w:r>
        <w:rPr>
          <w:sz w:val="24"/>
        </w:rPr>
        <w:t>The requirement that a family must be a first-time homeowner is not</w:t>
      </w:r>
      <w:r>
        <w:rPr>
          <w:spacing w:val="-8"/>
          <w:sz w:val="24"/>
        </w:rPr>
        <w:t xml:space="preserve"> </w:t>
      </w:r>
      <w:r>
        <w:rPr>
          <w:sz w:val="24"/>
        </w:rPr>
        <w:t>applicable.</w:t>
      </w:r>
    </w:p>
    <w:p w:rsidR="004E13A5" w:rsidRDefault="00681463">
      <w:pPr>
        <w:pStyle w:val="ListParagraph"/>
        <w:numPr>
          <w:ilvl w:val="0"/>
          <w:numId w:val="93"/>
        </w:numPr>
        <w:tabs>
          <w:tab w:val="left" w:pos="460"/>
          <w:tab w:val="left" w:pos="461"/>
        </w:tabs>
        <w:spacing w:before="118"/>
        <w:ind w:right="103"/>
        <w:rPr>
          <w:rFonts w:ascii="Symbol"/>
          <w:sz w:val="24"/>
        </w:rPr>
      </w:pPr>
      <w:r>
        <w:rPr>
          <w:sz w:val="24"/>
        </w:rPr>
        <w:t>The requirement for pre-assistance counseling is not applicable. However, the PHA may</w:t>
      </w:r>
      <w:r>
        <w:rPr>
          <w:spacing w:val="-16"/>
          <w:sz w:val="24"/>
        </w:rPr>
        <w:t xml:space="preserve"> </w:t>
      </w:r>
      <w:r>
        <w:rPr>
          <w:sz w:val="24"/>
        </w:rPr>
        <w:t>require that the family complete additional counseling (before or after moving to a new unit with continued homeownership</w:t>
      </w:r>
      <w:r>
        <w:rPr>
          <w:spacing w:val="-7"/>
          <w:sz w:val="24"/>
        </w:rPr>
        <w:t xml:space="preserve"> </w:t>
      </w:r>
      <w:r>
        <w:rPr>
          <w:sz w:val="24"/>
        </w:rPr>
        <w:t>assistance).</w:t>
      </w:r>
    </w:p>
    <w:p w:rsidR="004E13A5" w:rsidRDefault="004E13A5">
      <w:pPr>
        <w:rPr>
          <w:rFonts w:ascii="Symbol"/>
          <w:sz w:val="24"/>
        </w:rPr>
        <w:sectPr w:rsidR="004E13A5">
          <w:pgSz w:w="12240" w:h="15840"/>
          <w:pgMar w:top="1000" w:right="1220" w:bottom="1240" w:left="1220" w:header="0" w:footer="998" w:gutter="0"/>
          <w:cols w:space="720"/>
        </w:sectPr>
      </w:pPr>
    </w:p>
    <w:p w:rsidR="004E13A5" w:rsidRDefault="00681463">
      <w:pPr>
        <w:pStyle w:val="BodyText"/>
        <w:spacing w:before="79"/>
        <w:ind w:right="136"/>
      </w:pPr>
      <w:r>
        <w:lastRenderedPageBreak/>
        <w:t>Continued tenant-based assistance for a new unit cannot begin so long as any family member holds title to the prior home. However, when the family or a member of the family is or has been the victim of domestic violence, dating violence, sexual assault or stalking and the move is needed to protect the health or safety of the family or family member (or any family member has been the victim of a sexual assault that occurred on the premises during the 90-calendar-day period preceding the family’s request to move), such family or family member may be assisted with continued tenant-based assistance even if they own any title or other interest in the prior home.</w:t>
      </w:r>
    </w:p>
    <w:p w:rsidR="004E13A5" w:rsidRDefault="00681463">
      <w:pPr>
        <w:pStyle w:val="BodyText"/>
        <w:spacing w:before="120"/>
      </w:pPr>
      <w:r>
        <w:t>The PHA may deny permission to move to a new unit with continued voucher assistance:</w:t>
      </w:r>
    </w:p>
    <w:p w:rsidR="004E13A5" w:rsidRDefault="00681463">
      <w:pPr>
        <w:pStyle w:val="ListParagraph"/>
        <w:numPr>
          <w:ilvl w:val="0"/>
          <w:numId w:val="93"/>
        </w:numPr>
        <w:tabs>
          <w:tab w:val="left" w:pos="460"/>
          <w:tab w:val="left" w:pos="461"/>
        </w:tabs>
        <w:rPr>
          <w:rFonts w:ascii="Symbol"/>
          <w:sz w:val="24"/>
        </w:rPr>
      </w:pPr>
      <w:r>
        <w:rPr>
          <w:sz w:val="24"/>
        </w:rPr>
        <w:t>If the PHA has insufficient funding to provide continued</w:t>
      </w:r>
      <w:r>
        <w:rPr>
          <w:spacing w:val="-11"/>
          <w:sz w:val="24"/>
        </w:rPr>
        <w:t xml:space="preserve"> </w:t>
      </w:r>
      <w:r>
        <w:rPr>
          <w:sz w:val="24"/>
        </w:rPr>
        <w:t>assistance.</w:t>
      </w:r>
    </w:p>
    <w:p w:rsidR="004E13A5" w:rsidRDefault="00681463">
      <w:pPr>
        <w:pStyle w:val="ListParagraph"/>
        <w:numPr>
          <w:ilvl w:val="0"/>
          <w:numId w:val="93"/>
        </w:numPr>
        <w:tabs>
          <w:tab w:val="left" w:pos="460"/>
          <w:tab w:val="left" w:pos="461"/>
        </w:tabs>
        <w:spacing w:before="118"/>
        <w:rPr>
          <w:rFonts w:ascii="Symbol"/>
          <w:sz w:val="24"/>
        </w:rPr>
      </w:pPr>
      <w:r>
        <w:rPr>
          <w:sz w:val="24"/>
        </w:rPr>
        <w:t>In accordance with 24 CFR 982.638, regarding denial or termination of</w:t>
      </w:r>
      <w:r>
        <w:rPr>
          <w:spacing w:val="-18"/>
          <w:sz w:val="24"/>
        </w:rPr>
        <w:t xml:space="preserve"> </w:t>
      </w:r>
      <w:r>
        <w:rPr>
          <w:sz w:val="24"/>
        </w:rPr>
        <w:t>assistance.</w:t>
      </w:r>
    </w:p>
    <w:p w:rsidR="004E13A5" w:rsidRDefault="00681463">
      <w:pPr>
        <w:pStyle w:val="ListParagraph"/>
        <w:numPr>
          <w:ilvl w:val="0"/>
          <w:numId w:val="93"/>
        </w:numPr>
        <w:tabs>
          <w:tab w:val="left" w:pos="460"/>
          <w:tab w:val="left" w:pos="461"/>
        </w:tabs>
        <w:spacing w:before="118"/>
        <w:rPr>
          <w:rFonts w:ascii="Symbol" w:hAnsi="Symbol"/>
          <w:sz w:val="24"/>
        </w:rPr>
      </w:pPr>
      <w:r>
        <w:rPr>
          <w:sz w:val="24"/>
        </w:rPr>
        <w:t>In accordance with the PHA’s policy regarding number of moves within a 12-month</w:t>
      </w:r>
      <w:r>
        <w:rPr>
          <w:spacing w:val="-8"/>
          <w:sz w:val="24"/>
        </w:rPr>
        <w:t xml:space="preserve"> </w:t>
      </w:r>
      <w:r>
        <w:rPr>
          <w:sz w:val="24"/>
        </w:rPr>
        <w:t>period.</w:t>
      </w:r>
    </w:p>
    <w:p w:rsidR="004E13A5" w:rsidRDefault="00681463">
      <w:pPr>
        <w:pStyle w:val="BodyText"/>
        <w:spacing w:before="118"/>
        <w:ind w:right="481"/>
      </w:pPr>
      <w:r>
        <w:t>The PHA must deny the family permission to move to a new unit with continued voucher rental assistance if:</w:t>
      </w:r>
    </w:p>
    <w:p w:rsidR="004E13A5" w:rsidRDefault="00681463">
      <w:pPr>
        <w:pStyle w:val="ListParagraph"/>
        <w:numPr>
          <w:ilvl w:val="0"/>
          <w:numId w:val="93"/>
        </w:numPr>
        <w:tabs>
          <w:tab w:val="left" w:pos="460"/>
          <w:tab w:val="left" w:pos="461"/>
        </w:tabs>
        <w:rPr>
          <w:rFonts w:ascii="Symbol"/>
          <w:sz w:val="24"/>
        </w:rPr>
      </w:pPr>
      <w:r>
        <w:rPr>
          <w:sz w:val="24"/>
        </w:rPr>
        <w:t>The family defaulted on an FHA-insured mortgage;</w:t>
      </w:r>
      <w:r>
        <w:rPr>
          <w:spacing w:val="-8"/>
          <w:sz w:val="24"/>
        </w:rPr>
        <w:t xml:space="preserve"> </w:t>
      </w:r>
      <w:r>
        <w:rPr>
          <w:sz w:val="24"/>
        </w:rPr>
        <w:t>and</w:t>
      </w:r>
    </w:p>
    <w:p w:rsidR="004E13A5" w:rsidRDefault="00681463">
      <w:pPr>
        <w:pStyle w:val="ListParagraph"/>
        <w:numPr>
          <w:ilvl w:val="0"/>
          <w:numId w:val="93"/>
        </w:numPr>
        <w:tabs>
          <w:tab w:val="left" w:pos="460"/>
          <w:tab w:val="left" w:pos="461"/>
        </w:tabs>
        <w:spacing w:before="121"/>
        <w:ind w:right="259"/>
        <w:rPr>
          <w:rFonts w:ascii="Symbol"/>
          <w:sz w:val="24"/>
        </w:rPr>
      </w:pPr>
      <w:r>
        <w:rPr>
          <w:sz w:val="24"/>
        </w:rPr>
        <w:t>The family fails to demonstrate that the family has conveyed, or will convey, title to the</w:t>
      </w:r>
      <w:r>
        <w:rPr>
          <w:spacing w:val="-19"/>
          <w:sz w:val="24"/>
        </w:rPr>
        <w:t xml:space="preserve"> </w:t>
      </w:r>
      <w:r>
        <w:rPr>
          <w:sz w:val="24"/>
        </w:rPr>
        <w:t>home, as required by HUD, to HUD or HUD's designee;</w:t>
      </w:r>
      <w:r>
        <w:rPr>
          <w:spacing w:val="-10"/>
          <w:sz w:val="24"/>
        </w:rPr>
        <w:t xml:space="preserve"> </w:t>
      </w:r>
      <w:r>
        <w:rPr>
          <w:sz w:val="24"/>
        </w:rPr>
        <w:t>and</w:t>
      </w:r>
    </w:p>
    <w:p w:rsidR="004E13A5" w:rsidRDefault="00681463">
      <w:pPr>
        <w:pStyle w:val="ListParagraph"/>
        <w:numPr>
          <w:ilvl w:val="0"/>
          <w:numId w:val="93"/>
        </w:numPr>
        <w:tabs>
          <w:tab w:val="left" w:pos="520"/>
          <w:tab w:val="left" w:pos="521"/>
        </w:tabs>
        <w:ind w:right="263"/>
        <w:rPr>
          <w:rFonts w:ascii="Symbol"/>
          <w:sz w:val="24"/>
        </w:rPr>
      </w:pPr>
      <w:r>
        <w:rPr>
          <w:sz w:val="24"/>
        </w:rPr>
        <w:t>tTe family has moved, or will move, from the home within the period established or</w:t>
      </w:r>
      <w:r>
        <w:rPr>
          <w:spacing w:val="-17"/>
          <w:sz w:val="24"/>
        </w:rPr>
        <w:t xml:space="preserve"> </w:t>
      </w:r>
      <w:r>
        <w:rPr>
          <w:sz w:val="24"/>
        </w:rPr>
        <w:t>approved by</w:t>
      </w:r>
      <w:r>
        <w:rPr>
          <w:spacing w:val="-3"/>
          <w:sz w:val="24"/>
        </w:rPr>
        <w:t xml:space="preserve"> </w:t>
      </w:r>
      <w:r>
        <w:rPr>
          <w:sz w:val="24"/>
        </w:rPr>
        <w:t>HUD.</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7"/>
        <w:ind w:left="0"/>
        <w:rPr>
          <w:sz w:val="32"/>
        </w:rPr>
      </w:pPr>
    </w:p>
    <w:p w:rsidR="004E13A5" w:rsidRDefault="00681463">
      <w:pPr>
        <w:pStyle w:val="Heading4"/>
      </w:pPr>
      <w:bookmarkStart w:id="271" w:name="_TOC_250158"/>
      <w:bookmarkEnd w:id="271"/>
      <w:r>
        <w:t>15-VII.N. DENIAL OR TERMINATION OF ASSISTANCE [24 CFR 982.638]</w:t>
      </w:r>
    </w:p>
    <w:p w:rsidR="004E13A5" w:rsidRDefault="00681463">
      <w:pPr>
        <w:pStyle w:val="BodyText"/>
        <w:spacing w:before="120"/>
        <w:ind w:right="335"/>
        <w:jc w:val="both"/>
      </w:pPr>
      <w:r>
        <w:t>At any time, the PHA may deny or terminate homeownership assistance in accordance with HCV program requirements in 24 CFR 982.552 (Grounds for denial or termination of assistance) or 24 CFR 982.553 (Crime by family members).</w:t>
      </w:r>
    </w:p>
    <w:p w:rsidR="004E13A5" w:rsidRDefault="00681463">
      <w:pPr>
        <w:pStyle w:val="BodyText"/>
        <w:spacing w:before="120"/>
        <w:ind w:right="100"/>
      </w:pPr>
      <w:r>
        <w:t>The PHA may also deny or terminate assistance for violation of participant obligations described in 24 CFR Parts 982.551 or 982.633 and in accordance with its own policy, with the exception of failure to meet obligations under the Family Self-Sufficiency program as prohibited under the alternative requirements set forth in FR Notice 12/29/14.</w:t>
      </w:r>
    </w:p>
    <w:p w:rsidR="004E13A5" w:rsidRDefault="00681463">
      <w:pPr>
        <w:pStyle w:val="BodyText"/>
        <w:spacing w:before="120"/>
        <w:ind w:right="96"/>
      </w:pPr>
      <w:r>
        <w:t>Homeownership assistance for a family automatically terminates 180 calendar days after the last homeownership assistance payment on behalf of the family. However, a PHA may grant relief from this requirement in those cases where automatic termination would result in extreme hardship for the family.</w:t>
      </w:r>
    </w:p>
    <w:p w:rsidR="004E13A5" w:rsidRDefault="00681463">
      <w:pPr>
        <w:pStyle w:val="BodyText"/>
        <w:spacing w:before="140"/>
        <w:ind w:right="336"/>
      </w:pPr>
      <w:r>
        <w:t>The PHA must terminate voucher homeownership assistance for any member of family receiving homeownership assistance that is dispossessed from the home pursuant to a judgment or order of foreclosure on any mortgage (whether FHA insured or non-FHA) securing debt incurred to purchase the home, or any refinancing of such debt.</w:t>
      </w:r>
    </w:p>
    <w:p w:rsidR="004E13A5" w:rsidRDefault="004E13A5">
      <w:pPr>
        <w:sectPr w:rsidR="004E13A5">
          <w:pgSz w:w="12240" w:h="15840"/>
          <w:pgMar w:top="1000" w:right="1220" w:bottom="1240" w:left="1220" w:header="0" w:footer="998"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14"/>
      </w:pPr>
      <w:r>
        <w:rPr>
          <w:spacing w:val="-1"/>
        </w:rPr>
        <w:t>INTRODUCTION</w:t>
      </w:r>
    </w:p>
    <w:p w:rsidR="004E13A5" w:rsidRDefault="00681463">
      <w:pPr>
        <w:pStyle w:val="Heading4"/>
        <w:spacing w:before="79" w:line="448" w:lineRule="auto"/>
        <w:ind w:right="3123" w:firstLine="1178"/>
      </w:pPr>
      <w:bookmarkStart w:id="272" w:name="_TOC_250157"/>
      <w:r>
        <w:rPr>
          <w:b w:val="0"/>
        </w:rPr>
        <w:br w:type="column"/>
      </w:r>
      <w:bookmarkEnd w:id="272"/>
      <w:r>
        <w:t>Chapter 16 PROGRAM ADMINISTRATION</w:t>
      </w:r>
    </w:p>
    <w:p w:rsidR="004E13A5" w:rsidRDefault="004E13A5">
      <w:pPr>
        <w:spacing w:line="448" w:lineRule="auto"/>
        <w:sectPr w:rsidR="004E13A5">
          <w:pgSz w:w="12240" w:h="15840"/>
          <w:pgMar w:top="1240" w:right="1220" w:bottom="1240" w:left="1220" w:header="0" w:footer="998" w:gutter="0"/>
          <w:cols w:num="2" w:space="720" w:equalWidth="0">
            <w:col w:w="2020" w:space="1023"/>
            <w:col w:w="6757"/>
          </w:cols>
        </w:sectPr>
      </w:pPr>
    </w:p>
    <w:p w:rsidR="004E13A5" w:rsidRDefault="00681463">
      <w:pPr>
        <w:pStyle w:val="BodyText"/>
        <w:ind w:right="843"/>
      </w:pPr>
      <w:r>
        <w:t>This chapter discusses administrative policies and practices that are relevant to the activities covered in this plan. The policies are discussed in seven parts as described below:</w:t>
      </w:r>
    </w:p>
    <w:p w:rsidR="004E13A5" w:rsidRDefault="00681463">
      <w:pPr>
        <w:pStyle w:val="BodyText"/>
        <w:ind w:left="820"/>
      </w:pPr>
      <w:r>
        <w:rPr>
          <w:u w:val="single"/>
        </w:rPr>
        <w:t>Part I: Administrative Fee Reserve</w:t>
      </w:r>
      <w:r>
        <w:t>. This part describes the PHA’s policies with regard to oversight of expenditures from its administrative fee reserve.</w:t>
      </w:r>
    </w:p>
    <w:p w:rsidR="004E13A5" w:rsidRDefault="00681463">
      <w:pPr>
        <w:pStyle w:val="BodyText"/>
        <w:ind w:left="820" w:right="183"/>
      </w:pPr>
      <w:r>
        <w:rPr>
          <w:u w:val="single"/>
        </w:rPr>
        <w:t xml:space="preserve">Part II: Setting Program Standards and Schedules. </w:t>
      </w:r>
      <w:r>
        <w:t>This part describes what payment standards are, and how they are updated, as well as how utility allowances are established and revised.</w:t>
      </w:r>
    </w:p>
    <w:p w:rsidR="004E13A5" w:rsidRDefault="00681463">
      <w:pPr>
        <w:pStyle w:val="BodyText"/>
        <w:spacing w:before="120"/>
        <w:ind w:left="820" w:right="102"/>
      </w:pPr>
      <w:r>
        <w:rPr>
          <w:u w:val="single"/>
        </w:rPr>
        <w:t>Part III: Informal Reviews and Hearings</w:t>
      </w:r>
      <w:r>
        <w:t>. This part outlines the requirements and procedures for informal reviews and hearings, and for informal hearings regarding citizenship status.</w:t>
      </w:r>
    </w:p>
    <w:p w:rsidR="004E13A5" w:rsidRDefault="00681463">
      <w:pPr>
        <w:pStyle w:val="BodyText"/>
        <w:spacing w:before="120"/>
        <w:ind w:left="820" w:right="183"/>
      </w:pPr>
      <w:r>
        <w:rPr>
          <w:u w:val="single"/>
        </w:rPr>
        <w:t>Part IV: Owner or Family Debts to the PHA</w:t>
      </w:r>
      <w:r>
        <w:t>. This part describes policies for recovery of monies that the PHA has overpaid on behalf of families, or to owners, and describes the circumstances under which the PHA will offer repayment agreements to owners and families. Also discussed are the consequences for failure to make payments in accordance with a repayment agreement.</w:t>
      </w:r>
    </w:p>
    <w:p w:rsidR="004E13A5" w:rsidRDefault="00681463">
      <w:pPr>
        <w:pStyle w:val="BodyText"/>
        <w:spacing w:before="120"/>
        <w:ind w:left="820" w:right="88"/>
      </w:pPr>
      <w:r>
        <w:rPr>
          <w:u w:val="single"/>
        </w:rPr>
        <w:t>Part V: Section 8 Management Assessment Program (SEMAP)</w:t>
      </w:r>
      <w:r>
        <w:t>. This part describes what the SEMAP scores represent, how they are established, and how those scores affect a PHA.</w:t>
      </w:r>
    </w:p>
    <w:p w:rsidR="004E13A5" w:rsidRDefault="00681463">
      <w:pPr>
        <w:pStyle w:val="BodyText"/>
        <w:spacing w:before="120"/>
        <w:ind w:left="820" w:right="702"/>
      </w:pPr>
      <w:r>
        <w:rPr>
          <w:u w:val="single"/>
        </w:rPr>
        <w:t>Part VI: Record-Keeping</w:t>
      </w:r>
      <w:r>
        <w:t>. All aspects of the program involve certain types of record- keeping. This part outlines the privacy rights of applicants and participants and record retention policies the PHA will follow.</w:t>
      </w:r>
    </w:p>
    <w:p w:rsidR="004E13A5" w:rsidRDefault="00681463">
      <w:pPr>
        <w:pStyle w:val="BodyText"/>
        <w:spacing w:before="120"/>
        <w:ind w:left="820" w:right="113"/>
      </w:pPr>
      <w:r>
        <w:rPr>
          <w:u w:val="single"/>
        </w:rPr>
        <w:t>Part VII: Reporting and Record Keeping for Children with Elevated Blood Lead Level</w:t>
      </w:r>
      <w:r>
        <w:t>. This part describes the PHA’s responsibilities for reporting, data collection, and record keeping relative to children with elevated blood lead levels that are less than six years of age, and are receiving HCV</w:t>
      </w:r>
      <w:r>
        <w:rPr>
          <w:spacing w:val="-10"/>
        </w:rPr>
        <w:t xml:space="preserve"> </w:t>
      </w:r>
      <w:r>
        <w:t>assistance.</w:t>
      </w:r>
    </w:p>
    <w:p w:rsidR="004E13A5" w:rsidRDefault="00681463">
      <w:pPr>
        <w:pStyle w:val="BodyText"/>
        <w:spacing w:before="120"/>
        <w:ind w:left="820" w:right="172"/>
        <w:jc w:val="both"/>
      </w:pPr>
      <w:r>
        <w:rPr>
          <w:u w:val="single"/>
        </w:rPr>
        <w:t>Part VIII: Determination of Insufficient Funding</w:t>
      </w:r>
      <w:r>
        <w:t>. This part describes the PHA’s policies for determining if there is sufficient funding to issue vouchers, to approve moves to higher cost units or areas, and to continue assistance for all participant families.</w:t>
      </w:r>
    </w:p>
    <w:p w:rsidR="004E13A5" w:rsidRDefault="00681463">
      <w:pPr>
        <w:pStyle w:val="BodyText"/>
        <w:spacing w:before="120"/>
        <w:ind w:left="820" w:right="442"/>
      </w:pPr>
      <w:r>
        <w:rPr>
          <w:u w:val="single"/>
        </w:rPr>
        <w:t>Part IX: Violence against Women Act (VAWA): Notification, Documentation, And Confidentiality</w:t>
      </w:r>
      <w:r>
        <w:t>. This part contains key terms used in VAWA and describes requirements related to notifying families and owners about their rights and responsibilities under VAWA; requesting documentation from victims of domestic violence, dating violence, sexual assault, and stalking; and maintaining the confidentiality of information obtained from victims.</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Heading4"/>
        <w:spacing w:before="79"/>
        <w:ind w:left="1559"/>
      </w:pPr>
      <w:bookmarkStart w:id="273" w:name="_TOC_250156"/>
      <w:bookmarkEnd w:id="273"/>
      <w:r>
        <w:lastRenderedPageBreak/>
        <w:t>PART I: ADMINISTRATIVE FEE RESERVE [24 CFR 982.155]</w:t>
      </w:r>
    </w:p>
    <w:p w:rsidR="004E13A5" w:rsidRDefault="00681463">
      <w:pPr>
        <w:pStyle w:val="BodyText"/>
        <w:spacing w:before="120"/>
        <w:ind w:right="150"/>
      </w:pPr>
      <w:r>
        <w:t>The PHA will maintain administrative fee reserves, or unrestricted net position (UNP) for the program to pay program administrative expenses in excess of administrative fees paid by HUD for a PHA fiscal year. HUD appropriations acts beginning with FFY 2004 have specified that administrative fee funding may be used only for activities related to the provision of HCV assistance, including related development activities. Notice PIH 2012-9 cites two examples of related development activities: unit modification for accessibility purposes and development of project-based voucher units. The notice makes clear that other activities may also qualify as related development activities. Administrative fees that remain in the UNP account from funding provided prior to 2004 may be used for “other housing purposes permitted by state and local law,” in accordance with 24 CFR 982.155(b)(1).</w:t>
      </w:r>
    </w:p>
    <w:p w:rsidR="004E13A5" w:rsidRDefault="00681463">
      <w:pPr>
        <w:pStyle w:val="BodyText"/>
        <w:spacing w:before="139"/>
        <w:ind w:right="135"/>
      </w:pPr>
      <w:r>
        <w:t>In addition, as specified in Notice PIH 2022-18, PHAs may use administrative fee funding for both administrative and “other expenses” needed to employ strategies and undertake activities beyond regular administrative responsibilities to facilitate the successful leasing and use of housing choice vouchers by families, such as through the use of security deposit assistance and landlord recruitment and incentive payments, among other allowable expenses specified in the notice. PHAs are also permitted to use UNP for these expenses [Notice PIH 2022-18].</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BodyText"/>
        <w:spacing w:before="0"/>
        <w:ind w:right="88"/>
      </w:pPr>
      <w:r>
        <w:t>If a PHA has not adequately administered its HCV program, HUD may prohibit use of funds in the UNP Account and may direct the PHA to use funds in that account to improve administration of the program, for HCV HAP expenses, or to reimburse ineligible expenses in accordance with the regulation at 24 CFR 982.155(b)(3).</w:t>
      </w:r>
    </w:p>
    <w:p w:rsidR="004E13A5" w:rsidRDefault="00681463">
      <w:pPr>
        <w:pStyle w:val="BodyText"/>
        <w:ind w:right="741"/>
      </w:pPr>
      <w:r>
        <w:t>HUD requires the PHA Board of Commissioners or other authorized officials to establish the maximum amount that may be charged against the UNP account without specific approval.</w:t>
      </w:r>
    </w:p>
    <w:p w:rsidR="004E13A5" w:rsidRDefault="00681463">
      <w:pPr>
        <w:pStyle w:val="BodyText"/>
        <w:ind w:left="820"/>
      </w:pPr>
      <w:r>
        <w:rPr>
          <w:u w:val="single"/>
        </w:rPr>
        <w:t>PHA Policy</w:t>
      </w:r>
    </w:p>
    <w:p w:rsidR="004E13A5" w:rsidRDefault="00681463">
      <w:pPr>
        <w:pStyle w:val="BodyText"/>
        <w:ind w:left="820" w:right="183"/>
      </w:pPr>
      <w:r>
        <w:t>Expenditures from the UNP account will be made in accordance with all applicable federal requirements. Expenditures will not exceed $10,000 per occurrence without the prior approval of the PHA’s Board of Commissioners.</w:t>
      </w:r>
    </w:p>
    <w:p w:rsidR="004E13A5" w:rsidRDefault="00681463">
      <w:pPr>
        <w:pStyle w:val="Heading4"/>
        <w:spacing w:before="5" w:line="510" w:lineRule="atLeast"/>
        <w:ind w:right="1373" w:firstLine="1271"/>
      </w:pPr>
      <w:r>
        <w:t>PART II: SETTING PROGRAM STANDARDS AND SCHEDULES 16-II.A. OVERVIEW</w:t>
      </w:r>
    </w:p>
    <w:p w:rsidR="004E13A5" w:rsidRDefault="00681463">
      <w:pPr>
        <w:pStyle w:val="BodyText"/>
        <w:ind w:right="422"/>
      </w:pPr>
      <w:r>
        <w:t>Although many of the program’s requirements are established centrally by HUD, the HCV program’s regulations recognize that some flexibility is required to allow the PHA to adapt the program to local conditions. This part discusses how the PHA establishes and updates certain schedules and standards that are used to administer the program locally. Details about how these schedules are applied to individual families are provided in other chapters. The schedules and standards discussed here include:</w:t>
      </w:r>
    </w:p>
    <w:p w:rsidR="004E13A5" w:rsidRDefault="00681463">
      <w:pPr>
        <w:pStyle w:val="ListParagraph"/>
        <w:numPr>
          <w:ilvl w:val="0"/>
          <w:numId w:val="93"/>
        </w:numPr>
        <w:tabs>
          <w:tab w:val="left" w:pos="460"/>
          <w:tab w:val="left" w:pos="461"/>
        </w:tabs>
        <w:ind w:right="416"/>
        <w:rPr>
          <w:rFonts w:ascii="Symbol"/>
          <w:sz w:val="24"/>
        </w:rPr>
      </w:pPr>
      <w:r>
        <w:rPr>
          <w:i/>
          <w:sz w:val="24"/>
        </w:rPr>
        <w:t>Payment Standards</w:t>
      </w:r>
      <w:r>
        <w:rPr>
          <w:sz w:val="24"/>
        </w:rPr>
        <w:t>, which dictate the maximum subsidy a family can receive (application</w:t>
      </w:r>
      <w:r>
        <w:rPr>
          <w:spacing w:val="-17"/>
          <w:sz w:val="24"/>
        </w:rPr>
        <w:t xml:space="preserve"> </w:t>
      </w:r>
      <w:r>
        <w:rPr>
          <w:sz w:val="24"/>
        </w:rPr>
        <w:t>of the payment standards is discussed in Chapter 6);</w:t>
      </w:r>
      <w:r>
        <w:rPr>
          <w:spacing w:val="-8"/>
          <w:sz w:val="24"/>
        </w:rPr>
        <w:t xml:space="preserve"> </w:t>
      </w:r>
      <w:r>
        <w:rPr>
          <w:sz w:val="24"/>
        </w:rPr>
        <w:t>and</w:t>
      </w:r>
    </w:p>
    <w:p w:rsidR="004E13A5" w:rsidRDefault="00681463">
      <w:pPr>
        <w:pStyle w:val="ListParagraph"/>
        <w:numPr>
          <w:ilvl w:val="0"/>
          <w:numId w:val="93"/>
        </w:numPr>
        <w:tabs>
          <w:tab w:val="left" w:pos="460"/>
          <w:tab w:val="left" w:pos="461"/>
        </w:tabs>
        <w:ind w:right="476"/>
        <w:rPr>
          <w:rFonts w:ascii="Symbol" w:hAnsi="Symbol"/>
          <w:sz w:val="24"/>
        </w:rPr>
      </w:pPr>
      <w:r>
        <w:rPr>
          <w:i/>
          <w:sz w:val="24"/>
        </w:rPr>
        <w:t>Utility Allowances</w:t>
      </w:r>
      <w:r>
        <w:rPr>
          <w:sz w:val="24"/>
        </w:rPr>
        <w:t>, which specify how a family’s payment should be adjusted to account</w:t>
      </w:r>
      <w:r>
        <w:rPr>
          <w:spacing w:val="-16"/>
          <w:sz w:val="24"/>
        </w:rPr>
        <w:t xml:space="preserve"> </w:t>
      </w:r>
      <w:r>
        <w:rPr>
          <w:sz w:val="24"/>
        </w:rPr>
        <w:t>for tenant-paid utilities (application of utility allowances is discussed in Chapter</w:t>
      </w:r>
      <w:r>
        <w:rPr>
          <w:spacing w:val="-20"/>
          <w:sz w:val="24"/>
        </w:rPr>
        <w:t xml:space="preserve"> </w:t>
      </w:r>
      <w:r>
        <w:rPr>
          <w:sz w:val="24"/>
        </w:rPr>
        <w:t>6).</w:t>
      </w:r>
    </w:p>
    <w:p w:rsidR="004E13A5" w:rsidRDefault="00681463">
      <w:pPr>
        <w:pStyle w:val="BodyText"/>
        <w:rPr>
          <w:rFonts w:ascii="Symbol" w:hAnsi="Symbol"/>
        </w:rPr>
      </w:pPr>
      <w:r>
        <w:rPr>
          <w:rFonts w:ascii="Symbol" w:hAnsi="Symbol"/>
        </w:rPr>
        <w:t></w:t>
      </w:r>
    </w:p>
    <w:p w:rsidR="004E13A5" w:rsidRDefault="004E13A5">
      <w:pPr>
        <w:rPr>
          <w:rFonts w:ascii="Symbol" w:hAnsi="Symbol"/>
        </w:rPr>
        <w:sectPr w:rsidR="004E13A5">
          <w:pgSz w:w="12240" w:h="15840"/>
          <w:pgMar w:top="1240" w:right="122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116"/>
      </w:pPr>
      <w:r>
        <w:t>Copies of the payment standard and utility allowance schedules are available for review in the PHA’s offices during normal business hours.</w:t>
      </w:r>
    </w:p>
    <w:p w:rsidR="004E13A5" w:rsidRDefault="00681463">
      <w:pPr>
        <w:pStyle w:val="BodyText"/>
        <w:ind w:left="820" w:right="655"/>
      </w:pPr>
      <w:r>
        <w:t>Families, owners, and members of the public may submit written comments on the schedules discussed in this part, at any time, for consideration during the next revision cycle.</w:t>
      </w:r>
    </w:p>
    <w:p w:rsidR="004E13A5" w:rsidRDefault="00681463">
      <w:pPr>
        <w:pStyle w:val="BodyText"/>
        <w:ind w:left="820" w:right="368"/>
      </w:pPr>
      <w:r>
        <w:t>The PHA will maintain documentation to support its annual review of payment standards and utility allowance schedules. This documentation will be retained for at least 3 years.</w:t>
      </w:r>
    </w:p>
    <w:p w:rsidR="004E13A5" w:rsidRDefault="00681463">
      <w:pPr>
        <w:pStyle w:val="BodyText"/>
      </w:pPr>
      <w:r>
        <w:t>Establishing and updating the PHA passbook rate, which is used to calculate imputed income from assets, is covered in Chapter 6 (see Section 6-I.G.).</w:t>
      </w:r>
    </w:p>
    <w:p w:rsidR="004E13A5" w:rsidRDefault="004E13A5">
      <w:pPr>
        <w:pStyle w:val="BodyText"/>
        <w:spacing w:before="9"/>
        <w:ind w:left="0"/>
        <w:rPr>
          <w:sz w:val="20"/>
        </w:rPr>
      </w:pPr>
    </w:p>
    <w:p w:rsidR="004E13A5" w:rsidRDefault="00681463">
      <w:pPr>
        <w:pStyle w:val="Heading4"/>
      </w:pPr>
      <w:bookmarkStart w:id="274" w:name="_TOC_250155"/>
      <w:bookmarkEnd w:id="274"/>
      <w:r>
        <w:t>16-II.B. PAYMENT STANDARDS [24 CFR 982.503; HCV GB, Chapter 7]</w:t>
      </w:r>
    </w:p>
    <w:p w:rsidR="004E13A5" w:rsidRDefault="00681463">
      <w:pPr>
        <w:pStyle w:val="BodyText"/>
        <w:spacing w:before="120"/>
        <w:ind w:right="112"/>
      </w:pPr>
      <w:r>
        <w:t>The payment standard sets the maximum subsidy payment a family can receive from the PHA each month [24 CFR 982.505(a)]. Payment standards are based on fair market rents (FMRs) published annually by HUD. FMRs are set at a percentile within the rent distribution of standard quality rental housing units in each FMR area. For most jurisdictions FMRs are set at the 40th percentile</w:t>
      </w:r>
      <w:r>
        <w:rPr>
          <w:spacing w:val="-17"/>
        </w:rPr>
        <w:t xml:space="preserve"> </w:t>
      </w:r>
      <w:r>
        <w:t>of rents in the market</w:t>
      </w:r>
      <w:r>
        <w:rPr>
          <w:spacing w:val="-5"/>
        </w:rPr>
        <w:t xml:space="preserve"> </w:t>
      </w:r>
      <w:r>
        <w:t>area.</w:t>
      </w:r>
    </w:p>
    <w:p w:rsidR="004E13A5" w:rsidRDefault="00681463">
      <w:pPr>
        <w:pStyle w:val="BodyText"/>
        <w:ind w:right="89"/>
      </w:pPr>
      <w:r>
        <w:t>The PHA must establish a payment standard schedule that establishes payment standard amounts for each FMR area within the PHA’s jurisdiction, and for each unit size within each of the FMR areas. For each unit size, the PHA may establish a single payment standard amount for the whole FMR area, or may set different payment standards for different parts of the FMR area. Unless HUD grants an exception, the PHA is required to establish a payment standard within a “basic range” established by HUD – between 90 and 110 percent of the published FMR for each unit size.</w:t>
      </w:r>
    </w:p>
    <w:p w:rsidR="004E13A5" w:rsidRDefault="00681463">
      <w:pPr>
        <w:pStyle w:val="Heading4"/>
        <w:spacing w:before="119"/>
      </w:pPr>
      <w:bookmarkStart w:id="275" w:name="_TOC_250154"/>
      <w:bookmarkEnd w:id="275"/>
      <w:r>
        <w:t>Updating Payment Standards</w:t>
      </w:r>
    </w:p>
    <w:p w:rsidR="004E13A5" w:rsidRDefault="00681463">
      <w:pPr>
        <w:pStyle w:val="BodyText"/>
        <w:spacing w:before="120"/>
      </w:pPr>
      <w:r>
        <w:t>When HUD updates its FMRs, the PHA must update its payment standards if the standards are no longer within the basic range [24 CFR 982.503(b)]. HUD may require the PHA to make further adjustments if it determines that rent burdens for assisted families in the PHA’s jurisdiction are unacceptably high [24 CFR 982.503(g)].</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review the appropriateness of the payment standards on an annual basis when the new FMR is published, and at other times as determined necessary. In addition to ensuring the payment standards are always within the “basic range” the PHA will consider the following factors when determining whether an adjustment should be made to the payment standard schedule:</w:t>
      </w:r>
    </w:p>
    <w:p w:rsidR="004E13A5" w:rsidRDefault="00681463">
      <w:pPr>
        <w:pStyle w:val="BodyText"/>
        <w:spacing w:before="120"/>
        <w:ind w:left="1540" w:right="282"/>
      </w:pPr>
      <w:r>
        <w:rPr>
          <w:b/>
        </w:rPr>
        <w:t>Funding Availability</w:t>
      </w:r>
      <w:r>
        <w:t>: The PHA will review the budget to determine the impact projected subsidy adjustments will have on funding available for the program and the number of families served. The PHA will compare the number of families who could be served under revised payment standard amounts with the number assisted under current payment standard amounts.</w:t>
      </w:r>
    </w:p>
    <w:p w:rsidR="004E13A5" w:rsidRDefault="00681463">
      <w:pPr>
        <w:pStyle w:val="BodyText"/>
        <w:spacing w:before="120"/>
        <w:ind w:left="1540" w:right="82"/>
      </w:pPr>
      <w:r>
        <w:rPr>
          <w:b/>
        </w:rPr>
        <w:t xml:space="preserve">Rent Burden of Participating Families: </w:t>
      </w:r>
      <w:r>
        <w:t>Rent burden will be determined by identifying the percentage of families, for each unit size, that are paying more than 30 percent of their monthly adjusted income as the family share. When 40 percent or more of families, for any given unit size, are paying more than 30 percent of</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1540"/>
      </w:pPr>
      <w:r>
        <w:lastRenderedPageBreak/>
        <w:t>adjusted monthly income as the family share, the PHA will consider increasing the payment standard. In evaluating rent burdens, the PHA will not include families renting a larger unit than their family unit size.</w:t>
      </w:r>
    </w:p>
    <w:p w:rsidR="004E13A5" w:rsidRDefault="00681463">
      <w:pPr>
        <w:pStyle w:val="BodyText"/>
        <w:spacing w:before="120"/>
        <w:ind w:left="1540" w:right="269"/>
      </w:pPr>
      <w:r>
        <w:rPr>
          <w:b/>
        </w:rPr>
        <w:t>Quality of Units Selected</w:t>
      </w:r>
      <w:r>
        <w:t>: The PHA may review the quality of units selected by participant families when making the determination of the percent of income families are paying for housing, to ensure that payment standard increases are only made when needed to reach the mid-range of the market.</w:t>
      </w:r>
    </w:p>
    <w:p w:rsidR="004E13A5" w:rsidRDefault="00681463">
      <w:pPr>
        <w:pStyle w:val="BodyText"/>
        <w:spacing w:before="120"/>
        <w:ind w:left="1540" w:right="643"/>
      </w:pPr>
      <w:r>
        <w:rPr>
          <w:b/>
        </w:rPr>
        <w:t>Changes in Rent to Owner</w:t>
      </w:r>
      <w:r>
        <w:t>: The PHA may review a sample of the units to determine how often owners are increasing or decreasing rents and the average percent of increases/decreases by bedroom size.</w:t>
      </w:r>
    </w:p>
    <w:p w:rsidR="004E13A5" w:rsidRDefault="00681463">
      <w:pPr>
        <w:pStyle w:val="BodyText"/>
        <w:spacing w:before="120"/>
        <w:ind w:left="1540" w:right="281"/>
      </w:pPr>
      <w:r>
        <w:rPr>
          <w:b/>
        </w:rPr>
        <w:t xml:space="preserve">Unit Availability: </w:t>
      </w:r>
      <w:r>
        <w:t>The PHA may</w:t>
      </w:r>
      <w:r w:rsidR="00B75199">
        <w:t xml:space="preserve"> </w:t>
      </w:r>
      <w:r>
        <w:t>review the availability of units for each unit size, particularly in areas with low concentrations of poor and minority families.</w:t>
      </w:r>
    </w:p>
    <w:p w:rsidR="004E13A5" w:rsidRDefault="00681463">
      <w:pPr>
        <w:pStyle w:val="BodyText"/>
        <w:spacing w:before="120"/>
        <w:ind w:left="1540" w:right="449"/>
      </w:pPr>
      <w:r>
        <w:rPr>
          <w:b/>
        </w:rPr>
        <w:t>Lease-up Time and Success Rate</w:t>
      </w:r>
      <w:r>
        <w:t>: The PHA may</w:t>
      </w:r>
      <w:r w:rsidR="00B75199">
        <w:t xml:space="preserve"> </w:t>
      </w:r>
      <w:r>
        <w:t>consider the percentage of families that are unable to locate suitable housing before the voucher expires and whether families are leaving the jurisdiction to find affordable housing.</w:t>
      </w:r>
    </w:p>
    <w:p w:rsidR="004E13A5" w:rsidRDefault="00681463">
      <w:pPr>
        <w:pStyle w:val="BodyText"/>
        <w:ind w:left="820" w:right="254"/>
      </w:pPr>
      <w:r>
        <w:t xml:space="preserve">Effective dates of changes to payment standard amounts will be determined at the </w:t>
      </w:r>
      <w:r w:rsidR="00B75199">
        <w:t>time</w:t>
      </w:r>
      <w:r>
        <w:t xml:space="preserve"> of FMR updates. The PHA will always ensure the payment standards will be within the basic range.</w:t>
      </w:r>
    </w:p>
    <w:p w:rsidR="004E13A5" w:rsidRDefault="00681463">
      <w:pPr>
        <w:pStyle w:val="Heading4"/>
        <w:spacing w:before="119"/>
      </w:pPr>
      <w:r>
        <w:t>Exception Payment Standards [24 CFR 982.503(c)(5), Notice PIH 2018-01, FR Notice 9/27/21]</w:t>
      </w:r>
    </w:p>
    <w:p w:rsidR="004E13A5" w:rsidRDefault="00681463">
      <w:pPr>
        <w:pStyle w:val="BodyText"/>
        <w:ind w:right="175"/>
      </w:pPr>
      <w:r>
        <w:t xml:space="preserve">A non-SAFMR PHA may establish an exception payment standard for a zip code area of up to and including 110 percent of the SAFMR determined by HUD for that zip code area. Regardless of the level of the exception payment standard compared to the metropolitan area FMRs (MAFMRs), the PHA must send an email to </w:t>
      </w:r>
      <w:hyperlink r:id="rId47">
        <w:r>
          <w:rPr>
            <w:color w:val="0000FF"/>
            <w:u w:val="single" w:color="0000FF"/>
          </w:rPr>
          <w:t xml:space="preserve">SAFMRs@hud.gov </w:t>
        </w:r>
      </w:hyperlink>
      <w:r>
        <w:t>to notify HUD that it has adopted an exception payment standard based on the SAFMR. A PHA that adopts an exception payment standard pursuant to this authority must apply it to the entire ZIP code area, for both its HCV, and if applicable, its PBV program. For the PBV program, this means that the rent to owner may not exceed the new exception payment standard amount, provided the rent is still reasonable. A PHA that adopts an exception payment standard area must revise its briefing materials to make families aware of the exception payment standard and the area that it covers.</w:t>
      </w:r>
    </w:p>
    <w:p w:rsidR="004E13A5" w:rsidRDefault="00681463">
      <w:pPr>
        <w:pStyle w:val="BodyText"/>
        <w:spacing w:before="139"/>
        <w:ind w:right="254"/>
      </w:pPr>
      <w:r>
        <w:t>In addition, HUD allows PHAs to establish a HUD-Veterans Affairs Supportive Housing (HUD- VASH) exception payment standard. PHAs may go up to but no higher than 120 percent of the FMR or SAFMR specifically for VASH families. PHAs who want to establish a VASH exception payment standard over 120 percent must still request a waiver from HUD (See Section 19-III.E.).</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Heading4"/>
      </w:pPr>
      <w:r>
        <w:t>Voluntary Use of Small Area FMRs [24 CFR 982.503, Notice PIH 2018-01]</w:t>
      </w:r>
    </w:p>
    <w:p w:rsidR="004E13A5" w:rsidRDefault="00681463">
      <w:pPr>
        <w:pStyle w:val="BodyText"/>
        <w:spacing w:before="120"/>
        <w:ind w:right="794"/>
      </w:pPr>
      <w:r>
        <w:t>PHAs that administer vouchers in a metropolitan area where the adoption of SAFMRs is not required may request approval from HUD to voluntarily adopt SAFMRs. SAFMRs may be voluntarily adopted for one or more zip code areas.</w:t>
      </w:r>
    </w:p>
    <w:p w:rsidR="004E13A5" w:rsidRDefault="00681463">
      <w:pPr>
        <w:pStyle w:val="BodyText"/>
        <w:ind w:left="820"/>
      </w:pPr>
      <w:r>
        <w:rPr>
          <w:u w:val="single"/>
        </w:rPr>
        <w:t>PHA Policy</w:t>
      </w:r>
    </w:p>
    <w:p w:rsidR="004E13A5" w:rsidRDefault="00681463">
      <w:pPr>
        <w:pStyle w:val="BodyText"/>
        <w:ind w:left="820" w:right="734"/>
      </w:pPr>
      <w:r>
        <w:t>The PHA will not voluntarily adopt the use of SAFMRs except to establish exception payment standards in certain zip code areas.</w:t>
      </w:r>
    </w:p>
    <w:p w:rsidR="004E13A5" w:rsidRDefault="004E13A5">
      <w:pPr>
        <w:sectPr w:rsidR="004E13A5">
          <w:pgSz w:w="12240" w:h="15840"/>
          <w:pgMar w:top="1000" w:right="1240" w:bottom="1240" w:left="1220" w:header="0" w:footer="998" w:gutter="0"/>
          <w:cols w:space="720"/>
        </w:sectPr>
      </w:pPr>
    </w:p>
    <w:p w:rsidR="004E13A5" w:rsidRDefault="00681463">
      <w:pPr>
        <w:pStyle w:val="Heading4"/>
        <w:spacing w:before="79"/>
      </w:pPr>
      <w:r>
        <w:lastRenderedPageBreak/>
        <w:t>Unit-by-Unit Exceptions [24 CFR 982.503(b), 24 CFR 982.505(d), Notice PIH 2010-26]</w:t>
      </w:r>
    </w:p>
    <w:p w:rsidR="004E13A5" w:rsidRDefault="00681463">
      <w:pPr>
        <w:pStyle w:val="BodyText"/>
        <w:spacing w:before="120"/>
      </w:pPr>
      <w:r>
        <w:t>Unit-by-unit exceptions to the PHA’s payment standards generally are not permitted. However, an exception may be made as a reasonable accommodation for a family that includes a person with disabilities. (See Chapter 2 for a discussion of reasonable accommodations.) This type of exception does not affect the PHA’s payment standard schedule.</w:t>
      </w:r>
    </w:p>
    <w:p w:rsidR="004E13A5" w:rsidRDefault="00681463">
      <w:pPr>
        <w:pStyle w:val="BodyText"/>
        <w:ind w:right="128"/>
      </w:pPr>
      <w:r>
        <w:t>When needed as a reasonable accommodation, the PHA may make an exception to the payment standard without HUD approval if the exception amount does not exceed 120 percent of the applicable FMR for the unit size [24 CFR 982.503(b)]. The PHA may request HUD approval for an exception to the payment standard for a particular family if the required amount exceeds 120 percent of the FMR.</w:t>
      </w:r>
    </w:p>
    <w:p w:rsidR="004E13A5" w:rsidRDefault="00681463">
      <w:pPr>
        <w:pStyle w:val="BodyText"/>
        <w:ind w:left="820"/>
      </w:pPr>
      <w:r>
        <w:rPr>
          <w:u w:val="single"/>
        </w:rPr>
        <w:t>PHA Policy</w:t>
      </w:r>
    </w:p>
    <w:p w:rsidR="004E13A5" w:rsidRDefault="00681463">
      <w:pPr>
        <w:pStyle w:val="BodyText"/>
        <w:ind w:left="820" w:right="196"/>
      </w:pPr>
      <w:r>
        <w:t>A family that requires a reasonable accommodation may request a higher payment standard at the time the Request for Tenancy Approval (RFTA) is submitted. The family must document the need for the exception. In order to approve an exception, or request an exception from HUD, the PHA must determine that:</w:t>
      </w:r>
    </w:p>
    <w:p w:rsidR="004E13A5" w:rsidRDefault="00681463">
      <w:pPr>
        <w:pStyle w:val="BodyText"/>
        <w:ind w:left="1540"/>
      </w:pPr>
      <w:r>
        <w:t>There is a shortage of affordable units that would be appropriate for the family;</w:t>
      </w:r>
    </w:p>
    <w:p w:rsidR="004E13A5" w:rsidRDefault="00681463">
      <w:pPr>
        <w:pStyle w:val="BodyText"/>
        <w:ind w:left="1540" w:right="275"/>
      </w:pPr>
      <w:r>
        <w:t>The family's TTP would otherwise exceed 40 percent of adjusted monthly income; and</w:t>
      </w:r>
    </w:p>
    <w:p w:rsidR="004E13A5" w:rsidRDefault="00681463">
      <w:pPr>
        <w:pStyle w:val="BodyText"/>
        <w:ind w:left="1540"/>
      </w:pPr>
      <w:r>
        <w:t>The rent for the unit is reasonable.</w:t>
      </w:r>
    </w:p>
    <w:p w:rsidR="004E13A5" w:rsidRDefault="00681463">
      <w:pPr>
        <w:pStyle w:val="Heading4"/>
        <w:spacing w:before="119"/>
      </w:pPr>
      <w:r>
        <w:t>"Success Rate" Payment Standard Amounts [24 CFR 982.503(e)]</w:t>
      </w:r>
    </w:p>
    <w:p w:rsidR="004E13A5" w:rsidRDefault="00681463">
      <w:pPr>
        <w:pStyle w:val="BodyText"/>
        <w:spacing w:before="121" w:line="237" w:lineRule="auto"/>
        <w:ind w:right="101"/>
      </w:pPr>
      <w:r>
        <w:t>If a substantial percentage of families have difficulty finding a suitable unit, the PHA may request a “success rate payment standard” that applies to the entire jurisdiction. If approved by HUD, a success rate payment standard allows the PHA to set its payment standards at 90-110 percent of a higher FMR (the 50</w:t>
      </w:r>
      <w:r>
        <w:rPr>
          <w:position w:val="9"/>
          <w:sz w:val="16"/>
        </w:rPr>
        <w:t>th</w:t>
      </w:r>
      <w:r>
        <w:t>, rather than the 40</w:t>
      </w:r>
      <w:r>
        <w:rPr>
          <w:position w:val="9"/>
          <w:sz w:val="16"/>
        </w:rPr>
        <w:t xml:space="preserve">th </w:t>
      </w:r>
      <w:r>
        <w:t>percentile FMR). To support the request, the PHA must demonstrate that during the most recent 6-month period for which information is available:</w:t>
      </w:r>
    </w:p>
    <w:p w:rsidR="004E13A5" w:rsidRDefault="00681463">
      <w:pPr>
        <w:pStyle w:val="ListParagraph"/>
        <w:numPr>
          <w:ilvl w:val="0"/>
          <w:numId w:val="93"/>
        </w:numPr>
        <w:tabs>
          <w:tab w:val="left" w:pos="460"/>
          <w:tab w:val="left" w:pos="461"/>
        </w:tabs>
        <w:rPr>
          <w:rFonts w:ascii="Symbol"/>
          <w:sz w:val="24"/>
        </w:rPr>
      </w:pPr>
      <w:r>
        <w:rPr>
          <w:sz w:val="24"/>
        </w:rPr>
        <w:t>Fewer than 75 percent of families who were issued vouchers became</w:t>
      </w:r>
      <w:r>
        <w:rPr>
          <w:spacing w:val="-9"/>
          <w:sz w:val="24"/>
        </w:rPr>
        <w:t xml:space="preserve"> </w:t>
      </w:r>
      <w:r>
        <w:rPr>
          <w:sz w:val="24"/>
        </w:rPr>
        <w:t>participants;</w:t>
      </w:r>
    </w:p>
    <w:p w:rsidR="004E13A5" w:rsidRDefault="00681463">
      <w:pPr>
        <w:pStyle w:val="ListParagraph"/>
        <w:numPr>
          <w:ilvl w:val="0"/>
          <w:numId w:val="93"/>
        </w:numPr>
        <w:tabs>
          <w:tab w:val="left" w:pos="460"/>
          <w:tab w:val="left" w:pos="461"/>
        </w:tabs>
        <w:spacing w:before="118"/>
        <w:ind w:right="252"/>
        <w:rPr>
          <w:rFonts w:ascii="Symbol"/>
          <w:sz w:val="24"/>
        </w:rPr>
      </w:pPr>
      <w:r>
        <w:rPr>
          <w:sz w:val="24"/>
        </w:rPr>
        <w:t>The PHA had established payment standards for all unit sizes, and for the entire jurisdiction,</w:t>
      </w:r>
      <w:r>
        <w:rPr>
          <w:spacing w:val="-18"/>
          <w:sz w:val="24"/>
        </w:rPr>
        <w:t xml:space="preserve"> </w:t>
      </w:r>
      <w:r>
        <w:rPr>
          <w:sz w:val="24"/>
        </w:rPr>
        <w:t>at 110 percent of the published FMR;</w:t>
      </w:r>
      <w:r>
        <w:rPr>
          <w:spacing w:val="-8"/>
          <w:sz w:val="24"/>
        </w:rPr>
        <w:t xml:space="preserve"> </w:t>
      </w:r>
      <w:r>
        <w:rPr>
          <w:sz w:val="24"/>
        </w:rPr>
        <w:t>and</w:t>
      </w:r>
    </w:p>
    <w:p w:rsidR="004E13A5" w:rsidRDefault="00681463">
      <w:pPr>
        <w:pStyle w:val="ListParagraph"/>
        <w:numPr>
          <w:ilvl w:val="0"/>
          <w:numId w:val="93"/>
        </w:numPr>
        <w:tabs>
          <w:tab w:val="left" w:pos="460"/>
          <w:tab w:val="left" w:pos="461"/>
        </w:tabs>
        <w:ind w:right="116"/>
        <w:rPr>
          <w:rFonts w:ascii="Symbol"/>
          <w:sz w:val="24"/>
        </w:rPr>
      </w:pPr>
      <w:r>
        <w:rPr>
          <w:sz w:val="24"/>
        </w:rPr>
        <w:t>The PHA had a policy of allowing voucher holders who made sustained efforts to locate units at least 90 days to search for a</w:t>
      </w:r>
      <w:r>
        <w:rPr>
          <w:spacing w:val="-8"/>
          <w:sz w:val="24"/>
        </w:rPr>
        <w:t xml:space="preserve"> </w:t>
      </w:r>
      <w:r>
        <w:rPr>
          <w:sz w:val="24"/>
        </w:rPr>
        <w:t>unit.</w:t>
      </w:r>
    </w:p>
    <w:p w:rsidR="004E13A5" w:rsidRDefault="00681463">
      <w:pPr>
        <w:pStyle w:val="BodyText"/>
        <w:ind w:right="275"/>
      </w:pPr>
      <w:r>
        <w:t>Although HUD approves the success rate payment standard for all unit sizes in the FMR area, the PHA may choose to adjust the payment standard for only some unit sizes in all, or a designated part, of the PHA’s jurisdiction within the FMR area.</w:t>
      </w:r>
    </w:p>
    <w:p w:rsidR="004E13A5" w:rsidRDefault="00681463">
      <w:pPr>
        <w:pStyle w:val="Heading4"/>
        <w:spacing w:before="120"/>
      </w:pPr>
      <w:r>
        <w:t>Decreases in the Payment Standard below the Basic Range [24 CFR 982.503(d)]</w:t>
      </w:r>
    </w:p>
    <w:p w:rsidR="004E13A5" w:rsidRDefault="00681463">
      <w:pPr>
        <w:pStyle w:val="BodyText"/>
        <w:spacing w:before="120"/>
        <w:ind w:right="102"/>
      </w:pPr>
      <w:r>
        <w:t>The PHA must request HUD approval to establish a payment standard amount that is lower than the basic range. At HUD’s sole discretion, HUD may approve establishment of a payment standard lower than the basic range. HUD will not approve a lower payment standard if the family share for more than 40 percent of program participants exceeds 30 percent of adjusted monthly income.</w:t>
      </w:r>
    </w:p>
    <w:p w:rsidR="004E13A5" w:rsidRDefault="004E13A5">
      <w:pPr>
        <w:sectPr w:rsidR="004E13A5">
          <w:pgSz w:w="12240" w:h="15840"/>
          <w:pgMar w:top="1000" w:right="1200" w:bottom="1240" w:left="1220" w:header="0" w:footer="998" w:gutter="0"/>
          <w:cols w:space="720"/>
        </w:sectPr>
      </w:pPr>
    </w:p>
    <w:p w:rsidR="004E13A5" w:rsidRDefault="00681463">
      <w:pPr>
        <w:pStyle w:val="Heading4"/>
        <w:spacing w:before="79"/>
      </w:pPr>
      <w:bookmarkStart w:id="276" w:name="_TOC_250153"/>
      <w:bookmarkEnd w:id="276"/>
      <w:r>
        <w:lastRenderedPageBreak/>
        <w:t>16-II.C. UTILITY ALLOWANCES [24 CFR 982.517]</w:t>
      </w:r>
    </w:p>
    <w:p w:rsidR="004E13A5" w:rsidRDefault="00681463">
      <w:pPr>
        <w:pStyle w:val="BodyText"/>
        <w:spacing w:before="120"/>
        <w:ind w:right="102"/>
      </w:pPr>
      <w:r>
        <w:t>A PHA-established utility allowance schedule is used in determining family share and PHA subsidy. The PHA must maintain a utility allowance schedule for (1) all tenant-paid utilities, (2) the cost of tenant-supplied refrigerators and ranges, and (3) other tenant-paid housing services such as trash collection.</w:t>
      </w:r>
    </w:p>
    <w:p w:rsidR="004E13A5" w:rsidRDefault="00681463">
      <w:pPr>
        <w:pStyle w:val="BodyText"/>
      </w:pPr>
      <w:r>
        <w:t>The utility allowance schedule must be determined based on the typical cost of utilities and services paid by energy-conservative households that occupy housing of similar size and type in the same locality. In developing the schedule, the PHA must use normal patterns of consumption for the community as a whole, and current utility rates.</w:t>
      </w:r>
    </w:p>
    <w:p w:rsidR="004E13A5" w:rsidRDefault="00681463">
      <w:pPr>
        <w:pStyle w:val="BodyText"/>
        <w:ind w:right="355"/>
      </w:pPr>
      <w:r>
        <w:t>The utility allowance must include the utilities and services that are necessary in the locality to provide housing that complies with housing quality standards. Costs for telephone, cable/satellite television, and internet services are not included in the utility allowance schedule.</w:t>
      </w:r>
    </w:p>
    <w:p w:rsidR="004E13A5" w:rsidRDefault="00681463">
      <w:pPr>
        <w:pStyle w:val="BodyText"/>
        <w:spacing w:before="120"/>
        <w:ind w:right="421"/>
      </w:pPr>
      <w:r>
        <w:t>In the utility allowance schedule, the PHA must classify utilities and other housing services according to the following general categories: space heating; air conditioning; cooking; water heating; water; sewer; trash collection; other electric; cost of tenant-supplied refrigerator; cost of tenant-supplied range; and other specified housing services.</w:t>
      </w:r>
    </w:p>
    <w:p w:rsidR="004E13A5" w:rsidRDefault="00681463">
      <w:pPr>
        <w:pStyle w:val="BodyText"/>
        <w:ind w:right="89"/>
      </w:pPr>
      <w:r>
        <w:t xml:space="preserve">The cost of each utility and housing service must be stated separately by unit size and type. Chapter 18 of the </w:t>
      </w:r>
      <w:r>
        <w:rPr>
          <w:i/>
        </w:rPr>
        <w:t xml:space="preserve">HCV Guidebook </w:t>
      </w:r>
      <w:r>
        <w:t>provides detailed guidance to the PHA about establishing utility allowance schedules.</w:t>
      </w:r>
    </w:p>
    <w:p w:rsidR="004E13A5" w:rsidRDefault="00681463">
      <w:pPr>
        <w:pStyle w:val="Heading4"/>
        <w:spacing w:before="119"/>
      </w:pPr>
      <w:bookmarkStart w:id="277" w:name="_TOC_250152"/>
      <w:bookmarkEnd w:id="277"/>
      <w:r>
        <w:t>Air Conditioning</w:t>
      </w:r>
    </w:p>
    <w:p w:rsidR="004E13A5" w:rsidRDefault="00681463">
      <w:pPr>
        <w:pStyle w:val="BodyText"/>
        <w:ind w:right="183"/>
      </w:pPr>
      <w:r>
        <w:t>An allowance for air-conditioning must be provided when the majority of housing units in the market have central air-conditioning or are wired for tenant-installed air conditioners.</w:t>
      </w:r>
    </w:p>
    <w:p w:rsidR="004E13A5" w:rsidRDefault="00681463">
      <w:pPr>
        <w:pStyle w:val="BodyText"/>
        <w:ind w:left="820"/>
      </w:pPr>
      <w:r>
        <w:rPr>
          <w:u w:val="single"/>
        </w:rPr>
        <w:t>PHA Policy</w:t>
      </w:r>
    </w:p>
    <w:p w:rsidR="004E13A5" w:rsidRDefault="00681463">
      <w:pPr>
        <w:pStyle w:val="BodyText"/>
        <w:spacing w:before="120"/>
        <w:ind w:left="1252" w:right="256"/>
      </w:pPr>
      <w:r>
        <w:t>The majority of housing units in the PHA’s jurisdiction does not include central air- conditioning and is not wired for tenant-installed air conditioners. Therefore, the PHA has not included an allowance for air-conditioning in its utility allowance schedule.</w:t>
      </w:r>
    </w:p>
    <w:p w:rsidR="004E13A5" w:rsidRDefault="00681463">
      <w:pPr>
        <w:pStyle w:val="Heading4"/>
        <w:spacing w:before="139"/>
      </w:pPr>
      <w:bookmarkStart w:id="278" w:name="_TOC_250151"/>
      <w:bookmarkEnd w:id="278"/>
      <w:r>
        <w:t>Reasonable Accommodation</w:t>
      </w:r>
    </w:p>
    <w:p w:rsidR="004E13A5" w:rsidRDefault="00681463">
      <w:pPr>
        <w:pStyle w:val="BodyText"/>
        <w:spacing w:before="120"/>
        <w:ind w:right="136"/>
      </w:pPr>
      <w:r>
        <w:t>HCV program regulations require a PHA to approve a utility allowance amount higher than shown on the PHA’s schedule if a higher allowance is needed as a reasonable accommodation for a family member with a disability. For example, if a family member with a disability requires such an accommodation, the PHA will approve an allowance for air-conditioning, even if the PHA has determined that an allowance for air-conditioning generally is not needed (See Chapter 2 for policies regarding the request and approval of reasonable accommodations).</w:t>
      </w:r>
    </w:p>
    <w:p w:rsidR="004E13A5" w:rsidRDefault="00681463">
      <w:pPr>
        <w:pStyle w:val="Heading4"/>
        <w:spacing w:before="120"/>
      </w:pPr>
      <w:bookmarkStart w:id="279" w:name="_TOC_250150"/>
      <w:bookmarkEnd w:id="279"/>
      <w:r>
        <w:t>Utility Allowance Revisions</w:t>
      </w:r>
    </w:p>
    <w:p w:rsidR="004E13A5" w:rsidRDefault="00681463">
      <w:pPr>
        <w:pStyle w:val="BodyText"/>
        <w:spacing w:before="120"/>
        <w:ind w:right="183"/>
      </w:pPr>
      <w:r>
        <w:t>The PHA must review its schedule of utility allowances each year, and must revise the schedule if there has been a change of 10 percent or more in any utility rate since the last time the allowance for that utility was revised.</w:t>
      </w:r>
    </w:p>
    <w:p w:rsidR="004E13A5" w:rsidRDefault="00681463">
      <w:pPr>
        <w:pStyle w:val="BodyText"/>
        <w:ind w:right="621"/>
      </w:pPr>
      <w:r>
        <w:t>The PHA must maintain information supporting its annual review of utility allowance and any revisions made in its utility allowance schedule.</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ind w:left="2109"/>
      </w:pPr>
      <w:bookmarkStart w:id="280" w:name="_TOC_250149"/>
      <w:bookmarkEnd w:id="280"/>
      <w:r>
        <w:lastRenderedPageBreak/>
        <w:t>PART III: INFORMAL REVIEWS AND HEARINGS</w:t>
      </w:r>
    </w:p>
    <w:p w:rsidR="004E13A5" w:rsidRDefault="004E13A5">
      <w:pPr>
        <w:pStyle w:val="BodyText"/>
        <w:spacing w:before="10"/>
        <w:ind w:left="0"/>
        <w:rPr>
          <w:b/>
          <w:sz w:val="20"/>
        </w:rPr>
      </w:pPr>
    </w:p>
    <w:p w:rsidR="004E13A5" w:rsidRDefault="00681463">
      <w:pPr>
        <w:pStyle w:val="Heading4"/>
      </w:pPr>
      <w:bookmarkStart w:id="281" w:name="_TOC_250148"/>
      <w:bookmarkEnd w:id="281"/>
      <w:r>
        <w:t>16-III.A. OVERVIEW</w:t>
      </w:r>
    </w:p>
    <w:p w:rsidR="004E13A5" w:rsidRDefault="00681463">
      <w:pPr>
        <w:pStyle w:val="BodyText"/>
        <w:ind w:right="109"/>
      </w:pPr>
      <w:r>
        <w:t>Both applicants and participants have the right to disagree with, and appeal, certain decisions of the PHA that may adversely affect them. PHA decisions that may be appealed by applicants and participants are discussed in this section.</w:t>
      </w:r>
    </w:p>
    <w:p w:rsidR="004E13A5" w:rsidRDefault="00681463">
      <w:pPr>
        <w:pStyle w:val="BodyText"/>
        <w:ind w:right="342"/>
      </w:pPr>
      <w:r>
        <w:t>The process for applicant appeals of PHA decisions is called the “informal review.” For participants (or applicants denied admission because of citizenship issues), the appeal process is called an “informal hearing.” PHAs are required to include informal review procedures for applicants and informal hearing procedures for participants in their administrative plans [24 CFR 982.54(d)(12) and (13)].</w:t>
      </w:r>
    </w:p>
    <w:p w:rsidR="004E13A5" w:rsidRDefault="00681463">
      <w:pPr>
        <w:pStyle w:val="Heading4"/>
        <w:spacing w:before="119"/>
      </w:pPr>
      <w:bookmarkStart w:id="282" w:name="_TOC_250147"/>
      <w:bookmarkEnd w:id="282"/>
      <w:r>
        <w:t>16-III.B. INFORMAL REVIEWS</w:t>
      </w:r>
    </w:p>
    <w:p w:rsidR="004E13A5" w:rsidRDefault="00681463">
      <w:pPr>
        <w:pStyle w:val="BodyText"/>
        <w:ind w:right="101"/>
      </w:pPr>
      <w:r>
        <w:t>Informal reviews are provided for program applicants. An applicant is someone who has applied for admission to the program, but is not yet a participant in the program. Informal reviews are intended to provide a “minimum hearing requirement” [24 CFR 982.554], and need not be as elaborate as the informal hearing requirements [</w:t>
      </w:r>
      <w:r>
        <w:rPr>
          <w:i/>
        </w:rPr>
        <w:t xml:space="preserve">Federal Register </w:t>
      </w:r>
      <w:r>
        <w:t>60, no. 127 (3 July 1995):</w:t>
      </w:r>
      <w:r>
        <w:rPr>
          <w:spacing w:val="-15"/>
        </w:rPr>
        <w:t xml:space="preserve"> </w:t>
      </w:r>
      <w:r>
        <w:t>34690].</w:t>
      </w:r>
    </w:p>
    <w:p w:rsidR="004E13A5" w:rsidRDefault="00681463">
      <w:pPr>
        <w:pStyle w:val="Heading4"/>
        <w:spacing w:before="119"/>
      </w:pPr>
      <w:r>
        <w:t>Decisions Subject to Informal Review (24CFR 982.554(a) and (c)]</w:t>
      </w:r>
    </w:p>
    <w:p w:rsidR="004E13A5" w:rsidRDefault="00681463">
      <w:pPr>
        <w:pStyle w:val="BodyText"/>
      </w:pPr>
      <w:r>
        <w:t>The PHA must give an applicant the opportunity for an informal review of a decision denying assistance [24 CFR 982.554(a)]. Denial of assistance may include any or all of the following [24 CFR 982.552(a)(2)]:</w:t>
      </w:r>
    </w:p>
    <w:p w:rsidR="004E13A5" w:rsidRDefault="00681463">
      <w:pPr>
        <w:pStyle w:val="ListParagraph"/>
        <w:numPr>
          <w:ilvl w:val="0"/>
          <w:numId w:val="93"/>
        </w:numPr>
        <w:tabs>
          <w:tab w:val="left" w:pos="460"/>
          <w:tab w:val="left" w:pos="461"/>
        </w:tabs>
        <w:rPr>
          <w:rFonts w:ascii="Symbol"/>
          <w:sz w:val="24"/>
        </w:rPr>
      </w:pPr>
      <w:r>
        <w:rPr>
          <w:sz w:val="24"/>
        </w:rPr>
        <w:t>Denying listing on the PHA waiting</w:t>
      </w:r>
      <w:r>
        <w:rPr>
          <w:spacing w:val="-14"/>
          <w:sz w:val="24"/>
        </w:rPr>
        <w:t xml:space="preserve"> </w:t>
      </w:r>
      <w:r>
        <w:rPr>
          <w:sz w:val="24"/>
        </w:rPr>
        <w:t>list</w:t>
      </w:r>
    </w:p>
    <w:p w:rsidR="004E13A5" w:rsidRDefault="00681463">
      <w:pPr>
        <w:pStyle w:val="ListParagraph"/>
        <w:numPr>
          <w:ilvl w:val="0"/>
          <w:numId w:val="93"/>
        </w:numPr>
        <w:tabs>
          <w:tab w:val="left" w:pos="460"/>
          <w:tab w:val="left" w:pos="461"/>
        </w:tabs>
        <w:spacing w:before="118"/>
        <w:rPr>
          <w:rFonts w:ascii="Symbol"/>
          <w:sz w:val="24"/>
        </w:rPr>
      </w:pPr>
      <w:r>
        <w:rPr>
          <w:sz w:val="24"/>
        </w:rPr>
        <w:t>Denying or withdrawing a</w:t>
      </w:r>
      <w:r>
        <w:rPr>
          <w:spacing w:val="-12"/>
          <w:sz w:val="24"/>
        </w:rPr>
        <w:t xml:space="preserve"> </w:t>
      </w:r>
      <w:r>
        <w:rPr>
          <w:sz w:val="24"/>
        </w:rPr>
        <w:t>voucher</w:t>
      </w:r>
    </w:p>
    <w:p w:rsidR="004E13A5" w:rsidRDefault="00681463">
      <w:pPr>
        <w:pStyle w:val="ListParagraph"/>
        <w:numPr>
          <w:ilvl w:val="0"/>
          <w:numId w:val="93"/>
        </w:numPr>
        <w:tabs>
          <w:tab w:val="left" w:pos="460"/>
          <w:tab w:val="left" w:pos="461"/>
        </w:tabs>
        <w:spacing w:before="118"/>
        <w:rPr>
          <w:rFonts w:ascii="Symbol"/>
          <w:sz w:val="24"/>
        </w:rPr>
      </w:pPr>
      <w:r>
        <w:rPr>
          <w:sz w:val="24"/>
        </w:rPr>
        <w:t>Refusing to enter into a HAP contract or approve a</w:t>
      </w:r>
      <w:r>
        <w:rPr>
          <w:spacing w:val="-10"/>
          <w:sz w:val="24"/>
        </w:rPr>
        <w:t xml:space="preserve"> </w:t>
      </w:r>
      <w:r>
        <w:rPr>
          <w:sz w:val="24"/>
        </w:rPr>
        <w:t>lease</w:t>
      </w:r>
    </w:p>
    <w:p w:rsidR="004E13A5" w:rsidRDefault="00681463">
      <w:pPr>
        <w:pStyle w:val="ListParagraph"/>
        <w:numPr>
          <w:ilvl w:val="0"/>
          <w:numId w:val="93"/>
        </w:numPr>
        <w:tabs>
          <w:tab w:val="left" w:pos="460"/>
          <w:tab w:val="left" w:pos="461"/>
        </w:tabs>
        <w:spacing w:line="338" w:lineRule="auto"/>
        <w:ind w:left="100" w:right="1838" w:firstLine="0"/>
        <w:rPr>
          <w:rFonts w:ascii="Symbol"/>
          <w:sz w:val="24"/>
        </w:rPr>
      </w:pPr>
      <w:r>
        <w:rPr>
          <w:sz w:val="24"/>
        </w:rPr>
        <w:t xml:space="preserve">Refusing to process or provide assistance under portability procedures Informal reviews are </w:t>
      </w:r>
      <w:r>
        <w:rPr>
          <w:i/>
          <w:sz w:val="24"/>
        </w:rPr>
        <w:t xml:space="preserve">not </w:t>
      </w:r>
      <w:r>
        <w:rPr>
          <w:sz w:val="24"/>
        </w:rPr>
        <w:t>required for the following reasons [24 CFR</w:t>
      </w:r>
      <w:r>
        <w:rPr>
          <w:spacing w:val="-12"/>
          <w:sz w:val="24"/>
        </w:rPr>
        <w:t xml:space="preserve"> </w:t>
      </w:r>
      <w:r>
        <w:rPr>
          <w:sz w:val="24"/>
        </w:rPr>
        <w:t>982.554(c)]:</w:t>
      </w:r>
    </w:p>
    <w:p w:rsidR="004E13A5" w:rsidRDefault="00681463">
      <w:pPr>
        <w:pStyle w:val="ListParagraph"/>
        <w:numPr>
          <w:ilvl w:val="0"/>
          <w:numId w:val="93"/>
        </w:numPr>
        <w:tabs>
          <w:tab w:val="left" w:pos="460"/>
          <w:tab w:val="left" w:pos="461"/>
        </w:tabs>
        <w:spacing w:before="10"/>
        <w:rPr>
          <w:rFonts w:ascii="Symbol"/>
          <w:sz w:val="24"/>
        </w:rPr>
      </w:pPr>
      <w:r>
        <w:rPr>
          <w:sz w:val="24"/>
        </w:rPr>
        <w:t>Discretionary administrative determinations by the</w:t>
      </w:r>
      <w:r>
        <w:rPr>
          <w:spacing w:val="-12"/>
          <w:sz w:val="24"/>
        </w:rPr>
        <w:t xml:space="preserve"> </w:t>
      </w:r>
      <w:r>
        <w:rPr>
          <w:sz w:val="24"/>
        </w:rPr>
        <w:t>PHA</w:t>
      </w:r>
    </w:p>
    <w:p w:rsidR="004E13A5" w:rsidRDefault="00681463">
      <w:pPr>
        <w:pStyle w:val="ListParagraph"/>
        <w:numPr>
          <w:ilvl w:val="0"/>
          <w:numId w:val="93"/>
        </w:numPr>
        <w:tabs>
          <w:tab w:val="left" w:pos="460"/>
          <w:tab w:val="left" w:pos="461"/>
        </w:tabs>
        <w:spacing w:before="120"/>
        <w:rPr>
          <w:rFonts w:ascii="Symbol"/>
          <w:sz w:val="24"/>
        </w:rPr>
      </w:pPr>
      <w:r>
        <w:rPr>
          <w:sz w:val="24"/>
        </w:rPr>
        <w:t>General policy issues or class</w:t>
      </w:r>
      <w:r>
        <w:rPr>
          <w:spacing w:val="-11"/>
          <w:sz w:val="24"/>
        </w:rPr>
        <w:t xml:space="preserve"> </w:t>
      </w:r>
      <w:r>
        <w:rPr>
          <w:sz w:val="24"/>
        </w:rPr>
        <w:t>grievances</w:t>
      </w:r>
    </w:p>
    <w:p w:rsidR="004E13A5" w:rsidRDefault="00681463">
      <w:pPr>
        <w:pStyle w:val="ListParagraph"/>
        <w:numPr>
          <w:ilvl w:val="0"/>
          <w:numId w:val="93"/>
        </w:numPr>
        <w:tabs>
          <w:tab w:val="left" w:pos="460"/>
          <w:tab w:val="left" w:pos="461"/>
        </w:tabs>
        <w:spacing w:before="118"/>
        <w:rPr>
          <w:rFonts w:ascii="Symbol"/>
          <w:sz w:val="24"/>
        </w:rPr>
      </w:pPr>
      <w:r>
        <w:rPr>
          <w:sz w:val="24"/>
        </w:rPr>
        <w:t>A determination of the family unit size under the PHA subsidy</w:t>
      </w:r>
      <w:r>
        <w:rPr>
          <w:spacing w:val="-16"/>
          <w:sz w:val="24"/>
        </w:rPr>
        <w:t xml:space="preserve"> </w:t>
      </w:r>
      <w:r>
        <w:rPr>
          <w:sz w:val="24"/>
        </w:rPr>
        <w:t>standards</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not to approve an extension of a voucher</w:t>
      </w:r>
      <w:r>
        <w:rPr>
          <w:spacing w:val="-12"/>
          <w:sz w:val="24"/>
        </w:rPr>
        <w:t xml:space="preserve"> </w:t>
      </w:r>
      <w:r>
        <w:rPr>
          <w:sz w:val="24"/>
        </w:rPr>
        <w:t>term</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not to grant approval of the</w:t>
      </w:r>
      <w:r>
        <w:rPr>
          <w:spacing w:val="-7"/>
          <w:sz w:val="24"/>
        </w:rPr>
        <w:t xml:space="preserve"> </w:t>
      </w:r>
      <w:r>
        <w:rPr>
          <w:sz w:val="24"/>
        </w:rPr>
        <w:t>tenancy</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that the unit is not in compliance with the</w:t>
      </w:r>
      <w:r>
        <w:rPr>
          <w:spacing w:val="-13"/>
          <w:sz w:val="24"/>
        </w:rPr>
        <w:t xml:space="preserve"> </w:t>
      </w:r>
      <w:r w:rsidR="002C4221">
        <w:rPr>
          <w:sz w:val="24"/>
        </w:rPr>
        <w:t>NSPIRE</w:t>
      </w:r>
    </w:p>
    <w:p w:rsidR="004E13A5" w:rsidRDefault="00681463">
      <w:pPr>
        <w:pStyle w:val="ListParagraph"/>
        <w:numPr>
          <w:ilvl w:val="0"/>
          <w:numId w:val="93"/>
        </w:numPr>
        <w:tabs>
          <w:tab w:val="left" w:pos="460"/>
          <w:tab w:val="left" w:pos="461"/>
        </w:tabs>
        <w:ind w:right="880"/>
        <w:rPr>
          <w:rFonts w:ascii="Symbol"/>
          <w:sz w:val="24"/>
        </w:rPr>
      </w:pPr>
      <w:r>
        <w:rPr>
          <w:sz w:val="24"/>
        </w:rPr>
        <w:t xml:space="preserve">A PHA determination that the unit is not in accordance with the </w:t>
      </w:r>
      <w:r w:rsidR="002C4221">
        <w:rPr>
          <w:sz w:val="24"/>
        </w:rPr>
        <w:t>NSPIRE</w:t>
      </w:r>
      <w:r>
        <w:rPr>
          <w:sz w:val="24"/>
        </w:rPr>
        <w:t xml:space="preserve"> due to family</w:t>
      </w:r>
      <w:r>
        <w:rPr>
          <w:spacing w:val="-13"/>
          <w:sz w:val="24"/>
        </w:rPr>
        <w:t xml:space="preserve"> </w:t>
      </w:r>
      <w:r>
        <w:rPr>
          <w:sz w:val="24"/>
        </w:rPr>
        <w:t>size or</w:t>
      </w:r>
      <w:r>
        <w:rPr>
          <w:spacing w:val="-2"/>
          <w:sz w:val="24"/>
        </w:rPr>
        <w:t xml:space="preserve"> </w:t>
      </w:r>
      <w:r>
        <w:rPr>
          <w:sz w:val="24"/>
        </w:rPr>
        <w:t>composition</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only offer an informal review to applicants for whom assistance is being denied. Denial of assistance includes: denying listing on the PHA waiting list; denying or withdrawing a voucher; refusing to enter into a HAP contract or approve a lease; refusing to process or provide assistance under portability procedures.</w:t>
      </w:r>
    </w:p>
    <w:p w:rsidR="004E13A5" w:rsidRDefault="004E13A5">
      <w:pPr>
        <w:sectPr w:rsidR="004E13A5">
          <w:pgSz w:w="12240" w:h="15840"/>
          <w:pgMar w:top="1000" w:right="1240" w:bottom="1240" w:left="1220" w:header="0" w:footer="998" w:gutter="0"/>
          <w:cols w:space="720"/>
        </w:sectPr>
      </w:pPr>
    </w:p>
    <w:p w:rsidR="004E13A5" w:rsidRDefault="00681463">
      <w:pPr>
        <w:pStyle w:val="Heading4"/>
        <w:spacing w:before="79"/>
      </w:pPr>
      <w:bookmarkStart w:id="283" w:name="_TOC_250146"/>
      <w:bookmarkEnd w:id="283"/>
      <w:r>
        <w:lastRenderedPageBreak/>
        <w:t>Notice to the Applicant [24 CFR 982.554(a)]</w:t>
      </w:r>
    </w:p>
    <w:p w:rsidR="004E13A5" w:rsidRDefault="00681463">
      <w:pPr>
        <w:pStyle w:val="BodyText"/>
        <w:spacing w:before="120"/>
        <w:ind w:right="176"/>
      </w:pPr>
      <w:r>
        <w:t>The PHA must give an applicant prompt notice of a decision denying assistance. The notice must contain a brief statement of the reasons for the PHA decision, and must also state that the applicant may request an informal review of the decision. The notice must describe how to obtain the informal review.</w:t>
      </w:r>
    </w:p>
    <w:p w:rsidR="004E13A5" w:rsidRDefault="00681463">
      <w:pPr>
        <w:pStyle w:val="Heading4"/>
        <w:spacing w:before="119"/>
      </w:pPr>
      <w:bookmarkStart w:id="284" w:name="_TOC_250145"/>
      <w:bookmarkEnd w:id="284"/>
      <w:r>
        <w:t>Scheduling an Informal Review</w:t>
      </w:r>
    </w:p>
    <w:p w:rsidR="004E13A5" w:rsidRDefault="00681463">
      <w:pPr>
        <w:pStyle w:val="BodyText"/>
        <w:ind w:left="820"/>
      </w:pPr>
      <w:r>
        <w:rPr>
          <w:u w:val="single"/>
        </w:rPr>
        <w:t>PHA Policy</w:t>
      </w:r>
    </w:p>
    <w:p w:rsidR="004E13A5" w:rsidRDefault="00681463">
      <w:pPr>
        <w:pStyle w:val="BodyText"/>
        <w:ind w:left="820" w:right="309"/>
      </w:pPr>
      <w:r>
        <w:t>A request for an informal review must be made in writing and delivered to the PHA either in person or by first class mail, by the close of the business day, no later than 10 business days from the date of the PHA’s denial of assistance.</w:t>
      </w:r>
    </w:p>
    <w:p w:rsidR="004E13A5" w:rsidRDefault="00681463">
      <w:pPr>
        <w:pStyle w:val="BodyText"/>
        <w:ind w:left="820" w:right="268"/>
      </w:pPr>
      <w:r>
        <w:t>The PHA must schedule and send written notice of the informal review within 10 business days of the family’s request.</w:t>
      </w:r>
    </w:p>
    <w:p w:rsidR="004E13A5" w:rsidRDefault="00681463">
      <w:pPr>
        <w:pStyle w:val="BodyText"/>
        <w:spacing w:before="120"/>
        <w:ind w:left="820" w:right="322"/>
      </w:pPr>
      <w:r>
        <w:t>If the informal review will be conducted remotely, at the time the PHA notifies the family of the informal review, the family will be informed:</w:t>
      </w:r>
    </w:p>
    <w:p w:rsidR="004E13A5" w:rsidRDefault="00681463">
      <w:pPr>
        <w:pStyle w:val="BodyText"/>
        <w:ind w:left="1540"/>
      </w:pPr>
      <w:r>
        <w:t>Regarding the processes to conduct a remote informal review;</w:t>
      </w:r>
    </w:p>
    <w:p w:rsidR="004E13A5" w:rsidRDefault="00681463">
      <w:pPr>
        <w:pStyle w:val="BodyText"/>
        <w:ind w:left="1540"/>
      </w:pPr>
      <w:r>
        <w:t>That, if needed, the PHA will provide technical assistance prior to and during the informal review; and</w:t>
      </w:r>
    </w:p>
    <w:p w:rsidR="004E13A5" w:rsidRDefault="00681463">
      <w:pPr>
        <w:pStyle w:val="BodyText"/>
        <w:ind w:left="820" w:right="155"/>
      </w:pPr>
      <w:r>
        <w:t>That if the family or any individual witness has any technological, resource, or accessibility barriers preventing them from fully accessing the remote informal review, the family may inform the PHA and the PHA will assist the family in either resolving the issues or allow the family to participate in an in-person informal review, as appropriate.</w:t>
      </w:r>
    </w:p>
    <w:p w:rsidR="004E13A5" w:rsidRDefault="00681463">
      <w:pPr>
        <w:pStyle w:val="Heading4"/>
        <w:spacing w:before="119"/>
      </w:pPr>
      <w:bookmarkStart w:id="285" w:name="_TOC_250144"/>
      <w:bookmarkEnd w:id="285"/>
      <w:r>
        <w:t>Informal Review Procedures [24 CFR 982.554(b)]</w:t>
      </w:r>
    </w:p>
    <w:p w:rsidR="004E13A5" w:rsidRDefault="00681463">
      <w:pPr>
        <w:pStyle w:val="BodyText"/>
        <w:spacing w:before="120"/>
        <w:ind w:right="276"/>
      </w:pPr>
      <w:r>
        <w:t>The informal review must be conducted by a person other than the one who made or approved the decision under review, or a subordinate of this person.</w:t>
      </w:r>
    </w:p>
    <w:p w:rsidR="004E13A5" w:rsidRDefault="00681463">
      <w:pPr>
        <w:pStyle w:val="BodyText"/>
        <w:spacing w:before="120"/>
        <w:ind w:right="183"/>
      </w:pPr>
      <w:r>
        <w:t>The applicant must be provided an opportunity to present written or oral objections to the decision of the PHA.</w:t>
      </w:r>
    </w:p>
    <w:p w:rsidR="004E13A5" w:rsidRDefault="00681463">
      <w:pPr>
        <w:pStyle w:val="Heading4"/>
        <w:spacing w:before="120"/>
      </w:pPr>
      <w:bookmarkStart w:id="286" w:name="_TOC_250143"/>
      <w:bookmarkEnd w:id="286"/>
      <w:r>
        <w:t>Remote Informal Reviews [Notice PIH 2020-32]</w:t>
      </w:r>
    </w:p>
    <w:p w:rsidR="004E13A5" w:rsidRDefault="00681463">
      <w:pPr>
        <w:pStyle w:val="BodyText"/>
        <w:spacing w:before="139"/>
      </w:pPr>
      <w:r>
        <w:t>There is no requirement that informal reviews be conducted in-person and, as such, HUD allows PHAs to conduct all or a portion of their informal review remotely either over the phone, via video conferencing, or through other virtual platforms. If the PHA chooses to conduct remote informal reviews, applicants may still request an in-person informal review, as applicable.</w:t>
      </w:r>
    </w:p>
    <w:p w:rsidR="004E13A5" w:rsidRDefault="00681463">
      <w:pPr>
        <w:pStyle w:val="BodyText"/>
        <w:spacing w:before="139"/>
        <w:ind w:left="820"/>
      </w:pPr>
      <w:r>
        <w:rPr>
          <w:u w:val="single"/>
        </w:rPr>
        <w:t>PHA Policy</w:t>
      </w:r>
    </w:p>
    <w:p w:rsidR="004E13A5" w:rsidRDefault="00681463">
      <w:pPr>
        <w:pStyle w:val="BodyText"/>
        <w:spacing w:before="120"/>
        <w:ind w:left="820" w:right="116"/>
      </w:pPr>
      <w:r>
        <w:t>The PHA has the sole discretion to require that informal reviews be conducted remotely in case of local, state, or national physical distancing orders, and in cases of inclement weather or natural disaster.</w:t>
      </w:r>
    </w:p>
    <w:p w:rsidR="004E13A5" w:rsidRDefault="00681463">
      <w:pPr>
        <w:pStyle w:val="BodyText"/>
        <w:ind w:left="820" w:right="102"/>
      </w:pPr>
      <w:r>
        <w:t>In addition, the PHA will conduct an informal review remotely upon request of the applicant as a reasonable accommodation for a person with a disability, if an applicant does not have child care or transportation that would enable them to attend the informal review, or if the applicant believes an in-person informal review would create an undue health risk. The PHA will consider other reasonable requests for a remote informal review on a</w:t>
      </w:r>
      <w:r>
        <w:rPr>
          <w:spacing w:val="-17"/>
        </w:rPr>
        <w:t xml:space="preserve"> </w:t>
      </w:r>
      <w:r>
        <w:t>case-by- case</w:t>
      </w:r>
      <w:r>
        <w:rPr>
          <w:spacing w:val="-5"/>
        </w:rPr>
        <w:t xml:space="preserve"> </w:t>
      </w:r>
      <w:r>
        <w:t>basis.</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9"/>
      </w:pPr>
      <w:r>
        <w:lastRenderedPageBreak/>
        <w:t>Ensuring Accessibility for Persons with Disabilities and LEP Individuals</w:t>
      </w:r>
    </w:p>
    <w:p w:rsidR="004E13A5" w:rsidRDefault="00681463">
      <w:pPr>
        <w:pStyle w:val="BodyText"/>
        <w:spacing w:before="120"/>
        <w:ind w:right="89"/>
      </w:pPr>
      <w:r>
        <w:t>As with in-person informal reviews, the platform for conducting remote informal reviews must be accessible to persons with disabilities and the informal review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w:t>
      </w:r>
    </w:p>
    <w:p w:rsidR="004E13A5" w:rsidRDefault="00681463">
      <w:pPr>
        <w:pStyle w:val="BodyText"/>
        <w:spacing w:before="0"/>
        <w:ind w:right="475"/>
      </w:pPr>
      <w:r>
        <w:t>PHAs may never request or require that individuals with disabilities provide their own auxiliary aids or services, including for remote informal hearings.</w:t>
      </w:r>
    </w:p>
    <w:p w:rsidR="004E13A5" w:rsidRDefault="00681463">
      <w:pPr>
        <w:pStyle w:val="BodyText"/>
        <w:spacing w:before="120"/>
        <w:ind w:right="183"/>
      </w:pPr>
      <w:r>
        <w:t>PHAs are required to make reasonable accommodations in policies, practices, and procedures to ensure persons with disabilities have a full and equal opportunity to participate in and benefit from all aspects of the informal review process. See Chapter 2 for a more detailed discussion of reasonable accommodation requirements.</w:t>
      </w:r>
    </w:p>
    <w:p w:rsidR="004E13A5" w:rsidRDefault="00681463">
      <w:pPr>
        <w:pStyle w:val="BodyText"/>
        <w:ind w:right="170"/>
      </w:pPr>
      <w:r>
        <w:t>If no method of conducting a remote informal review is available that appropriately accommodates an individual’s disability, the PHA may not hold against the individual their inability to participate in the remote informal review, and the PHA should consider whether postponing the remote informal review to a later date is appropriate or whether there is a suitable alternative.</w:t>
      </w:r>
    </w:p>
    <w:p w:rsidR="004E13A5" w:rsidRDefault="00681463">
      <w:pPr>
        <w:pStyle w:val="BodyText"/>
      </w:pPr>
      <w:r>
        <w:t>Due to the individualized nature of disability, the appropriate auxiliary aid or service necessary, or reasonable accommodation, will depend on the specific circumstances and requirements.</w:t>
      </w:r>
    </w:p>
    <w:p w:rsidR="004E13A5" w:rsidRDefault="00681463">
      <w:pPr>
        <w:pStyle w:val="BodyText"/>
        <w:ind w:right="136"/>
      </w:pPr>
      <w:r>
        <w:t>As with in-person reviews, Limited English Proficiency (LEP) requirements also apply to remote informal reviews, including the use of interpretation services and document translation. See Chapter 2 for a more thorough discussion of accessibility and LEP requirements, all of which apply in the context of remote informal</w:t>
      </w:r>
      <w:r>
        <w:rPr>
          <w:spacing w:val="-7"/>
        </w:rPr>
        <w:t xml:space="preserve"> </w:t>
      </w:r>
      <w:r>
        <w:t>reviews.</w:t>
      </w:r>
    </w:p>
    <w:p w:rsidR="004E13A5" w:rsidRDefault="00681463">
      <w:pPr>
        <w:pStyle w:val="Heading4"/>
        <w:spacing w:before="119"/>
      </w:pPr>
      <w:bookmarkStart w:id="287" w:name="_TOC_250142"/>
      <w:bookmarkEnd w:id="287"/>
      <w:r>
        <w:t>Conducting Remote Informal Reviews</w:t>
      </w:r>
    </w:p>
    <w:p w:rsidR="004E13A5" w:rsidRDefault="00681463">
      <w:pPr>
        <w:pStyle w:val="BodyText"/>
      </w:pPr>
      <w:r>
        <w:t>The PHA must ensure that the lack of technology or inability to use technology for remote informal reviews does not pose a disadvantage to families that may not be apparent to the PHA. The PHA should determine through a survey or other means if these barriers exist prior to conducting the remote informal review and, if the family does not have the proper technology to fully participate, either postpone the informal review or provide an alternative means of access.</w:t>
      </w:r>
    </w:p>
    <w:p w:rsidR="004E13A5" w:rsidRDefault="00681463">
      <w:pPr>
        <w:pStyle w:val="BodyText"/>
        <w:ind w:right="309"/>
        <w:jc w:val="both"/>
      </w:pPr>
      <w:r>
        <w:t>As with in-person informal reviews, the PHA must provide all materials presented, whether paper or electronic, to the family prior to the remote informal review. The family must also be provided with an accessible means by which to transmit their own evidence.</w:t>
      </w:r>
    </w:p>
    <w:p w:rsidR="004E13A5" w:rsidRDefault="00681463">
      <w:pPr>
        <w:pStyle w:val="BodyText"/>
        <w:spacing w:before="120"/>
        <w:ind w:right="409"/>
      </w:pPr>
      <w:r>
        <w:t>The PHA must ensure that the applicant has the right to hear and be heard. All PHA policies and processes for remote informal reviews must be conducted in accordance with due process requirements and be in compliance with HUD regulations at 24 CFR 982.554 and guidance specified in Notice PIH 2020-32.</w:t>
      </w:r>
    </w:p>
    <w:p w:rsidR="004E13A5" w:rsidRDefault="00681463">
      <w:pPr>
        <w:pStyle w:val="BodyText"/>
        <w:ind w:left="820"/>
      </w:pPr>
      <w:r>
        <w:rPr>
          <w:u w:val="single"/>
        </w:rPr>
        <w:t>PHA Policy</w:t>
      </w:r>
    </w:p>
    <w:p w:rsidR="004E13A5" w:rsidRDefault="00681463">
      <w:pPr>
        <w:pStyle w:val="BodyText"/>
        <w:ind w:left="820" w:right="409"/>
      </w:pPr>
      <w:r>
        <w:t>The PHA will conduct remote informal reviews via telephone conferencing call-in. If the family is unable to adequately access the telephone conferencing call-in at any point, the remote informal review will be postponed, and an in-person alternative will be provided promptly within a reasonable time.</w:t>
      </w:r>
    </w:p>
    <w:p w:rsidR="004E13A5" w:rsidRDefault="004E13A5">
      <w:pPr>
        <w:sectPr w:rsidR="004E13A5">
          <w:pgSz w:w="12240" w:h="15840"/>
          <w:pgMar w:top="1000" w:right="1220" w:bottom="1220" w:left="1220" w:header="0" w:footer="998" w:gutter="0"/>
          <w:cols w:space="720"/>
        </w:sectPr>
      </w:pPr>
    </w:p>
    <w:p w:rsidR="004E13A5" w:rsidRDefault="00681463">
      <w:pPr>
        <w:pStyle w:val="BodyText"/>
        <w:spacing w:before="79"/>
        <w:ind w:left="820" w:right="149"/>
      </w:pPr>
      <w:r>
        <w:lastRenderedPageBreak/>
        <w:t>At least five business days prior to scheduling the remote review, the PHA will provide the family with conferencing call-in information and an electronic and/or physical copy of all materials being presented via first class mail and/or email. The notice will advise the family of technological requirements for the hearing and request the family notify the PHA of any known barriers. The PHA will resolve any barriers using the guidance in Section 6 of Notice PIH 2020-32, including offering the family the opportunity to attend an in-person hearing.</w:t>
      </w:r>
    </w:p>
    <w:p w:rsidR="004E13A5" w:rsidRDefault="00681463">
      <w:pPr>
        <w:pStyle w:val="BodyText"/>
        <w:spacing w:before="120"/>
        <w:ind w:left="820" w:right="243"/>
      </w:pPr>
      <w:r>
        <w:t>If the informal review is to be conducted remotely, the PHA will require the family to provide any documents directly relevant to the informal review at least 24 hours before the scheduled review through the mail, via email, or text. The PHA will scan and email copies of these documents to the PHA representative the same day.</w:t>
      </w:r>
    </w:p>
    <w:p w:rsidR="004E13A5" w:rsidRDefault="00681463">
      <w:pPr>
        <w:pStyle w:val="BodyText"/>
        <w:spacing w:before="120"/>
        <w:ind w:left="820"/>
      </w:pPr>
      <w:r>
        <w:t>Documents will be shared electronically whenever possible.</w:t>
      </w:r>
    </w:p>
    <w:p w:rsidR="004E13A5" w:rsidRDefault="00681463">
      <w:pPr>
        <w:pStyle w:val="BodyText"/>
        <w:spacing w:before="120"/>
        <w:ind w:left="820" w:right="99"/>
        <w:jc w:val="both"/>
      </w:pPr>
      <w:r>
        <w:t>The PHA will ensure that all electronic information stored or transmitted with respect to the informal review is secure, including protecting personally identifiable information (PII), and meets the requirements for accessibility for persons with disabilities and persons with LEP.</w:t>
      </w:r>
    </w:p>
    <w:p w:rsidR="004E13A5" w:rsidRDefault="00681463">
      <w:pPr>
        <w:pStyle w:val="Heading4"/>
        <w:spacing w:before="120"/>
      </w:pPr>
      <w:bookmarkStart w:id="288" w:name="_TOC_250141"/>
      <w:bookmarkEnd w:id="288"/>
      <w:r>
        <w:t>Informal Review Decision [24 CFR 982.554(b)]</w:t>
      </w:r>
    </w:p>
    <w:p w:rsidR="004E13A5" w:rsidRDefault="00681463">
      <w:pPr>
        <w:pStyle w:val="BodyText"/>
        <w:spacing w:before="120"/>
        <w:ind w:right="328"/>
      </w:pPr>
      <w:r>
        <w:t>The PHA must notify the applicant of the PHA’s final decision, including a brief statement of the reasons for the final decision.</w:t>
      </w:r>
    </w:p>
    <w:p w:rsidR="004E13A5" w:rsidRDefault="00681463">
      <w:pPr>
        <w:pStyle w:val="BodyText"/>
        <w:spacing w:before="120"/>
        <w:ind w:left="820"/>
      </w:pPr>
      <w:r>
        <w:rPr>
          <w:u w:val="single"/>
        </w:rPr>
        <w:t>PHA Policy</w:t>
      </w:r>
    </w:p>
    <w:p w:rsidR="004E13A5" w:rsidRDefault="00681463">
      <w:pPr>
        <w:pStyle w:val="BodyText"/>
        <w:spacing w:before="120"/>
        <w:ind w:left="820"/>
      </w:pPr>
      <w:r>
        <w:t>In rendering a decision, the PHA will evaluate the following matters:</w:t>
      </w:r>
    </w:p>
    <w:p w:rsidR="004E13A5" w:rsidRDefault="00681463">
      <w:pPr>
        <w:pStyle w:val="BodyText"/>
        <w:spacing w:before="120"/>
        <w:ind w:left="1540" w:right="896"/>
      </w:pPr>
      <w:r>
        <w:t>Whether or not the grounds for denial were stated factually in the notice to the family.</w:t>
      </w:r>
    </w:p>
    <w:p w:rsidR="004E13A5" w:rsidRDefault="00681463">
      <w:pPr>
        <w:pStyle w:val="BodyText"/>
        <w:spacing w:before="120"/>
        <w:ind w:left="1540" w:right="189"/>
      </w:pPr>
      <w:r>
        <w:t>The validity of the grounds for denial of assistance. If the grounds for denial are not specified in the regulations, then the decision to deny assistance will be overturned.</w:t>
      </w:r>
    </w:p>
    <w:p w:rsidR="004E13A5" w:rsidRDefault="00681463">
      <w:pPr>
        <w:pStyle w:val="BodyText"/>
        <w:spacing w:before="120"/>
        <w:ind w:left="1540" w:right="314"/>
      </w:pPr>
      <w:r>
        <w:t>The validity of the evidence. The PHA will evaluate whether the facts presented prove the grounds for denial of assistance. If the facts prove that there are grounds for denial, and the denial is required by HUD, the PHA will uphold the decision to deny assistance.</w:t>
      </w:r>
    </w:p>
    <w:p w:rsidR="004E13A5" w:rsidRDefault="00681463">
      <w:pPr>
        <w:pStyle w:val="BodyText"/>
        <w:spacing w:before="120"/>
        <w:ind w:left="1540" w:right="329"/>
      </w:pPr>
      <w:r>
        <w:t>If the facts prove the grounds for denial, and the denial is discretionary, the PHA will consider the recommendation of the person conducting the informal review in making the final decision whether to deny assistance.</w:t>
      </w:r>
    </w:p>
    <w:p w:rsidR="004E13A5" w:rsidRDefault="00681463">
      <w:pPr>
        <w:pStyle w:val="BodyText"/>
        <w:spacing w:before="120"/>
        <w:ind w:left="820" w:right="126"/>
        <w:jc w:val="both"/>
      </w:pPr>
      <w:r>
        <w:t>The PHA will notify the applicant of the final decision, including a statement explaining the reason(s) for the decision. The notice will be mailed within 10 business days of the informal review, to the applicant and their representative, if any, along with proof of mailing.</w:t>
      </w:r>
    </w:p>
    <w:p w:rsidR="004E13A5" w:rsidRDefault="00681463">
      <w:pPr>
        <w:pStyle w:val="BodyText"/>
        <w:spacing w:before="120"/>
        <w:ind w:left="820"/>
      </w:pPr>
      <w:r>
        <w:t>If the decision to deny is overturned as a result of the informal review, processing for admission will resume.</w:t>
      </w:r>
    </w:p>
    <w:p w:rsidR="004E13A5" w:rsidRDefault="00681463">
      <w:pPr>
        <w:pStyle w:val="BodyText"/>
        <w:ind w:left="820" w:right="142"/>
      </w:pPr>
      <w:r>
        <w:t>If the family fails to appear for their informal review, the denial of admission will stand and the family will be so notified.</w:t>
      </w:r>
    </w:p>
    <w:p w:rsidR="004E13A5" w:rsidRDefault="004E13A5">
      <w:pPr>
        <w:pStyle w:val="BodyText"/>
        <w:spacing w:before="9"/>
        <w:ind w:left="0"/>
        <w:rPr>
          <w:sz w:val="20"/>
        </w:rPr>
      </w:pPr>
    </w:p>
    <w:p w:rsidR="004E13A5" w:rsidRDefault="00681463">
      <w:pPr>
        <w:pStyle w:val="Heading4"/>
      </w:pPr>
      <w:bookmarkStart w:id="289" w:name="_TOC_250140"/>
      <w:bookmarkEnd w:id="289"/>
      <w:r>
        <w:t>16-III.C. INFORMAL HEARINGS FOR PARTICIPANTS [24 CFR 982.555]</w:t>
      </w:r>
    </w:p>
    <w:p w:rsidR="004E13A5" w:rsidRDefault="00681463">
      <w:pPr>
        <w:pStyle w:val="BodyText"/>
        <w:ind w:right="170"/>
      </w:pPr>
      <w:r>
        <w:t>PHAs must offer an informal hearing for certain PHA determinations relating to the individual circumstances of a participant family. A participant is defined as a family that has been admitted to</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576"/>
        <w:jc w:val="both"/>
      </w:pPr>
      <w:r>
        <w:lastRenderedPageBreak/>
        <w:t>the PHA’s HCV program and is currently assisted in the program. The purpose of the informal hearing is to consider whether the PHA’s decisions related to the family’s circumstances are in accordance with the law, HUD regulations and PHA policies.</w:t>
      </w:r>
    </w:p>
    <w:p w:rsidR="004E13A5" w:rsidRDefault="00681463">
      <w:pPr>
        <w:pStyle w:val="BodyText"/>
        <w:spacing w:before="120"/>
      </w:pPr>
      <w:r>
        <w:t>The PHA is not permitted to terminate a family’s assistance until the time allowed for the family to request an informal hearing has elapsed, and any requested hearing has been completed.</w:t>
      </w:r>
    </w:p>
    <w:p w:rsidR="004E13A5" w:rsidRDefault="00681463">
      <w:pPr>
        <w:pStyle w:val="BodyText"/>
        <w:spacing w:before="0"/>
      </w:pPr>
      <w:r>
        <w:t>Termination of assistance for a participant may include any or all of the following:</w:t>
      </w:r>
    </w:p>
    <w:p w:rsidR="004E13A5" w:rsidRDefault="00681463">
      <w:pPr>
        <w:pStyle w:val="ListParagraph"/>
        <w:numPr>
          <w:ilvl w:val="0"/>
          <w:numId w:val="93"/>
        </w:numPr>
        <w:tabs>
          <w:tab w:val="left" w:pos="460"/>
          <w:tab w:val="left" w:pos="461"/>
        </w:tabs>
        <w:rPr>
          <w:rFonts w:ascii="Symbol"/>
          <w:sz w:val="24"/>
        </w:rPr>
      </w:pPr>
      <w:r>
        <w:rPr>
          <w:sz w:val="24"/>
        </w:rPr>
        <w:t>Refusing to enter into a HAP contract or approve a</w:t>
      </w:r>
      <w:r>
        <w:rPr>
          <w:spacing w:val="-10"/>
          <w:sz w:val="24"/>
        </w:rPr>
        <w:t xml:space="preserve"> </w:t>
      </w:r>
      <w:r>
        <w:rPr>
          <w:sz w:val="24"/>
        </w:rPr>
        <w:t>lease</w:t>
      </w:r>
    </w:p>
    <w:p w:rsidR="004E13A5" w:rsidRDefault="00681463">
      <w:pPr>
        <w:pStyle w:val="ListParagraph"/>
        <w:numPr>
          <w:ilvl w:val="0"/>
          <w:numId w:val="93"/>
        </w:numPr>
        <w:tabs>
          <w:tab w:val="left" w:pos="460"/>
          <w:tab w:val="left" w:pos="461"/>
        </w:tabs>
        <w:spacing w:before="118"/>
        <w:rPr>
          <w:rFonts w:ascii="Symbol"/>
          <w:sz w:val="24"/>
        </w:rPr>
      </w:pPr>
      <w:r>
        <w:rPr>
          <w:sz w:val="24"/>
        </w:rPr>
        <w:t>Terminating housing assistance payments under an outstanding HAP</w:t>
      </w:r>
      <w:r>
        <w:rPr>
          <w:spacing w:val="-17"/>
          <w:sz w:val="24"/>
        </w:rPr>
        <w:t xml:space="preserve"> </w:t>
      </w:r>
      <w:r>
        <w:rPr>
          <w:sz w:val="24"/>
        </w:rPr>
        <w:t>contract</w:t>
      </w:r>
    </w:p>
    <w:p w:rsidR="004E13A5" w:rsidRDefault="00681463">
      <w:pPr>
        <w:pStyle w:val="ListParagraph"/>
        <w:numPr>
          <w:ilvl w:val="0"/>
          <w:numId w:val="93"/>
        </w:numPr>
        <w:tabs>
          <w:tab w:val="left" w:pos="460"/>
          <w:tab w:val="left" w:pos="461"/>
        </w:tabs>
        <w:spacing w:before="118"/>
        <w:rPr>
          <w:rFonts w:ascii="Symbol"/>
          <w:sz w:val="24"/>
        </w:rPr>
      </w:pPr>
      <w:r>
        <w:rPr>
          <w:sz w:val="24"/>
        </w:rPr>
        <w:t>Refusing to process or provide assistance under portability</w:t>
      </w:r>
      <w:r>
        <w:rPr>
          <w:spacing w:val="-15"/>
          <w:sz w:val="24"/>
        </w:rPr>
        <w:t xml:space="preserve"> </w:t>
      </w:r>
      <w:r>
        <w:rPr>
          <w:sz w:val="24"/>
        </w:rPr>
        <w:t>procedures</w:t>
      </w:r>
    </w:p>
    <w:p w:rsidR="004E13A5" w:rsidRDefault="00681463">
      <w:pPr>
        <w:pStyle w:val="Heading4"/>
        <w:spacing w:before="118"/>
      </w:pPr>
      <w:bookmarkStart w:id="290" w:name="_TOC_250139"/>
      <w:bookmarkEnd w:id="290"/>
      <w:r>
        <w:t>Decisions Subject to Informal Hearing</w:t>
      </w:r>
    </w:p>
    <w:p w:rsidR="004E13A5" w:rsidRDefault="00681463">
      <w:pPr>
        <w:pStyle w:val="BodyText"/>
      </w:pPr>
      <w:r>
        <w:t>Circumstances for which the PHA must give a participant family an opportunity for an informal hearing are as follows:</w:t>
      </w:r>
    </w:p>
    <w:p w:rsidR="004E13A5" w:rsidRDefault="00681463">
      <w:pPr>
        <w:pStyle w:val="ListParagraph"/>
        <w:numPr>
          <w:ilvl w:val="0"/>
          <w:numId w:val="93"/>
        </w:numPr>
        <w:tabs>
          <w:tab w:val="left" w:pos="460"/>
          <w:tab w:val="left" w:pos="461"/>
        </w:tabs>
        <w:ind w:right="721"/>
        <w:rPr>
          <w:rFonts w:ascii="Symbol" w:hAnsi="Symbol"/>
          <w:sz w:val="24"/>
        </w:rPr>
      </w:pPr>
      <w:r>
        <w:rPr>
          <w:sz w:val="24"/>
        </w:rPr>
        <w:t>A determination of the family’s annual or adjusted income, and the use of such income</w:t>
      </w:r>
      <w:r>
        <w:rPr>
          <w:spacing w:val="-12"/>
          <w:sz w:val="24"/>
        </w:rPr>
        <w:t xml:space="preserve"> </w:t>
      </w:r>
      <w:r>
        <w:rPr>
          <w:sz w:val="24"/>
        </w:rPr>
        <w:t>to compute the housing assistance</w:t>
      </w:r>
      <w:r>
        <w:rPr>
          <w:spacing w:val="-9"/>
          <w:sz w:val="24"/>
        </w:rPr>
        <w:t xml:space="preserve"> </w:t>
      </w:r>
      <w:r>
        <w:rPr>
          <w:sz w:val="24"/>
        </w:rPr>
        <w:t>payment</w:t>
      </w:r>
    </w:p>
    <w:p w:rsidR="004E13A5" w:rsidRDefault="00681463">
      <w:pPr>
        <w:pStyle w:val="ListParagraph"/>
        <w:numPr>
          <w:ilvl w:val="0"/>
          <w:numId w:val="93"/>
        </w:numPr>
        <w:tabs>
          <w:tab w:val="left" w:pos="460"/>
          <w:tab w:val="left" w:pos="461"/>
        </w:tabs>
        <w:ind w:right="405"/>
        <w:rPr>
          <w:rFonts w:ascii="Symbol"/>
          <w:sz w:val="24"/>
        </w:rPr>
      </w:pPr>
      <w:r>
        <w:rPr>
          <w:sz w:val="24"/>
        </w:rPr>
        <w:t>A determination of the appropriate utility allowance (if any) for tenant-paid utilities from the PHA utility allowance</w:t>
      </w:r>
      <w:r>
        <w:rPr>
          <w:spacing w:val="-9"/>
          <w:sz w:val="24"/>
        </w:rPr>
        <w:t xml:space="preserve"> </w:t>
      </w:r>
      <w:r>
        <w:rPr>
          <w:sz w:val="24"/>
        </w:rPr>
        <w:t>schedule</w:t>
      </w:r>
    </w:p>
    <w:p w:rsidR="004E13A5" w:rsidRDefault="00681463">
      <w:pPr>
        <w:pStyle w:val="ListParagraph"/>
        <w:numPr>
          <w:ilvl w:val="0"/>
          <w:numId w:val="93"/>
        </w:numPr>
        <w:tabs>
          <w:tab w:val="left" w:pos="460"/>
          <w:tab w:val="left" w:pos="461"/>
        </w:tabs>
        <w:rPr>
          <w:rFonts w:ascii="Symbol" w:hAnsi="Symbol"/>
          <w:sz w:val="24"/>
        </w:rPr>
      </w:pPr>
      <w:r>
        <w:rPr>
          <w:sz w:val="24"/>
        </w:rPr>
        <w:t>A determination of the family unit size under the PHA’s subsidy</w:t>
      </w:r>
      <w:r>
        <w:rPr>
          <w:spacing w:val="-15"/>
          <w:sz w:val="24"/>
        </w:rPr>
        <w:t xml:space="preserve"> </w:t>
      </w:r>
      <w:r>
        <w:rPr>
          <w:sz w:val="24"/>
        </w:rPr>
        <w:t>standards</w:t>
      </w:r>
    </w:p>
    <w:p w:rsidR="004E13A5" w:rsidRDefault="00681463">
      <w:pPr>
        <w:pStyle w:val="ListParagraph"/>
        <w:numPr>
          <w:ilvl w:val="0"/>
          <w:numId w:val="93"/>
        </w:numPr>
        <w:tabs>
          <w:tab w:val="left" w:pos="460"/>
          <w:tab w:val="left" w:pos="461"/>
        </w:tabs>
        <w:spacing w:before="118"/>
        <w:ind w:right="213"/>
        <w:rPr>
          <w:rFonts w:ascii="Symbol" w:hAnsi="Symbol"/>
          <w:sz w:val="24"/>
        </w:rPr>
      </w:pPr>
      <w:r>
        <w:rPr>
          <w:sz w:val="24"/>
        </w:rPr>
        <w:t>A determination to terminate assistance for a participant family because of the family’s</w:t>
      </w:r>
      <w:r>
        <w:rPr>
          <w:spacing w:val="-21"/>
          <w:sz w:val="24"/>
        </w:rPr>
        <w:t xml:space="preserve"> </w:t>
      </w:r>
      <w:r>
        <w:rPr>
          <w:sz w:val="24"/>
        </w:rPr>
        <w:t>actions or failure to</w:t>
      </w:r>
      <w:r>
        <w:rPr>
          <w:spacing w:val="-5"/>
          <w:sz w:val="24"/>
        </w:rPr>
        <w:t xml:space="preserve"> </w:t>
      </w:r>
      <w:r>
        <w:rPr>
          <w:sz w:val="24"/>
        </w:rPr>
        <w:t>act</w:t>
      </w:r>
    </w:p>
    <w:p w:rsidR="004E13A5" w:rsidRDefault="00681463">
      <w:pPr>
        <w:pStyle w:val="ListParagraph"/>
        <w:numPr>
          <w:ilvl w:val="0"/>
          <w:numId w:val="93"/>
        </w:numPr>
        <w:tabs>
          <w:tab w:val="left" w:pos="460"/>
          <w:tab w:val="left" w:pos="461"/>
        </w:tabs>
        <w:ind w:right="294"/>
        <w:rPr>
          <w:rFonts w:ascii="Symbol"/>
          <w:sz w:val="24"/>
        </w:rPr>
      </w:pPr>
      <w:r>
        <w:rPr>
          <w:sz w:val="24"/>
        </w:rPr>
        <w:t>A determination to terminate assistance because the participant has been absent from the assisted unit for longer than the maximum period permitted under PHA policy and HUD</w:t>
      </w:r>
      <w:r>
        <w:rPr>
          <w:spacing w:val="-16"/>
          <w:sz w:val="24"/>
        </w:rPr>
        <w:t xml:space="preserve"> </w:t>
      </w:r>
      <w:r>
        <w:rPr>
          <w:sz w:val="24"/>
        </w:rPr>
        <w:t>rules</w:t>
      </w:r>
    </w:p>
    <w:p w:rsidR="004E13A5" w:rsidRDefault="00681463">
      <w:pPr>
        <w:pStyle w:val="ListParagraph"/>
        <w:numPr>
          <w:ilvl w:val="0"/>
          <w:numId w:val="93"/>
        </w:numPr>
        <w:tabs>
          <w:tab w:val="left" w:pos="460"/>
          <w:tab w:val="left" w:pos="461"/>
        </w:tabs>
        <w:spacing w:before="120"/>
        <w:ind w:right="282"/>
        <w:rPr>
          <w:rFonts w:ascii="Symbol" w:hAnsi="Symbol"/>
          <w:sz w:val="24"/>
        </w:rPr>
      </w:pPr>
      <w:r>
        <w:rPr>
          <w:sz w:val="24"/>
        </w:rPr>
        <w:t>A determination to terminate a family’s Family Self Sufficiency contract, withhold</w:t>
      </w:r>
      <w:r>
        <w:rPr>
          <w:spacing w:val="-17"/>
          <w:sz w:val="24"/>
        </w:rPr>
        <w:t xml:space="preserve"> </w:t>
      </w:r>
      <w:r>
        <w:rPr>
          <w:sz w:val="24"/>
        </w:rPr>
        <w:t>supportive services, or propose forfeiture of the family’s escrow account [24 CFR</w:t>
      </w:r>
      <w:r>
        <w:rPr>
          <w:spacing w:val="-15"/>
          <w:sz w:val="24"/>
        </w:rPr>
        <w:t xml:space="preserve"> </w:t>
      </w:r>
      <w:r>
        <w:rPr>
          <w:sz w:val="24"/>
        </w:rPr>
        <w:t>984.303(i)]</w:t>
      </w:r>
    </w:p>
    <w:p w:rsidR="004E13A5" w:rsidRDefault="00681463">
      <w:pPr>
        <w:pStyle w:val="BodyText"/>
        <w:spacing w:before="120"/>
      </w:pPr>
      <w:r>
        <w:t>Circumstances for which an informal hearing is not required are as follows:</w:t>
      </w:r>
    </w:p>
    <w:p w:rsidR="004E13A5" w:rsidRDefault="00681463">
      <w:pPr>
        <w:pStyle w:val="ListParagraph"/>
        <w:numPr>
          <w:ilvl w:val="0"/>
          <w:numId w:val="93"/>
        </w:numPr>
        <w:tabs>
          <w:tab w:val="left" w:pos="460"/>
          <w:tab w:val="left" w:pos="461"/>
        </w:tabs>
        <w:rPr>
          <w:rFonts w:ascii="Symbol"/>
          <w:sz w:val="24"/>
        </w:rPr>
      </w:pPr>
      <w:r>
        <w:rPr>
          <w:sz w:val="24"/>
        </w:rPr>
        <w:t>Discretionary administrative determinations by the</w:t>
      </w:r>
      <w:r>
        <w:rPr>
          <w:spacing w:val="-12"/>
          <w:sz w:val="24"/>
        </w:rPr>
        <w:t xml:space="preserve"> </w:t>
      </w:r>
      <w:r>
        <w:rPr>
          <w:sz w:val="24"/>
        </w:rPr>
        <w:t>PHA</w:t>
      </w:r>
    </w:p>
    <w:p w:rsidR="004E13A5" w:rsidRDefault="00681463">
      <w:pPr>
        <w:pStyle w:val="ListParagraph"/>
        <w:numPr>
          <w:ilvl w:val="0"/>
          <w:numId w:val="93"/>
        </w:numPr>
        <w:tabs>
          <w:tab w:val="left" w:pos="460"/>
          <w:tab w:val="left" w:pos="461"/>
        </w:tabs>
        <w:spacing w:before="120"/>
        <w:rPr>
          <w:rFonts w:ascii="Symbol"/>
          <w:sz w:val="24"/>
        </w:rPr>
      </w:pPr>
      <w:r>
        <w:rPr>
          <w:sz w:val="24"/>
        </w:rPr>
        <w:t>General policy issues or class</w:t>
      </w:r>
      <w:r>
        <w:rPr>
          <w:spacing w:val="-11"/>
          <w:sz w:val="24"/>
        </w:rPr>
        <w:t xml:space="preserve"> </w:t>
      </w:r>
      <w:r>
        <w:rPr>
          <w:sz w:val="24"/>
        </w:rPr>
        <w:t>grievances</w:t>
      </w:r>
    </w:p>
    <w:p w:rsidR="004E13A5" w:rsidRDefault="00681463">
      <w:pPr>
        <w:pStyle w:val="ListParagraph"/>
        <w:numPr>
          <w:ilvl w:val="0"/>
          <w:numId w:val="93"/>
        </w:numPr>
        <w:tabs>
          <w:tab w:val="left" w:pos="460"/>
          <w:tab w:val="left" w:pos="461"/>
        </w:tabs>
        <w:spacing w:before="118"/>
        <w:rPr>
          <w:rFonts w:ascii="Symbol"/>
          <w:sz w:val="24"/>
        </w:rPr>
      </w:pPr>
      <w:r>
        <w:rPr>
          <w:sz w:val="24"/>
        </w:rPr>
        <w:t>Establishment of the PHA schedule of utility allowances for families in the</w:t>
      </w:r>
      <w:r>
        <w:rPr>
          <w:spacing w:val="-13"/>
          <w:sz w:val="24"/>
        </w:rPr>
        <w:t xml:space="preserve"> </w:t>
      </w:r>
      <w:r>
        <w:rPr>
          <w:sz w:val="24"/>
        </w:rPr>
        <w:t>program</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not to approve an extension of a voucher</w:t>
      </w:r>
      <w:r>
        <w:rPr>
          <w:spacing w:val="-12"/>
          <w:sz w:val="24"/>
        </w:rPr>
        <w:t xml:space="preserve"> </w:t>
      </w:r>
      <w:r>
        <w:rPr>
          <w:sz w:val="24"/>
        </w:rPr>
        <w:t>term</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not to approve a unit or</w:t>
      </w:r>
      <w:r>
        <w:rPr>
          <w:spacing w:val="-6"/>
          <w:sz w:val="24"/>
        </w:rPr>
        <w:t xml:space="preserve"> </w:t>
      </w:r>
      <w:r>
        <w:rPr>
          <w:sz w:val="24"/>
        </w:rPr>
        <w:t>tenancy</w:t>
      </w:r>
    </w:p>
    <w:p w:rsidR="004E13A5" w:rsidRDefault="00681463">
      <w:pPr>
        <w:pStyle w:val="ListParagraph"/>
        <w:numPr>
          <w:ilvl w:val="0"/>
          <w:numId w:val="93"/>
        </w:numPr>
        <w:tabs>
          <w:tab w:val="left" w:pos="460"/>
          <w:tab w:val="left" w:pos="461"/>
        </w:tabs>
        <w:spacing w:before="118"/>
        <w:rPr>
          <w:rFonts w:ascii="Symbol"/>
          <w:sz w:val="24"/>
        </w:rPr>
      </w:pPr>
      <w:r>
        <w:rPr>
          <w:sz w:val="24"/>
        </w:rPr>
        <w:t>A PHA determination that a unit selected by the applicant is not in compliance with the</w:t>
      </w:r>
      <w:r>
        <w:rPr>
          <w:spacing w:val="-16"/>
          <w:sz w:val="24"/>
        </w:rPr>
        <w:t xml:space="preserve"> </w:t>
      </w:r>
      <w:r w:rsidR="002C4221">
        <w:rPr>
          <w:sz w:val="24"/>
        </w:rPr>
        <w:t>NSPIRE</w:t>
      </w:r>
    </w:p>
    <w:p w:rsidR="004E13A5" w:rsidRDefault="00681463">
      <w:pPr>
        <w:pStyle w:val="ListParagraph"/>
        <w:numPr>
          <w:ilvl w:val="0"/>
          <w:numId w:val="93"/>
        </w:numPr>
        <w:tabs>
          <w:tab w:val="left" w:pos="460"/>
          <w:tab w:val="left" w:pos="461"/>
        </w:tabs>
        <w:spacing w:before="118"/>
        <w:rPr>
          <w:rFonts w:ascii="Symbol"/>
          <w:sz w:val="24"/>
        </w:rPr>
      </w:pPr>
      <w:r>
        <w:rPr>
          <w:sz w:val="24"/>
        </w:rPr>
        <w:t xml:space="preserve">A PHA determination that the unit is not in accordance with </w:t>
      </w:r>
      <w:r w:rsidR="002C4221">
        <w:rPr>
          <w:sz w:val="24"/>
        </w:rPr>
        <w:t>NSPIRE</w:t>
      </w:r>
      <w:r>
        <w:rPr>
          <w:sz w:val="24"/>
        </w:rPr>
        <w:t xml:space="preserve"> because of family</w:t>
      </w:r>
      <w:r>
        <w:rPr>
          <w:spacing w:val="-12"/>
          <w:sz w:val="24"/>
        </w:rPr>
        <w:t xml:space="preserve"> </w:t>
      </w:r>
      <w:r>
        <w:rPr>
          <w:sz w:val="24"/>
        </w:rPr>
        <w:t>size</w:t>
      </w:r>
    </w:p>
    <w:p w:rsidR="004E13A5" w:rsidRDefault="00681463">
      <w:pPr>
        <w:pStyle w:val="ListParagraph"/>
        <w:numPr>
          <w:ilvl w:val="0"/>
          <w:numId w:val="93"/>
        </w:numPr>
        <w:tabs>
          <w:tab w:val="left" w:pos="460"/>
          <w:tab w:val="left" w:pos="461"/>
        </w:tabs>
        <w:spacing w:before="120"/>
        <w:ind w:right="104"/>
        <w:rPr>
          <w:rFonts w:ascii="Symbol"/>
          <w:sz w:val="24"/>
        </w:rPr>
      </w:pPr>
      <w:r>
        <w:rPr>
          <w:sz w:val="24"/>
        </w:rPr>
        <w:t>A determination by the PHA to exercise or not to exercise any right or remedy against an</w:t>
      </w:r>
      <w:r>
        <w:rPr>
          <w:spacing w:val="-18"/>
          <w:sz w:val="24"/>
        </w:rPr>
        <w:t xml:space="preserve"> </w:t>
      </w:r>
      <w:r>
        <w:rPr>
          <w:sz w:val="24"/>
        </w:rPr>
        <w:t>owner under a HAP</w:t>
      </w:r>
      <w:r>
        <w:rPr>
          <w:spacing w:val="-6"/>
          <w:sz w:val="24"/>
        </w:rPr>
        <w:t xml:space="preserve"> </w:t>
      </w:r>
      <w:r>
        <w:rPr>
          <w:sz w:val="24"/>
        </w:rPr>
        <w:t>contract</w:t>
      </w:r>
    </w:p>
    <w:p w:rsidR="004E13A5" w:rsidRDefault="00681463">
      <w:pPr>
        <w:pStyle w:val="BodyText"/>
        <w:ind w:left="820"/>
        <w:jc w:val="both"/>
      </w:pPr>
      <w:r>
        <w:rPr>
          <w:u w:val="single"/>
        </w:rPr>
        <w:t>PHA Policy</w:t>
      </w:r>
    </w:p>
    <w:p w:rsidR="004E13A5" w:rsidRDefault="00681463">
      <w:pPr>
        <w:pStyle w:val="BodyText"/>
        <w:ind w:left="820" w:right="153"/>
        <w:jc w:val="both"/>
      </w:pPr>
      <w:r>
        <w:t>The PHA will only offer participants the opportunity for an informal hearing when required to by the regulations, and if the PHA denies a request for a reasonable accommodation (see Chapter 2).</w:t>
      </w:r>
    </w:p>
    <w:p w:rsidR="004E13A5" w:rsidRDefault="004E13A5">
      <w:pPr>
        <w:jc w:val="both"/>
        <w:sectPr w:rsidR="004E13A5">
          <w:pgSz w:w="12240" w:h="15840"/>
          <w:pgMar w:top="1000" w:right="1240" w:bottom="1240" w:left="1220" w:header="0" w:footer="998" w:gutter="0"/>
          <w:cols w:space="720"/>
        </w:sectPr>
      </w:pPr>
    </w:p>
    <w:p w:rsidR="004E13A5" w:rsidRDefault="00681463">
      <w:pPr>
        <w:pStyle w:val="Heading4"/>
        <w:spacing w:before="79"/>
      </w:pPr>
      <w:bookmarkStart w:id="291" w:name="_TOC_250138"/>
      <w:bookmarkEnd w:id="291"/>
      <w:r>
        <w:lastRenderedPageBreak/>
        <w:t>Remote Informal Hearings [Notice PIH 2020-32]</w:t>
      </w:r>
    </w:p>
    <w:p w:rsidR="004E13A5" w:rsidRDefault="00681463">
      <w:pPr>
        <w:pStyle w:val="BodyText"/>
        <w:spacing w:before="120"/>
        <w:ind w:right="522"/>
      </w:pPr>
      <w:r>
        <w:t>There is no requirement that informal hearings be conducted in-person, and as such, HUD allos PHAs to conduct all or a portion of their informal hearings remotely either over the phone , via video conferencing, or through other virtual platforms. If the PHA chooses to conduct remote informal hearings, applicants may still request an in-person informal hearing, as applicable.</w:t>
      </w:r>
    </w:p>
    <w:p w:rsidR="004E13A5" w:rsidRDefault="00681463">
      <w:pPr>
        <w:pStyle w:val="BodyText"/>
        <w:ind w:left="820"/>
      </w:pPr>
      <w:r>
        <w:rPr>
          <w:u w:val="single"/>
        </w:rPr>
        <w:t>PHA Policy</w:t>
      </w:r>
    </w:p>
    <w:p w:rsidR="004E13A5" w:rsidRDefault="00681463">
      <w:pPr>
        <w:pStyle w:val="BodyText"/>
        <w:ind w:left="820"/>
      </w:pPr>
      <w:r>
        <w:t>The PHA has the sole discretion to require that informal hearings be conducted remotely.</w:t>
      </w:r>
    </w:p>
    <w:p w:rsidR="004E13A5" w:rsidRDefault="00681463">
      <w:pPr>
        <w:pStyle w:val="BodyText"/>
        <w:ind w:left="820" w:right="635"/>
      </w:pPr>
      <w:r>
        <w:t>In addition, the PHA will conduct an informal hearing remotely upon request as a reasonable accommodation for a person with a disability. The PHA will consider other reasonable requests for a remote informal hearing on a case-by-case basis.</w:t>
      </w:r>
    </w:p>
    <w:p w:rsidR="004E13A5" w:rsidRDefault="00681463">
      <w:pPr>
        <w:pStyle w:val="Heading4"/>
        <w:spacing w:before="119"/>
      </w:pPr>
      <w:r>
        <w:t>Ensuring Accessibility for Persons with Disabilities and LEP Individuals</w:t>
      </w:r>
    </w:p>
    <w:p w:rsidR="004E13A5" w:rsidRDefault="00681463">
      <w:pPr>
        <w:pStyle w:val="BodyText"/>
        <w:ind w:right="89"/>
      </w:pPr>
      <w:r>
        <w:t>As with in-person informal hearings, the platform for conducting remote informal hearings must be accessible to persons with disabilities and the informal hearings must be conducted in accordance with Section 504 and accessibility requirements. This includes ensuring any information, websites, emails, digital notifications, and other virtual platforms are accessible for persons with vision, hearing, and other disabilities. Further, providing effective communication in a digital context may require the use of individualized auxiliary aids or services, such as audio description, captioning, sign language and other types of interpreters, keyboard accessibility, accessible documents, screen reader support, and transcripts. Auxiliary aids or services must be provided in accessible formats, in a timely manner, and in such a way to protect the privacy and independence of the individual.</w:t>
      </w:r>
    </w:p>
    <w:p w:rsidR="004E13A5" w:rsidRDefault="00681463">
      <w:pPr>
        <w:pStyle w:val="BodyText"/>
        <w:spacing w:before="0"/>
        <w:ind w:right="475"/>
      </w:pPr>
      <w:r>
        <w:t>PHAs may never request or require that individuals with disabilities provide their own auxiliary aids or services, including for remote informal hearings.</w:t>
      </w:r>
    </w:p>
    <w:p w:rsidR="004E13A5" w:rsidRDefault="00681463">
      <w:pPr>
        <w:pStyle w:val="BodyText"/>
        <w:spacing w:before="120"/>
        <w:ind w:right="183"/>
      </w:pPr>
      <w:r>
        <w:t>PHAs are required to make reasonable accommodations in policies, practices, and procedures to ensure persons with disabilities have a full and equal opportunity to participate in and benefit from all aspects of the informal hearing process. See Chapter 2 for a more detailed discussion of reasonable accommodation requirements.</w:t>
      </w:r>
    </w:p>
    <w:p w:rsidR="004E13A5" w:rsidRDefault="00681463">
      <w:pPr>
        <w:pStyle w:val="BodyText"/>
        <w:ind w:right="802"/>
      </w:pPr>
      <w:r>
        <w:t>If no method of conducting a remote informal hearings is available that appropriately accommodates an individual’s disability, the PHA may not hold against the individual their inability to participate in the remote informal hearing, and the PHA should consider whether postponing the remote hearing to a later date is appropriate or whether there is a suitable alternative.</w:t>
      </w:r>
    </w:p>
    <w:p w:rsidR="004E13A5" w:rsidRDefault="00681463">
      <w:pPr>
        <w:pStyle w:val="BodyText"/>
      </w:pPr>
      <w:r>
        <w:t>Due to the individualized nature of disability, the appropriate auxiliary aid or service necessary, or reasonable accommodation will depend on the specific circumstances and requirements.</w:t>
      </w:r>
    </w:p>
    <w:p w:rsidR="004E13A5" w:rsidRDefault="00681463">
      <w:pPr>
        <w:pStyle w:val="BodyText"/>
        <w:ind w:right="122"/>
      </w:pPr>
      <w:r>
        <w:t>As with in-person reviews, Limited English Proficiency (LEP) requirements also apply to remote informal hearings, including the use of interpretation services and document translation. See Chapter 2 for a more thorough discussion of accessibility and LEP requirements, all of which apply in the context of remote informal hearings.</w:t>
      </w:r>
    </w:p>
    <w:p w:rsidR="004E13A5" w:rsidRDefault="00681463">
      <w:pPr>
        <w:pStyle w:val="Heading4"/>
        <w:spacing w:before="119"/>
      </w:pPr>
      <w:bookmarkStart w:id="292" w:name="_TOC_250137"/>
      <w:bookmarkEnd w:id="292"/>
      <w:r>
        <w:t>Conducting Informal Hearings Remotely</w:t>
      </w:r>
    </w:p>
    <w:p w:rsidR="004E13A5" w:rsidRDefault="00681463">
      <w:pPr>
        <w:pStyle w:val="BodyText"/>
        <w:ind w:right="109"/>
      </w:pPr>
      <w:r>
        <w:t>The PHA must ensure that the lack of technology or inability to use technology for remote informal hearings does not pose a disadvantage to families that may not be apparent to the PHA. The PHA should determine through a survey or other means if these barriers exist prior to conducting the remote informal hearing and, if the family does not have the proper technology to fully participate, either postpone the informal hearing or provide an alternative means of access.</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222"/>
        <w:jc w:val="both"/>
      </w:pPr>
      <w:r>
        <w:lastRenderedPageBreak/>
        <w:t>As with in-person informal hearings, the PHA must provide all materials presented, whether paper or electronic, to the family prior to the remote informal hearing. The family must also be provided with an accessible means by which to transmit their own evidence.</w:t>
      </w:r>
    </w:p>
    <w:p w:rsidR="004E13A5" w:rsidRDefault="00681463">
      <w:pPr>
        <w:pStyle w:val="BodyText"/>
        <w:spacing w:before="120"/>
        <w:ind w:right="335"/>
      </w:pPr>
      <w:r>
        <w:t>The PHA’s essential responsibility is to ensure informal hearings meet the requirements of due process and comply with HUD regulations. Therefore, all PHA policies and processes for remote informal hearings will be conducted in accordance with due process requirements, and will be in compliance with HUD regulations at 24 CFR 982.555 and the guidance for conducting remote hearings specified in Notice PIH 2020-32.</w:t>
      </w:r>
    </w:p>
    <w:p w:rsidR="004E13A5" w:rsidRDefault="00681463">
      <w:pPr>
        <w:pStyle w:val="BodyText"/>
        <w:spacing w:before="120"/>
        <w:ind w:left="820"/>
      </w:pPr>
      <w:r>
        <w:rPr>
          <w:u w:val="single"/>
        </w:rPr>
        <w:t>PHA Policy</w:t>
      </w:r>
    </w:p>
    <w:p w:rsidR="004E13A5" w:rsidRDefault="00681463">
      <w:pPr>
        <w:pStyle w:val="BodyText"/>
        <w:spacing w:before="120"/>
        <w:ind w:left="820" w:right="323"/>
      </w:pPr>
      <w:r>
        <w:t>The PHA will conduct remote informal hearings via telephone conferencing call-in. If the family is unable to adequately access the telephone conferencing call-in at any point, the remote informal hearing will be postponed, and an in-person alternative will be provided promptly within a reasonable time.</w:t>
      </w:r>
    </w:p>
    <w:p w:rsidR="004E13A5" w:rsidRDefault="00681463">
      <w:pPr>
        <w:pStyle w:val="BodyText"/>
        <w:spacing w:before="120"/>
        <w:ind w:left="820" w:right="129"/>
      </w:pPr>
      <w:r>
        <w:t>At least five business days prior to scheduling the remote hearing, the PHA will provide the family with conferencing call-in information and an electronic copy of all materials being presented via first class mail and/or email. The notice will advise the family of technological requirements for the hearing and request the family notify the PHA of any known barriers. The PHA will resolve any barriers using the guidance in Section 6 of Notice PIH 2020-32, including offering the family the opportunity to attend an in-person hearing.</w:t>
      </w:r>
    </w:p>
    <w:p w:rsidR="004E13A5" w:rsidRDefault="00681463">
      <w:pPr>
        <w:pStyle w:val="BodyText"/>
        <w:ind w:right="96"/>
      </w:pPr>
      <w:r>
        <w:t>The PHA will ensure that all electronic information stored or transmitted with respect to the informal hearing is secure, including protecting personally identifiable information (PII), and meets the requirements for accessibility for persons with disabilities and persons with LEP.</w:t>
      </w:r>
    </w:p>
    <w:p w:rsidR="004E13A5" w:rsidRDefault="00681463">
      <w:pPr>
        <w:pStyle w:val="BodyText"/>
        <w:ind w:left="820"/>
      </w:pPr>
      <w:r>
        <w:rPr>
          <w:u w:val="single"/>
        </w:rPr>
        <w:t>PHA Policy</w:t>
      </w:r>
    </w:p>
    <w:p w:rsidR="004E13A5" w:rsidRDefault="00681463">
      <w:pPr>
        <w:pStyle w:val="BodyText"/>
        <w:ind w:left="820" w:right="116"/>
      </w:pPr>
      <w:r>
        <w:t>The PHA will conduct remote informal hearings via telephone conferencing call-in and will provide all parties telephone call-in information before the hearing.</w:t>
      </w:r>
    </w:p>
    <w:p w:rsidR="004E13A5" w:rsidRDefault="00681463">
      <w:pPr>
        <w:pStyle w:val="Heading4"/>
        <w:spacing w:before="119"/>
      </w:pPr>
      <w:bookmarkStart w:id="293" w:name="_TOC_250136"/>
      <w:bookmarkEnd w:id="293"/>
      <w:r>
        <w:t>Informal Hearing Procedures</w:t>
      </w:r>
    </w:p>
    <w:p w:rsidR="004E13A5" w:rsidRDefault="00681463">
      <w:pPr>
        <w:spacing w:before="119"/>
        <w:ind w:left="100"/>
        <w:rPr>
          <w:b/>
          <w:sz w:val="24"/>
        </w:rPr>
      </w:pPr>
      <w:r>
        <w:rPr>
          <w:b/>
          <w:i/>
          <w:sz w:val="24"/>
        </w:rPr>
        <w:t xml:space="preserve">Notice to the Family </w:t>
      </w:r>
      <w:r>
        <w:rPr>
          <w:b/>
          <w:sz w:val="24"/>
        </w:rPr>
        <w:t>[24 CFR 982.555(c)]</w:t>
      </w:r>
    </w:p>
    <w:p w:rsidR="004E13A5" w:rsidRDefault="00681463">
      <w:pPr>
        <w:pStyle w:val="BodyText"/>
        <w:ind w:right="116"/>
      </w:pPr>
      <w:r>
        <w:t>When the PHA makes a decision that is subject to informal hearing procedures, the PHA must inform the family of its right to an informal hearing at the same time that it informs the family of the decision.</w:t>
      </w:r>
    </w:p>
    <w:p w:rsidR="004E13A5" w:rsidRDefault="00681463">
      <w:pPr>
        <w:pStyle w:val="BodyText"/>
        <w:ind w:right="123"/>
      </w:pPr>
      <w:r>
        <w:t>For decisions related to the family’s annual or adjusted income, the determination of the appropriate utility allowance, and the determination of the family unit size, the PHA must notify the family that they may ask for an explanation of the basis of the determination, and that if they</w:t>
      </w:r>
      <w:r>
        <w:rPr>
          <w:spacing w:val="-18"/>
        </w:rPr>
        <w:t xml:space="preserve"> </w:t>
      </w:r>
      <w:r>
        <w:t>do not agree with the decision, they may request an informal hearing on the</w:t>
      </w:r>
      <w:r>
        <w:rPr>
          <w:spacing w:val="-10"/>
        </w:rPr>
        <w:t xml:space="preserve"> </w:t>
      </w:r>
      <w:r>
        <w:t>decision.</w:t>
      </w:r>
    </w:p>
    <w:p w:rsidR="004E13A5" w:rsidRDefault="00681463">
      <w:pPr>
        <w:pStyle w:val="BodyText"/>
        <w:ind w:right="162"/>
      </w:pPr>
      <w:r>
        <w:t>For decisions related to the termination of the family’s assistance, or the denial of a family’s request for an exception to the PHA’s subsidy standards, the notice must contain a brief statement of the reasons for the decision, a statement that if the family does not agree with the decision, the family may request an informal hearing on the decision, and a statement of the deadline for the family to request an informal hearing.</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389"/>
      </w:pPr>
      <w:r>
        <w:t>In cases where the PHA makes a decision for which an informal hearing must be offered, the notice to the family will include all of the following:</w:t>
      </w:r>
    </w:p>
    <w:p w:rsidR="004E13A5" w:rsidRDefault="00681463">
      <w:pPr>
        <w:pStyle w:val="BodyText"/>
        <w:ind w:left="1540"/>
      </w:pPr>
      <w:r>
        <w:t>The proposed action or decision of the PHA.</w:t>
      </w:r>
    </w:p>
    <w:p w:rsidR="004E13A5" w:rsidRDefault="00681463">
      <w:pPr>
        <w:pStyle w:val="BodyText"/>
        <w:spacing w:line="343" w:lineRule="auto"/>
        <w:ind w:left="1540"/>
      </w:pPr>
      <w:r>
        <w:t>A brief statement of the reasons for the decision, including the regulatory reference. The date the proposed action will take place.</w:t>
      </w:r>
    </w:p>
    <w:p w:rsidR="004E13A5" w:rsidRDefault="00681463">
      <w:pPr>
        <w:pStyle w:val="BodyText"/>
        <w:spacing w:before="5"/>
        <w:ind w:left="1540" w:right="828"/>
      </w:pPr>
      <w:r>
        <w:t>A statement of the family’s right to an explanation of the basis for the PHA’s decision.</w:t>
      </w:r>
    </w:p>
    <w:p w:rsidR="004E13A5" w:rsidRDefault="00681463">
      <w:pPr>
        <w:pStyle w:val="BodyText"/>
        <w:ind w:left="1540" w:right="762"/>
      </w:pPr>
      <w:r>
        <w:t>A statement that if the family does not agree with the decision the family may request an informal hearing of the decision.</w:t>
      </w:r>
    </w:p>
    <w:p w:rsidR="004E13A5" w:rsidRDefault="00681463">
      <w:pPr>
        <w:pStyle w:val="BodyText"/>
        <w:spacing w:line="345" w:lineRule="auto"/>
        <w:ind w:left="1540" w:right="2508"/>
      </w:pPr>
      <w:r>
        <w:t>A deadline for the family to request the informal hearing. To whom the hearing request should be addressed.</w:t>
      </w:r>
    </w:p>
    <w:p w:rsidR="004E13A5" w:rsidRDefault="00681463">
      <w:pPr>
        <w:pStyle w:val="BodyText"/>
        <w:spacing w:before="2"/>
        <w:ind w:left="1540"/>
      </w:pPr>
      <w:r>
        <w:t>A copy of the PHA’s hearing procedures.</w:t>
      </w:r>
    </w:p>
    <w:p w:rsidR="004E13A5" w:rsidRDefault="00681463">
      <w:pPr>
        <w:pStyle w:val="BodyText"/>
        <w:ind w:left="1540"/>
      </w:pPr>
      <w:r>
        <w:t>That the family may request a remote informal hearing</w:t>
      </w:r>
    </w:p>
    <w:p w:rsidR="004E13A5" w:rsidRDefault="00681463">
      <w:pPr>
        <w:spacing w:before="119"/>
        <w:ind w:left="100"/>
        <w:rPr>
          <w:b/>
          <w:sz w:val="24"/>
        </w:rPr>
      </w:pPr>
      <w:r>
        <w:rPr>
          <w:b/>
          <w:i/>
          <w:sz w:val="24"/>
        </w:rPr>
        <w:t xml:space="preserve">Scheduling an Informal Hearing </w:t>
      </w:r>
      <w:r>
        <w:rPr>
          <w:b/>
          <w:sz w:val="24"/>
        </w:rPr>
        <w:t>[24 CFR 982.555(d)]</w:t>
      </w:r>
    </w:p>
    <w:p w:rsidR="004E13A5" w:rsidRDefault="00681463">
      <w:pPr>
        <w:pStyle w:val="BodyText"/>
        <w:ind w:right="642"/>
      </w:pPr>
      <w:r>
        <w:t>When an informal hearing is required, the PHA must proceed with the hearing in a reasonably expeditious manner upon the request of the family.</w:t>
      </w:r>
    </w:p>
    <w:p w:rsidR="004E13A5" w:rsidRDefault="00681463">
      <w:pPr>
        <w:pStyle w:val="BodyText"/>
        <w:ind w:left="820"/>
      </w:pPr>
      <w:r>
        <w:rPr>
          <w:u w:val="single"/>
        </w:rPr>
        <w:t>PHA Policy</w:t>
      </w:r>
    </w:p>
    <w:p w:rsidR="004E13A5" w:rsidRDefault="00681463">
      <w:pPr>
        <w:pStyle w:val="BodyText"/>
        <w:ind w:left="820" w:right="183"/>
      </w:pPr>
      <w:r>
        <w:t>A request for an informal hearing must be made in writing and delivered to the PHA either in person or by first class mail, by the close of the business day, no later than 10 business days from the date of the PHA’s decision or notice to terminate assistance.</w:t>
      </w:r>
    </w:p>
    <w:p w:rsidR="004E13A5" w:rsidRDefault="00681463">
      <w:pPr>
        <w:pStyle w:val="BodyText"/>
        <w:spacing w:before="120"/>
        <w:ind w:left="820"/>
      </w:pPr>
      <w:r>
        <w:t>The PHA must schedule and send written notice of the informal hearing to the family within 10 business days of the family’s request.</w:t>
      </w:r>
    </w:p>
    <w:p w:rsidR="004E13A5" w:rsidRDefault="00681463">
      <w:pPr>
        <w:pStyle w:val="BodyText"/>
        <w:spacing w:before="120"/>
        <w:ind w:left="820" w:right="183"/>
      </w:pPr>
      <w:r>
        <w:t>If the PHA hearing will be conducted remotely, at the time the notice is sent to the family, the family will be notified:</w:t>
      </w:r>
    </w:p>
    <w:p w:rsidR="004E13A5" w:rsidRDefault="00681463">
      <w:pPr>
        <w:pStyle w:val="BodyText"/>
        <w:spacing w:before="120"/>
        <w:ind w:left="1540"/>
      </w:pPr>
      <w:r>
        <w:t>Regarding the processes involved in a remote informal hearing;</w:t>
      </w:r>
    </w:p>
    <w:p w:rsidR="004E13A5" w:rsidRDefault="00681463">
      <w:pPr>
        <w:pStyle w:val="BodyText"/>
        <w:spacing w:before="120"/>
        <w:ind w:left="1540"/>
      </w:pPr>
      <w:r>
        <w:t>That the PHA will provide technical assistance prior to and during the informal hearing, if needed; and</w:t>
      </w:r>
    </w:p>
    <w:p w:rsidR="004E13A5" w:rsidRDefault="00681463">
      <w:pPr>
        <w:pStyle w:val="BodyText"/>
        <w:spacing w:before="120"/>
        <w:ind w:left="1540" w:right="202"/>
      </w:pPr>
      <w:r>
        <w:t>That if the family or any individual witness has any technological, resource, or accessibility barriers, the family may inform the PHA and the PHA will assist the family in either resolving the issue or allow the family to participate in an in-person hearing, as appropriate.</w:t>
      </w:r>
    </w:p>
    <w:p w:rsidR="004E13A5" w:rsidRDefault="00681463">
      <w:pPr>
        <w:pStyle w:val="BodyText"/>
        <w:spacing w:before="120"/>
        <w:ind w:left="820"/>
      </w:pPr>
      <w:r>
        <w:t>The family may request to reschedule a hearing for good cause, or if it is needed as a reasonable accommodation for a person with disabilities. Good cause is defined as an unavoidable conflict which seriously affects the health, safety or welfare of the family. Requests to reschedule a hearing must be made orally or in writing prior to the hearing date. At its discretion, the PHA may request documentation of the “good cause” prior to rescheduling the hearing.</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pPr>
      <w:r>
        <w:lastRenderedPageBreak/>
        <w:t>If the family does not appear within 20 minutes of the scheduled time, and was unable to reschedule the hearing in advance due to the nature of the conflict, the family must contact the PHA within 24 hours of the scheduled hearing date, excluding weekends and holidays. The PHA will reschedule the hearing only if the family can show good cause for the failure to appear, or if it is needed as a reasonable accommodation for a person with disabilities. If the family cannot show good cause for the failure to appear, or a rescheduling is not needed as a reasonable accommodation, the PHA’s decision will stand.</w:t>
      </w:r>
    </w:p>
    <w:p w:rsidR="004E13A5" w:rsidRDefault="00681463">
      <w:pPr>
        <w:spacing w:before="120"/>
        <w:ind w:left="100"/>
        <w:rPr>
          <w:b/>
          <w:sz w:val="24"/>
        </w:rPr>
      </w:pPr>
      <w:r>
        <w:rPr>
          <w:b/>
          <w:i/>
          <w:sz w:val="24"/>
        </w:rPr>
        <w:t xml:space="preserve">Pre-Hearing Right to Discovery </w:t>
      </w:r>
      <w:r>
        <w:rPr>
          <w:b/>
          <w:sz w:val="24"/>
        </w:rPr>
        <w:t>[24 CFR 982.555(e)]</w:t>
      </w:r>
    </w:p>
    <w:p w:rsidR="004E13A5" w:rsidRDefault="00681463">
      <w:pPr>
        <w:pStyle w:val="BodyText"/>
        <w:spacing w:before="120"/>
      </w:pPr>
      <w:r>
        <w:t>Participants and the PHA are permitted pre-hearing discovery rights. The family must be given the opportunity to examine before the hearing any PHA documents that are directly relevant to the hearing. The family must be allowed to copy any such documents at their own expense. If the PHA does not make the document available for examination on request of the family, the PHA may not rely on the document at the hearing.</w:t>
      </w:r>
    </w:p>
    <w:p w:rsidR="004E13A5" w:rsidRDefault="00681463">
      <w:pPr>
        <w:pStyle w:val="BodyText"/>
        <w:spacing w:before="120"/>
      </w:pPr>
      <w:r>
        <w:t xml:space="preserve">For the purpose of informal hearings, </w:t>
      </w:r>
      <w:r>
        <w:rPr>
          <w:i/>
        </w:rPr>
        <w:t xml:space="preserve">documents </w:t>
      </w:r>
      <w:r>
        <w:t>include records and regulations.</w:t>
      </w:r>
    </w:p>
    <w:p w:rsidR="004E13A5" w:rsidRDefault="00681463">
      <w:pPr>
        <w:pStyle w:val="BodyText"/>
        <w:ind w:left="820"/>
      </w:pPr>
      <w:r>
        <w:rPr>
          <w:u w:val="single"/>
        </w:rPr>
        <w:t>PHA Policy</w:t>
      </w:r>
    </w:p>
    <w:p w:rsidR="004E13A5" w:rsidRDefault="00681463">
      <w:pPr>
        <w:pStyle w:val="BodyText"/>
        <w:ind w:left="820" w:right="268"/>
      </w:pPr>
      <w:r>
        <w:t>The family will be allowed to copy any documents related to the hearing at no cost to the family. The family must request discovery of PHA documents no later than 12:00 p.m. on the business day prior to the scheduled hearing date.</w:t>
      </w:r>
    </w:p>
    <w:p w:rsidR="004E13A5" w:rsidRDefault="00681463">
      <w:pPr>
        <w:pStyle w:val="BodyText"/>
        <w:ind w:left="820" w:right="83"/>
      </w:pPr>
      <w:r>
        <w:t>If the hearing will be conducted remotely, the PHA will compile a hearing packet, consisting of all documents the PHA intends to produce at the informal hearing. The PHA will mail copies of the hearing packet to the family, the family’s representatives, if any, and the hearing officer at least three days before the scheduled remote informal hearing. The original hearing packet will be in the possession of the PHA representative and retained by the PHA.</w:t>
      </w:r>
    </w:p>
    <w:p w:rsidR="004E13A5" w:rsidRDefault="00681463">
      <w:pPr>
        <w:pStyle w:val="BodyText"/>
        <w:spacing w:before="120"/>
        <w:ind w:left="820"/>
      </w:pPr>
      <w:r>
        <w:t>Documents will be shared electronically whenever possible.</w:t>
      </w:r>
    </w:p>
    <w:p w:rsidR="004E13A5" w:rsidRDefault="00681463">
      <w:pPr>
        <w:pStyle w:val="BodyText"/>
        <w:spacing w:before="120"/>
        <w:ind w:right="95"/>
      </w:pPr>
      <w:r>
        <w:t>The PHA hearing procedures may provide that the PHA must be given the opportunity to examine at the PHA offices before the hearing any family documents that are directly relevant to the hearing. The PHA must be allowed to copy any such document at the PHA’s expense. If the family does not make the document available for examination on request of the PHA, the family may not rely on the document at the hearing.</w:t>
      </w:r>
    </w:p>
    <w:p w:rsidR="004E13A5" w:rsidRDefault="00681463">
      <w:pPr>
        <w:pStyle w:val="BodyText"/>
        <w:spacing w:before="120"/>
        <w:ind w:left="820"/>
      </w:pPr>
      <w:r>
        <w:rPr>
          <w:u w:val="single"/>
        </w:rPr>
        <w:t>PHA Policy</w:t>
      </w:r>
    </w:p>
    <w:p w:rsidR="004E13A5" w:rsidRDefault="00681463">
      <w:pPr>
        <w:pStyle w:val="BodyText"/>
        <w:spacing w:before="120"/>
        <w:ind w:left="820" w:right="621"/>
      </w:pPr>
      <w:r>
        <w:t>For in-person hearings, the PHA will not require pre-hearing discovery by the PHA of family documents directly relevant to the hearing.</w:t>
      </w:r>
    </w:p>
    <w:p w:rsidR="004E13A5" w:rsidRDefault="00681463">
      <w:pPr>
        <w:pStyle w:val="BodyText"/>
        <w:spacing w:before="120"/>
        <w:ind w:left="820" w:right="82"/>
      </w:pPr>
      <w:r>
        <w:t>If the informal hearing is to be conducted remotely, the PHA will require the family to provide any documents directly relevant to the informal hearing at least 24 hours before the scheduled hearing through mail. The PHA will scan and email copies of these documents to the hearing officer and the PHA representative the same day.</w:t>
      </w:r>
    </w:p>
    <w:p w:rsidR="004E13A5" w:rsidRDefault="00681463">
      <w:pPr>
        <w:pStyle w:val="BodyText"/>
        <w:spacing w:before="120"/>
        <w:ind w:left="820"/>
      </w:pPr>
      <w:r>
        <w:t>Documents will be shared electronically whenever possible.(Board approved 9/22/2020)</w:t>
      </w:r>
    </w:p>
    <w:p w:rsidR="004E13A5" w:rsidRDefault="00681463">
      <w:pPr>
        <w:spacing w:before="120"/>
        <w:ind w:left="100"/>
        <w:rPr>
          <w:b/>
          <w:sz w:val="24"/>
        </w:rPr>
      </w:pPr>
      <w:r>
        <w:rPr>
          <w:b/>
          <w:i/>
          <w:sz w:val="24"/>
        </w:rPr>
        <w:t xml:space="preserve">Participant’s Right to Bring Counsel </w:t>
      </w:r>
      <w:r>
        <w:rPr>
          <w:b/>
          <w:sz w:val="24"/>
        </w:rPr>
        <w:t>[24 CFR 982.555(e)(3)]</w:t>
      </w:r>
    </w:p>
    <w:p w:rsidR="004E13A5" w:rsidRDefault="00681463">
      <w:pPr>
        <w:pStyle w:val="BodyText"/>
        <w:spacing w:before="120"/>
      </w:pPr>
      <w:r>
        <w:t>At its own expense, the family may be represented by a lawyer or other representative at the informal hearing.</w:t>
      </w:r>
    </w:p>
    <w:p w:rsidR="004E13A5" w:rsidRDefault="004E13A5">
      <w:pPr>
        <w:sectPr w:rsidR="004E13A5">
          <w:pgSz w:w="12240" w:h="15840"/>
          <w:pgMar w:top="1000" w:right="1280" w:bottom="1240" w:left="1220" w:header="0" w:footer="998" w:gutter="0"/>
          <w:cols w:space="720"/>
        </w:sectPr>
      </w:pPr>
    </w:p>
    <w:p w:rsidR="004E13A5" w:rsidRDefault="00681463">
      <w:pPr>
        <w:spacing w:before="79"/>
        <w:ind w:left="100"/>
        <w:rPr>
          <w:b/>
          <w:sz w:val="24"/>
        </w:rPr>
      </w:pPr>
      <w:r>
        <w:rPr>
          <w:b/>
          <w:i/>
          <w:sz w:val="24"/>
        </w:rPr>
        <w:lastRenderedPageBreak/>
        <w:t xml:space="preserve">Informal Hearing Officer </w:t>
      </w:r>
      <w:r>
        <w:rPr>
          <w:b/>
          <w:sz w:val="24"/>
        </w:rPr>
        <w:t>[24 CFR 982.555(e)(4)]</w:t>
      </w:r>
    </w:p>
    <w:p w:rsidR="004E13A5" w:rsidRDefault="00681463">
      <w:pPr>
        <w:pStyle w:val="BodyText"/>
        <w:spacing w:before="120"/>
        <w:ind w:right="399"/>
        <w:jc w:val="both"/>
      </w:pPr>
      <w:r>
        <w:t>Informal hearings will be conducted by a person or persons approved by the PHA, other than the person who made or approved the decision or a subordinate of the person who made or</w:t>
      </w:r>
      <w:r>
        <w:rPr>
          <w:spacing w:val="-12"/>
        </w:rPr>
        <w:t xml:space="preserve"> </w:t>
      </w:r>
      <w:r>
        <w:t>approved the</w:t>
      </w:r>
      <w:r>
        <w:rPr>
          <w:spacing w:val="-3"/>
        </w:rPr>
        <w:t xml:space="preserve"> </w:t>
      </w:r>
      <w:r>
        <w:t>decision.</w:t>
      </w:r>
    </w:p>
    <w:p w:rsidR="004E13A5" w:rsidRDefault="00681463">
      <w:pPr>
        <w:pStyle w:val="Heading5"/>
      </w:pPr>
      <w:r>
        <w:t>Attendance at the Informal Hearing</w:t>
      </w:r>
    </w:p>
    <w:p w:rsidR="004E13A5" w:rsidRDefault="00681463">
      <w:pPr>
        <w:pStyle w:val="BodyText"/>
        <w:ind w:left="820"/>
      </w:pPr>
      <w:r>
        <w:rPr>
          <w:u w:val="single"/>
        </w:rPr>
        <w:t>PHA Policy</w:t>
      </w:r>
    </w:p>
    <w:p w:rsidR="004E13A5" w:rsidRDefault="00681463">
      <w:pPr>
        <w:pStyle w:val="BodyText"/>
        <w:spacing w:line="343" w:lineRule="auto"/>
        <w:ind w:left="1540" w:right="762" w:hanging="720"/>
      </w:pPr>
      <w:r>
        <w:t>Hearings may be attended by a hearing officer and the following applicable persons: A PHA representative(s) and any witnesses for the PHA</w:t>
      </w:r>
    </w:p>
    <w:p w:rsidR="004E13A5" w:rsidRDefault="00681463">
      <w:pPr>
        <w:pStyle w:val="BodyText"/>
        <w:spacing w:before="5" w:line="343" w:lineRule="auto"/>
        <w:ind w:left="1540" w:right="3208"/>
      </w:pPr>
      <w:r>
        <w:t>The participant and any witnesses for the participant The participant’s counsel or other representative</w:t>
      </w:r>
    </w:p>
    <w:p w:rsidR="004E13A5" w:rsidRDefault="00681463">
      <w:pPr>
        <w:pStyle w:val="BodyText"/>
        <w:spacing w:before="5"/>
        <w:ind w:left="1540"/>
      </w:pPr>
      <w:r>
        <w:t>Any other person approved by the PHA as a reasonable accommodation for a person with a disability</w:t>
      </w:r>
    </w:p>
    <w:p w:rsidR="004E13A5" w:rsidRDefault="00681463">
      <w:pPr>
        <w:pStyle w:val="Heading5"/>
      </w:pPr>
      <w:r>
        <w:t>Conduct at Hearings</w:t>
      </w:r>
    </w:p>
    <w:p w:rsidR="004E13A5" w:rsidRDefault="00681463">
      <w:pPr>
        <w:pStyle w:val="BodyText"/>
        <w:ind w:right="343"/>
      </w:pPr>
      <w:r>
        <w:t>The person who conducts the hearing may regulate the conduct of the hearing in accordance with the PHA’s hearing procedures [24 CFR 982.555(4)(ii)].</w:t>
      </w:r>
    </w:p>
    <w:p w:rsidR="004E13A5" w:rsidRDefault="00681463">
      <w:pPr>
        <w:pStyle w:val="BodyText"/>
        <w:ind w:left="820"/>
      </w:pPr>
      <w:r>
        <w:rPr>
          <w:u w:val="single"/>
        </w:rPr>
        <w:t>PHA Policy</w:t>
      </w:r>
    </w:p>
    <w:p w:rsidR="004E13A5" w:rsidRDefault="00681463">
      <w:pPr>
        <w:pStyle w:val="BodyText"/>
        <w:ind w:left="820" w:right="89"/>
      </w:pPr>
      <w:r>
        <w:t>The hearing officer is responsible to manage the order of business and to ensure that hearings are conducted in a professional and businesslike manner. Attendees are expected to comply with all hearing procedures established by the hearing officer and guidelines for conduct. Any person demonstrating disruptive, abusive or otherwise inappropriate behavior will be excused from the hearing at the discretion of the hearing officer.</w:t>
      </w:r>
    </w:p>
    <w:p w:rsidR="004E13A5" w:rsidRDefault="00681463">
      <w:pPr>
        <w:spacing w:before="119"/>
        <w:ind w:left="100"/>
        <w:rPr>
          <w:b/>
          <w:sz w:val="24"/>
        </w:rPr>
      </w:pPr>
      <w:r>
        <w:rPr>
          <w:b/>
          <w:i/>
          <w:sz w:val="24"/>
        </w:rPr>
        <w:t xml:space="preserve">Evidence </w:t>
      </w:r>
      <w:r>
        <w:rPr>
          <w:b/>
          <w:sz w:val="24"/>
        </w:rPr>
        <w:t>[24 CFR 982.555(e)(5)]</w:t>
      </w:r>
    </w:p>
    <w:p w:rsidR="004E13A5" w:rsidRDefault="00681463">
      <w:pPr>
        <w:pStyle w:val="BodyText"/>
        <w:ind w:right="782"/>
      </w:pPr>
      <w:r>
        <w:t>The PHA and the family must be given the opportunity to present evidence and question any witnesses. In general, all evidence is admissible at an informal hearing. Evidence may be considered without regard to admissibility under the rules of evidence applicable to judicial proceedings.</w:t>
      </w:r>
    </w:p>
    <w:p w:rsidR="004E13A5" w:rsidRDefault="00681463">
      <w:pPr>
        <w:pStyle w:val="BodyText"/>
        <w:ind w:left="820"/>
      </w:pPr>
      <w:r>
        <w:rPr>
          <w:u w:val="single"/>
        </w:rPr>
        <w:t>PHA Policy</w:t>
      </w:r>
    </w:p>
    <w:p w:rsidR="004E13A5" w:rsidRDefault="00681463">
      <w:pPr>
        <w:pStyle w:val="BodyText"/>
        <w:ind w:left="820" w:right="389"/>
      </w:pPr>
      <w:r>
        <w:t>Any evidence to be considered by the hearing officer must be presented at the time of the hearing. There are four categories of evidence.</w:t>
      </w:r>
    </w:p>
    <w:p w:rsidR="004E13A5" w:rsidRDefault="00681463">
      <w:pPr>
        <w:spacing w:before="119"/>
        <w:ind w:left="1540"/>
        <w:rPr>
          <w:sz w:val="24"/>
        </w:rPr>
      </w:pPr>
      <w:r>
        <w:rPr>
          <w:b/>
          <w:sz w:val="24"/>
        </w:rPr>
        <w:t>Oral evidence</w:t>
      </w:r>
      <w:r>
        <w:rPr>
          <w:sz w:val="24"/>
        </w:rPr>
        <w:t>: the testimony of witnesses</w:t>
      </w:r>
    </w:p>
    <w:p w:rsidR="004E13A5" w:rsidRDefault="00681463">
      <w:pPr>
        <w:pStyle w:val="BodyText"/>
        <w:ind w:left="1540" w:right="89"/>
      </w:pPr>
      <w:r>
        <w:rPr>
          <w:b/>
        </w:rPr>
        <w:t>Documentary evidence</w:t>
      </w:r>
      <w:r>
        <w:t>: a writing which is relevant to the case, for example, a letter written to the PHA. Writings include all forms of recorded communication or representation, including letters, words, pictures, sounds, videotapes or symbols or combinations thereof.</w:t>
      </w:r>
    </w:p>
    <w:p w:rsidR="004E13A5" w:rsidRDefault="00681463">
      <w:pPr>
        <w:pStyle w:val="BodyText"/>
        <w:ind w:left="1540" w:right="183"/>
      </w:pPr>
      <w:r>
        <w:rPr>
          <w:b/>
        </w:rPr>
        <w:t>Demonstrative evidence</w:t>
      </w:r>
      <w:r>
        <w:t>: Evidence created specifically for the hearing and presented as an illustrative aid to assist the hearing officer, such as a model, a chart or other diagram.</w:t>
      </w:r>
    </w:p>
    <w:p w:rsidR="004E13A5" w:rsidRDefault="00681463">
      <w:pPr>
        <w:spacing w:before="119"/>
        <w:ind w:left="1540"/>
        <w:rPr>
          <w:sz w:val="24"/>
        </w:rPr>
      </w:pPr>
      <w:r>
        <w:rPr>
          <w:b/>
          <w:sz w:val="24"/>
        </w:rPr>
        <w:t>Real evidence</w:t>
      </w:r>
      <w:r>
        <w:rPr>
          <w:sz w:val="24"/>
        </w:rPr>
        <w:t>: A tangible item relating directly to the case.</w:t>
      </w:r>
    </w:p>
    <w:p w:rsidR="004E13A5" w:rsidRDefault="004E13A5">
      <w:pPr>
        <w:rPr>
          <w:sz w:val="24"/>
        </w:rPr>
        <w:sectPr w:rsidR="004E13A5">
          <w:pgSz w:w="12240" w:h="15840"/>
          <w:pgMar w:top="1000" w:right="1220" w:bottom="1240" w:left="1220" w:header="0" w:footer="998" w:gutter="0"/>
          <w:cols w:space="720"/>
        </w:sectPr>
      </w:pPr>
    </w:p>
    <w:p w:rsidR="004E13A5" w:rsidRDefault="00681463">
      <w:pPr>
        <w:pStyle w:val="BodyText"/>
        <w:spacing w:before="79"/>
        <w:ind w:left="820" w:right="177"/>
      </w:pPr>
      <w:r>
        <w:rPr>
          <w:i/>
        </w:rPr>
        <w:lastRenderedPageBreak/>
        <w:t xml:space="preserve">Hearsay Evidence </w:t>
      </w:r>
      <w:r>
        <w:t>is evidence based not on a witness’ personal knowledge. In and of itself, hearsay evidence carries no weight when making a finding of fact. The hearing officer may include hearsay evidence when considering their decision if it is corroborated by other evidence. Even though hearsay evidence is generally admissible in a hearing, the hearing officer will not base a hearing decision on hearsay alone unless there is clear probative value and credibility of the evidence, and the party seeking the change has met the burden of proof.</w:t>
      </w:r>
    </w:p>
    <w:p w:rsidR="004E13A5" w:rsidRDefault="00681463">
      <w:pPr>
        <w:pStyle w:val="BodyText"/>
        <w:spacing w:before="120"/>
        <w:ind w:left="820" w:right="629"/>
      </w:pPr>
      <w:r>
        <w:t>If either the PHA or the family, if required in a remote hearing, fail to comply with the discovery requirements described above, the hearing officer will refuse to admit such evidence.</w:t>
      </w:r>
    </w:p>
    <w:p w:rsidR="004E13A5" w:rsidRDefault="00681463">
      <w:pPr>
        <w:pStyle w:val="BodyText"/>
        <w:spacing w:before="120"/>
        <w:ind w:left="820"/>
      </w:pPr>
      <w:r>
        <w:t>Other than the failure of a party to comply with discovery, the hearing officer has the authority to overrule any objections to evidence.</w:t>
      </w:r>
    </w:p>
    <w:p w:rsidR="004E13A5" w:rsidRDefault="00681463">
      <w:pPr>
        <w:pStyle w:val="Heading5"/>
        <w:spacing w:before="120"/>
        <w:jc w:val="both"/>
      </w:pPr>
      <w:r>
        <w:t>Procedures for Rehearing or Further Hearing</w:t>
      </w:r>
    </w:p>
    <w:p w:rsidR="004E13A5" w:rsidRDefault="00681463">
      <w:pPr>
        <w:pStyle w:val="BodyText"/>
        <w:spacing w:before="120"/>
        <w:ind w:left="820"/>
      </w:pPr>
      <w:r>
        <w:rPr>
          <w:u w:val="single"/>
        </w:rPr>
        <w:t>PHA Policy</w:t>
      </w:r>
    </w:p>
    <w:p w:rsidR="004E13A5" w:rsidRDefault="00681463">
      <w:pPr>
        <w:pStyle w:val="BodyText"/>
        <w:ind w:left="820" w:right="103"/>
      </w:pPr>
      <w:r>
        <w:t>The hearing officer may ask the family for additional information and/or might adjourn the hearing in order to reconvene at a later date, before reaching a decision. If the family misses an appointment or deadline ordered by the hearing officer, the action of the PHA will take effect and another hearing will not be granted.</w:t>
      </w:r>
    </w:p>
    <w:p w:rsidR="004E13A5" w:rsidRDefault="00681463">
      <w:pPr>
        <w:spacing w:before="119"/>
        <w:ind w:left="100"/>
        <w:jc w:val="both"/>
        <w:rPr>
          <w:b/>
          <w:sz w:val="24"/>
        </w:rPr>
      </w:pPr>
      <w:r>
        <w:rPr>
          <w:b/>
          <w:i/>
          <w:sz w:val="24"/>
        </w:rPr>
        <w:t xml:space="preserve">Hearing Officer’s Decision </w:t>
      </w:r>
      <w:r>
        <w:rPr>
          <w:b/>
          <w:sz w:val="24"/>
        </w:rPr>
        <w:t>[24 CFR 982.555(e)(6)]</w:t>
      </w:r>
    </w:p>
    <w:p w:rsidR="004E13A5" w:rsidRDefault="00681463">
      <w:pPr>
        <w:pStyle w:val="BodyText"/>
        <w:ind w:right="257"/>
        <w:jc w:val="both"/>
      </w:pPr>
      <w:r>
        <w:t>The person who conducts the hearing must issue a written decision, stating briefly the reasons for the decision. Factual determinations relating to the individual circumstances of the family must</w:t>
      </w:r>
      <w:r>
        <w:rPr>
          <w:spacing w:val="-14"/>
        </w:rPr>
        <w:t xml:space="preserve"> </w:t>
      </w:r>
      <w:r>
        <w:t>be based on a preponderance of evidence presented at the</w:t>
      </w:r>
      <w:r>
        <w:rPr>
          <w:spacing w:val="-12"/>
        </w:rPr>
        <w:t xml:space="preserve"> </w:t>
      </w:r>
      <w:r>
        <w:t>hearing.</w:t>
      </w:r>
    </w:p>
    <w:p w:rsidR="004E13A5" w:rsidRDefault="00681463">
      <w:pPr>
        <w:pStyle w:val="BodyText"/>
        <w:ind w:left="820"/>
      </w:pPr>
      <w:r>
        <w:rPr>
          <w:u w:val="single"/>
        </w:rPr>
        <w:t>PHA Policy</w:t>
      </w:r>
    </w:p>
    <w:p w:rsidR="004E13A5" w:rsidRDefault="00681463">
      <w:pPr>
        <w:pStyle w:val="BodyText"/>
        <w:ind w:left="820"/>
      </w:pPr>
      <w:r>
        <w:t>In rendering a decision, the hearing officer will consider the following matters:</w:t>
      </w:r>
    </w:p>
    <w:p w:rsidR="004E13A5" w:rsidRDefault="00681463">
      <w:pPr>
        <w:pStyle w:val="BodyText"/>
        <w:ind w:left="1540" w:right="116"/>
      </w:pPr>
      <w:r>
        <w:rPr>
          <w:b/>
        </w:rPr>
        <w:t>PHA Notice to the Family</w:t>
      </w:r>
      <w:r>
        <w:t>: The hearing officer will determine if the reasons for the PHA’s decision are factually stated in the Notice.</w:t>
      </w:r>
    </w:p>
    <w:p w:rsidR="004E13A5" w:rsidRDefault="00681463">
      <w:pPr>
        <w:pStyle w:val="BodyText"/>
        <w:ind w:left="1540" w:right="96"/>
      </w:pPr>
      <w:r>
        <w:rPr>
          <w:b/>
        </w:rPr>
        <w:t xml:space="preserve">Discovery: </w:t>
      </w:r>
      <w:r>
        <w:t>The hearing officer will determine if the PHA and the family were given the opportunity to examine any relevant documents in accordance with PHA policy.</w:t>
      </w:r>
    </w:p>
    <w:p w:rsidR="004E13A5" w:rsidRDefault="00681463">
      <w:pPr>
        <w:pStyle w:val="BodyText"/>
        <w:ind w:left="1540" w:right="327"/>
      </w:pPr>
      <w:r>
        <w:rPr>
          <w:b/>
        </w:rPr>
        <w:t>PHA Evidence to Support the PHA Decision</w:t>
      </w:r>
      <w:r>
        <w:t>: The evidence consists of the facts presented. Evidence is not conclusion and it is not argument. The hearing officer will evaluate the facts to determine if they support the PHA’s conclusion.</w:t>
      </w:r>
    </w:p>
    <w:p w:rsidR="004E13A5" w:rsidRDefault="00681463">
      <w:pPr>
        <w:pStyle w:val="BodyText"/>
        <w:ind w:left="1540" w:right="175"/>
      </w:pPr>
      <w:r>
        <w:rPr>
          <w:b/>
        </w:rPr>
        <w:t>Validity of Grounds for Termination of Assistance (when applicable)</w:t>
      </w:r>
      <w:r>
        <w:t>: The hearing officer will determine if the termination of assistance is for one of the grounds specified in the HUD regulations and PHA policies. If the grounds for termination are not specified in the regulations or in compliance with PHA policies, then the decision of the PHA will be overturned.</w:t>
      </w:r>
    </w:p>
    <w:p w:rsidR="004E13A5" w:rsidRDefault="00681463">
      <w:pPr>
        <w:pStyle w:val="BodyText"/>
        <w:ind w:left="820" w:right="202"/>
      </w:pPr>
      <w:r>
        <w:t>The hearing officer will issue a written decision to the family and the PHA no later than 10 business days after the hearing. The report will contain the following information:</w:t>
      </w:r>
    </w:p>
    <w:p w:rsidR="004E13A5" w:rsidRDefault="00681463">
      <w:pPr>
        <w:pStyle w:val="Heading4"/>
        <w:spacing w:before="119"/>
        <w:ind w:left="1540"/>
      </w:pPr>
      <w:r>
        <w:t>Hearing information:</w:t>
      </w:r>
    </w:p>
    <w:p w:rsidR="004E13A5" w:rsidRDefault="00681463">
      <w:pPr>
        <w:pStyle w:val="BodyText"/>
        <w:ind w:left="2260"/>
      </w:pPr>
      <w:r>
        <w:t>Name of the participant;</w:t>
      </w:r>
    </w:p>
    <w:p w:rsidR="004E13A5" w:rsidRDefault="00681463">
      <w:pPr>
        <w:pStyle w:val="BodyText"/>
        <w:ind w:left="2260"/>
      </w:pPr>
      <w:r>
        <w:t>Date, time and place of the hearing;</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2260"/>
      </w:pPr>
      <w:r>
        <w:lastRenderedPageBreak/>
        <w:t>Name of the hearing officer;</w:t>
      </w:r>
    </w:p>
    <w:p w:rsidR="004E13A5" w:rsidRDefault="00681463">
      <w:pPr>
        <w:pStyle w:val="BodyText"/>
        <w:spacing w:before="120" w:line="343" w:lineRule="auto"/>
        <w:ind w:left="2260" w:right="3687"/>
      </w:pPr>
      <w:r>
        <w:t>Name of the PHA representative; and Name of family representative (if any).</w:t>
      </w:r>
    </w:p>
    <w:p w:rsidR="004E13A5" w:rsidRDefault="00681463">
      <w:pPr>
        <w:pStyle w:val="BodyText"/>
        <w:spacing w:before="5"/>
        <w:ind w:left="1540"/>
      </w:pPr>
      <w:r>
        <w:rPr>
          <w:b/>
        </w:rPr>
        <w:t>Background</w:t>
      </w:r>
      <w:r>
        <w:t>: A brief, impartial statement of the reason for the hearing.</w:t>
      </w:r>
    </w:p>
    <w:p w:rsidR="004E13A5" w:rsidRDefault="00681463">
      <w:pPr>
        <w:pStyle w:val="BodyText"/>
        <w:ind w:left="1540" w:right="195"/>
      </w:pPr>
      <w:r>
        <w:rPr>
          <w:b/>
        </w:rPr>
        <w:t>Summary of the Evidence</w:t>
      </w:r>
      <w:r>
        <w:t>: The hearing officer will summarize the testimony of each witness and identify any documents that a witness produced in support of their testimony and that are admitted into evidence.</w:t>
      </w:r>
    </w:p>
    <w:p w:rsidR="004E13A5" w:rsidRDefault="00681463">
      <w:pPr>
        <w:pStyle w:val="BodyText"/>
        <w:ind w:left="1540" w:right="276"/>
      </w:pPr>
      <w:r>
        <w:rPr>
          <w:b/>
        </w:rPr>
        <w:t xml:space="preserve">Findings of Fact: </w:t>
      </w:r>
      <w:r>
        <w:t xml:space="preserve">The hearing officer will include all findings of fact, based on a preponderance of the evidence. </w:t>
      </w:r>
      <w:r>
        <w:rPr>
          <w:i/>
        </w:rPr>
        <w:t xml:space="preserve">Preponderance of the evidence </w:t>
      </w:r>
      <w:r>
        <w:t>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p>
    <w:p w:rsidR="004E13A5" w:rsidRDefault="00681463">
      <w:pPr>
        <w:pStyle w:val="BodyText"/>
        <w:ind w:left="1540" w:right="276"/>
      </w:pPr>
      <w:r>
        <w:rPr>
          <w:b/>
        </w:rPr>
        <w:t xml:space="preserve">Conclusions: </w:t>
      </w:r>
      <w:r>
        <w:t>The hearing officer will render a conclusion derived from the facts that were found to be true by a preponderance of the evidence. The conclusion will result in a determination of whether these facts uphold the PHA’s decision.</w:t>
      </w:r>
    </w:p>
    <w:p w:rsidR="004E13A5" w:rsidRDefault="00681463">
      <w:pPr>
        <w:pStyle w:val="BodyText"/>
        <w:ind w:left="1540" w:right="89"/>
      </w:pPr>
      <w:r>
        <w:rPr>
          <w:b/>
        </w:rPr>
        <w:t xml:space="preserve">Order: </w:t>
      </w:r>
      <w:r>
        <w:t>The hearing report will include a statement of whether the PHA’s decision is upheld or overturned. If it is overturned, the hearing officer will instruct the PHA to change the decision in accordance with the hearing officer’s determination. In the case of termination of assistance, the hearing officer will instruct the PHA to restore the participant’s program status.</w:t>
      </w:r>
    </w:p>
    <w:p w:rsidR="004E13A5" w:rsidRDefault="00681463">
      <w:pPr>
        <w:spacing w:before="119"/>
        <w:ind w:left="100"/>
        <w:rPr>
          <w:b/>
          <w:sz w:val="24"/>
        </w:rPr>
      </w:pPr>
      <w:r>
        <w:rPr>
          <w:b/>
          <w:i/>
          <w:sz w:val="24"/>
        </w:rPr>
        <w:t xml:space="preserve">Issuance of Decision </w:t>
      </w:r>
      <w:r>
        <w:rPr>
          <w:b/>
          <w:sz w:val="24"/>
        </w:rPr>
        <w:t>[24 CFR 982.555(e)(6)]</w:t>
      </w:r>
    </w:p>
    <w:p w:rsidR="004E13A5" w:rsidRDefault="00681463">
      <w:pPr>
        <w:pStyle w:val="BodyText"/>
        <w:spacing w:before="120"/>
      </w:pPr>
      <w:r>
        <w:t>A copy of the hearing must be furnished promptly to the family.</w:t>
      </w:r>
    </w:p>
    <w:p w:rsidR="004E13A5" w:rsidRDefault="00681463">
      <w:pPr>
        <w:pStyle w:val="BodyText"/>
        <w:spacing w:before="120"/>
        <w:ind w:left="820"/>
      </w:pPr>
      <w:r>
        <w:rPr>
          <w:u w:val="single"/>
        </w:rPr>
        <w:t>PHA Policy</w:t>
      </w:r>
    </w:p>
    <w:p w:rsidR="004E13A5" w:rsidRDefault="00681463">
      <w:pPr>
        <w:pStyle w:val="BodyText"/>
        <w:spacing w:before="120"/>
        <w:ind w:left="820" w:right="169"/>
      </w:pPr>
      <w:r>
        <w:t>The hearing officer will mail a “Notice of Hearing Decision” to the PHA and to the participant on the same day. This notice will be sent by first-class mail. The participant will be mailed the original “Notice of Hearing Decision” and a copy of the proof of mailing. A copy of the “Notice of Hearing Decision” will be maintained in the PHA’s file.</w:t>
      </w:r>
    </w:p>
    <w:p w:rsidR="004E13A5" w:rsidRDefault="00681463">
      <w:pPr>
        <w:spacing w:before="120"/>
        <w:ind w:left="100"/>
        <w:rPr>
          <w:b/>
          <w:sz w:val="24"/>
        </w:rPr>
      </w:pPr>
      <w:r>
        <w:rPr>
          <w:b/>
          <w:i/>
          <w:sz w:val="24"/>
        </w:rPr>
        <w:t xml:space="preserve">Effect of Final Decision </w:t>
      </w:r>
      <w:r>
        <w:rPr>
          <w:b/>
          <w:sz w:val="24"/>
        </w:rPr>
        <w:t>[24 CFR 982.555(f)]</w:t>
      </w:r>
    </w:p>
    <w:p w:rsidR="004E13A5" w:rsidRDefault="00681463">
      <w:pPr>
        <w:pStyle w:val="BodyText"/>
        <w:spacing w:before="120"/>
        <w:ind w:right="256"/>
      </w:pPr>
      <w:r>
        <w:t>The PHA is not bound by the decision of the hearing officer for matters in which the PHA is not required to provide an opportunity for a hearing, decisions that exceed the authority of the hearing officer, decisions that conflict with or contradict HUD regulations, requirements, or are otherwise contrary to federal, state, or local laws.</w:t>
      </w:r>
    </w:p>
    <w:p w:rsidR="004E13A5" w:rsidRDefault="00681463">
      <w:pPr>
        <w:pStyle w:val="BodyText"/>
        <w:spacing w:before="120"/>
      </w:pPr>
      <w:r>
        <w:t>If the PHA determines it is not bound by the hearing officer’s decision in accordance with HUD regulations, the PHA must promptly notify the family of the determination and the reason for the determination.</w:t>
      </w:r>
    </w:p>
    <w:p w:rsidR="004E13A5" w:rsidRDefault="00681463">
      <w:pPr>
        <w:pStyle w:val="BodyText"/>
        <w:ind w:left="820"/>
      </w:pPr>
      <w:r>
        <w:rPr>
          <w:u w:val="single"/>
        </w:rPr>
        <w:t>PHA Policy</w:t>
      </w:r>
    </w:p>
    <w:p w:rsidR="004E13A5" w:rsidRDefault="00681463">
      <w:pPr>
        <w:pStyle w:val="BodyText"/>
        <w:ind w:left="820"/>
      </w:pPr>
      <w:r>
        <w:t>The Executive Director has the authority to determine that the PHA is not bound by the decision of the hearing officer because the PHA was not required to provide a hearing, the decision exceeded the authority of the hearing officer, the decision conflicted with or</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right="609"/>
      </w:pPr>
      <w:r>
        <w:lastRenderedPageBreak/>
        <w:t>contradicted HUD regulations, requirements, or the decision was otherwise contrary to federal, state, or local laws.</w:t>
      </w:r>
    </w:p>
    <w:p w:rsidR="004E13A5" w:rsidRDefault="00681463">
      <w:pPr>
        <w:pStyle w:val="BodyText"/>
        <w:spacing w:before="120"/>
        <w:ind w:left="820" w:right="162"/>
      </w:pPr>
      <w:r>
        <w:t>In such a case, the PHA will mail a “Notice of Final Decision” to the PHA and the participant on the same day. The “Notice of Final Decision” will be sent by first-class mail. A copy of this notice will be maintained in the PHA’s file.</w:t>
      </w:r>
    </w:p>
    <w:p w:rsidR="004E13A5" w:rsidRDefault="004E13A5">
      <w:pPr>
        <w:pStyle w:val="BodyText"/>
        <w:spacing w:before="9"/>
        <w:ind w:left="0"/>
        <w:rPr>
          <w:sz w:val="20"/>
        </w:rPr>
      </w:pPr>
    </w:p>
    <w:p w:rsidR="004E13A5" w:rsidRDefault="00681463">
      <w:pPr>
        <w:pStyle w:val="Heading4"/>
      </w:pPr>
      <w:r>
        <w:t>16-III.D. HEARING AND APPEAL PROVISIONS FOR NONCITIZENS [24 CFR 5.514]</w:t>
      </w:r>
    </w:p>
    <w:p w:rsidR="004E13A5" w:rsidRDefault="00681463">
      <w:pPr>
        <w:pStyle w:val="BodyText"/>
      </w:pPr>
      <w:r>
        <w:t>Denial or termination of assistance based on immigration status is subject to special hearing and notice rules. Applicants who are denied assistance due to immigration status are entitled to an informal hearing, not an informal review.</w:t>
      </w:r>
    </w:p>
    <w:p w:rsidR="004E13A5" w:rsidRDefault="00681463">
      <w:pPr>
        <w:pStyle w:val="BodyText"/>
      </w:pPr>
      <w:r>
        <w:t>Assistance to a family may not be delayed, denied, or terminated on the basis of immigration status at any time prior to a decision under the United States Citizenship and Immigration Services (USCIS) appeal process. Assistance to a family may not be terminated or denied while the PHA hearing is pending, but assistance to an applicant may be delayed pending the completion of the informal hearing.</w:t>
      </w:r>
    </w:p>
    <w:p w:rsidR="004E13A5" w:rsidRDefault="00681463">
      <w:pPr>
        <w:pStyle w:val="BodyText"/>
        <w:ind w:right="447"/>
        <w:jc w:val="both"/>
      </w:pPr>
      <w:r>
        <w:t>A decision against a family member, issued in accordance with the USCIS appeal process or</w:t>
      </w:r>
      <w:r>
        <w:rPr>
          <w:spacing w:val="-18"/>
        </w:rPr>
        <w:t xml:space="preserve"> </w:t>
      </w:r>
      <w:r>
        <w:t>the PHA informal hearing process, does not preclude the family from exercising the right, that may otherwise be available, to seek redress directly through judicial</w:t>
      </w:r>
      <w:r>
        <w:rPr>
          <w:spacing w:val="-15"/>
        </w:rPr>
        <w:t xml:space="preserve"> </w:t>
      </w:r>
      <w:r>
        <w:t>procedures.</w:t>
      </w:r>
    </w:p>
    <w:p w:rsidR="004E13A5" w:rsidRDefault="00681463">
      <w:pPr>
        <w:pStyle w:val="Heading4"/>
        <w:spacing w:before="119"/>
      </w:pPr>
      <w:r>
        <w:t>Notice of Denial or Termination of Assistance [24 CFR 5.514(d)]</w:t>
      </w:r>
    </w:p>
    <w:p w:rsidR="004E13A5" w:rsidRDefault="00681463">
      <w:pPr>
        <w:pStyle w:val="BodyText"/>
      </w:pPr>
      <w:r>
        <w:t>The notice of denial or termination of assistance for noncitizens must advise the family:</w:t>
      </w:r>
    </w:p>
    <w:p w:rsidR="004E13A5" w:rsidRDefault="00681463">
      <w:pPr>
        <w:pStyle w:val="ListParagraph"/>
        <w:numPr>
          <w:ilvl w:val="0"/>
          <w:numId w:val="93"/>
        </w:numPr>
        <w:tabs>
          <w:tab w:val="left" w:pos="460"/>
          <w:tab w:val="left" w:pos="461"/>
        </w:tabs>
        <w:ind w:right="461"/>
        <w:rPr>
          <w:rFonts w:ascii="Symbol"/>
          <w:sz w:val="24"/>
        </w:rPr>
      </w:pPr>
      <w:r>
        <w:rPr>
          <w:sz w:val="24"/>
        </w:rPr>
        <w:t>That financial assistance will be denied or terminated, and provide a brief explanation of the reasons for the proposed denial or termination of</w:t>
      </w:r>
      <w:r>
        <w:rPr>
          <w:spacing w:val="-13"/>
          <w:sz w:val="24"/>
        </w:rPr>
        <w:t xml:space="preserve"> </w:t>
      </w:r>
      <w:r>
        <w:rPr>
          <w:sz w:val="24"/>
        </w:rPr>
        <w:t>assistance.</w:t>
      </w:r>
    </w:p>
    <w:p w:rsidR="004E13A5" w:rsidRDefault="00681463">
      <w:pPr>
        <w:pStyle w:val="ListParagraph"/>
        <w:numPr>
          <w:ilvl w:val="0"/>
          <w:numId w:val="93"/>
        </w:numPr>
        <w:tabs>
          <w:tab w:val="left" w:pos="460"/>
          <w:tab w:val="left" w:pos="461"/>
        </w:tabs>
        <w:rPr>
          <w:rFonts w:ascii="Symbol"/>
          <w:sz w:val="24"/>
        </w:rPr>
      </w:pPr>
      <w:r>
        <w:rPr>
          <w:sz w:val="24"/>
        </w:rPr>
        <w:t>The family may be eligible for proration of</w:t>
      </w:r>
      <w:r>
        <w:rPr>
          <w:spacing w:val="-12"/>
          <w:sz w:val="24"/>
        </w:rPr>
        <w:t xml:space="preserve"> </w:t>
      </w:r>
      <w:r>
        <w:rPr>
          <w:sz w:val="24"/>
        </w:rPr>
        <w:t>assistance.</w:t>
      </w:r>
    </w:p>
    <w:p w:rsidR="004E13A5" w:rsidRDefault="00681463">
      <w:pPr>
        <w:pStyle w:val="ListParagraph"/>
        <w:numPr>
          <w:ilvl w:val="0"/>
          <w:numId w:val="93"/>
        </w:numPr>
        <w:tabs>
          <w:tab w:val="left" w:pos="460"/>
          <w:tab w:val="left" w:pos="461"/>
        </w:tabs>
        <w:ind w:right="217"/>
        <w:rPr>
          <w:rFonts w:ascii="Symbol"/>
          <w:sz w:val="24"/>
        </w:rPr>
      </w:pPr>
      <w:r>
        <w:rPr>
          <w:sz w:val="24"/>
        </w:rPr>
        <w:t>In the case of a participant, the criteria and procedures for obtaining relief under the</w:t>
      </w:r>
      <w:r>
        <w:rPr>
          <w:spacing w:val="-16"/>
          <w:sz w:val="24"/>
        </w:rPr>
        <w:t xml:space="preserve"> </w:t>
      </w:r>
      <w:r>
        <w:rPr>
          <w:sz w:val="24"/>
        </w:rPr>
        <w:t>provisions for preservation of families [24 CFR 5.514 and</w:t>
      </w:r>
      <w:r>
        <w:rPr>
          <w:spacing w:val="-7"/>
          <w:sz w:val="24"/>
        </w:rPr>
        <w:t xml:space="preserve"> </w:t>
      </w:r>
      <w:r>
        <w:rPr>
          <w:sz w:val="24"/>
        </w:rPr>
        <w:t>5.518].</w:t>
      </w:r>
    </w:p>
    <w:p w:rsidR="004E13A5" w:rsidRDefault="00681463">
      <w:pPr>
        <w:pStyle w:val="ListParagraph"/>
        <w:numPr>
          <w:ilvl w:val="0"/>
          <w:numId w:val="93"/>
        </w:numPr>
        <w:tabs>
          <w:tab w:val="left" w:pos="460"/>
          <w:tab w:val="left" w:pos="461"/>
        </w:tabs>
        <w:ind w:right="540"/>
        <w:rPr>
          <w:rFonts w:ascii="Symbol"/>
          <w:sz w:val="24"/>
        </w:rPr>
      </w:pPr>
      <w:r>
        <w:rPr>
          <w:sz w:val="24"/>
        </w:rPr>
        <w:t>That the family has a right to request an appeal to the USCIS of the results of secondary verification of immigration status and to submit additional documentation or explanation</w:t>
      </w:r>
      <w:r>
        <w:rPr>
          <w:spacing w:val="-13"/>
          <w:sz w:val="24"/>
        </w:rPr>
        <w:t xml:space="preserve"> </w:t>
      </w:r>
      <w:r>
        <w:rPr>
          <w:sz w:val="24"/>
        </w:rPr>
        <w:t>in support of the</w:t>
      </w:r>
      <w:r>
        <w:rPr>
          <w:spacing w:val="-3"/>
          <w:sz w:val="24"/>
        </w:rPr>
        <w:t xml:space="preserve"> </w:t>
      </w:r>
      <w:r>
        <w:rPr>
          <w:sz w:val="24"/>
        </w:rPr>
        <w:t>appeal.</w:t>
      </w:r>
    </w:p>
    <w:p w:rsidR="004E13A5" w:rsidRDefault="00681463">
      <w:pPr>
        <w:pStyle w:val="ListParagraph"/>
        <w:numPr>
          <w:ilvl w:val="0"/>
          <w:numId w:val="93"/>
        </w:numPr>
        <w:tabs>
          <w:tab w:val="left" w:pos="460"/>
          <w:tab w:val="left" w:pos="461"/>
        </w:tabs>
        <w:ind w:right="162"/>
        <w:rPr>
          <w:rFonts w:ascii="Symbol"/>
          <w:sz w:val="24"/>
        </w:rPr>
      </w:pPr>
      <w:r>
        <w:rPr>
          <w:sz w:val="24"/>
        </w:rPr>
        <w:t>That the family has a right to request an informal hearing with the PHA either upon</w:t>
      </w:r>
      <w:r>
        <w:rPr>
          <w:spacing w:val="-14"/>
          <w:sz w:val="24"/>
        </w:rPr>
        <w:t xml:space="preserve"> </w:t>
      </w:r>
      <w:r>
        <w:rPr>
          <w:sz w:val="24"/>
        </w:rPr>
        <w:t>completion of the USCIS appeal or in lieu of the USCIS</w:t>
      </w:r>
      <w:r>
        <w:rPr>
          <w:spacing w:val="-10"/>
          <w:sz w:val="24"/>
        </w:rPr>
        <w:t xml:space="preserve"> </w:t>
      </w:r>
      <w:r>
        <w:rPr>
          <w:sz w:val="24"/>
        </w:rPr>
        <w:t>appeal.</w:t>
      </w:r>
    </w:p>
    <w:p w:rsidR="004E13A5" w:rsidRDefault="00681463">
      <w:pPr>
        <w:pStyle w:val="ListParagraph"/>
        <w:numPr>
          <w:ilvl w:val="0"/>
          <w:numId w:val="93"/>
        </w:numPr>
        <w:tabs>
          <w:tab w:val="left" w:pos="460"/>
          <w:tab w:val="left" w:pos="461"/>
        </w:tabs>
        <w:ind w:right="110"/>
        <w:rPr>
          <w:rFonts w:ascii="Symbol"/>
          <w:sz w:val="24"/>
        </w:rPr>
      </w:pPr>
      <w:r>
        <w:rPr>
          <w:sz w:val="24"/>
        </w:rPr>
        <w:t>For applicants, assistance may not be delayed until the conclusion of the USCIS appeal</w:t>
      </w:r>
      <w:r>
        <w:rPr>
          <w:spacing w:val="-16"/>
          <w:sz w:val="24"/>
        </w:rPr>
        <w:t xml:space="preserve"> </w:t>
      </w:r>
      <w:r>
        <w:rPr>
          <w:sz w:val="24"/>
        </w:rPr>
        <w:t>process, but assistance may be delayed during the period of the informal hearing</w:t>
      </w:r>
      <w:r>
        <w:rPr>
          <w:spacing w:val="-10"/>
          <w:sz w:val="24"/>
        </w:rPr>
        <w:t xml:space="preserve"> </w:t>
      </w:r>
      <w:r>
        <w:rPr>
          <w:sz w:val="24"/>
        </w:rPr>
        <w:t>process.</w:t>
      </w:r>
    </w:p>
    <w:p w:rsidR="004E13A5" w:rsidRDefault="00681463">
      <w:pPr>
        <w:pStyle w:val="Heading4"/>
        <w:spacing w:before="119"/>
      </w:pPr>
      <w:bookmarkStart w:id="294" w:name="_TOC_250135"/>
      <w:bookmarkEnd w:id="294"/>
      <w:r>
        <w:t>USCIS Appeal Process [24 CFR 5.514(e)]</w:t>
      </w:r>
    </w:p>
    <w:p w:rsidR="004E13A5" w:rsidRDefault="00681463">
      <w:pPr>
        <w:pStyle w:val="BodyText"/>
        <w:spacing w:before="120"/>
        <w:ind w:right="162"/>
      </w:pPr>
      <w:r>
        <w:t>When the PHA receives notification that the USCIS secondary verification failed to confirm eligible immigration status, the PHA must notify the family of the results of the USCIS verification. The family will have 30 days from the date of the notification to request an appeal of the USCIS results. The request for appeal must be made by the family in writing directly to the USCIS. The family must provide the PHA with a copy of the written request for appeal and the proof of mailing.</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jc w:val="both"/>
      </w:pPr>
      <w:r>
        <w:rPr>
          <w:u w:val="single"/>
        </w:rPr>
        <w:lastRenderedPageBreak/>
        <w:t>PHA Policy</w:t>
      </w:r>
    </w:p>
    <w:p w:rsidR="004E13A5" w:rsidRDefault="00681463">
      <w:pPr>
        <w:pStyle w:val="BodyText"/>
        <w:spacing w:before="120"/>
        <w:ind w:left="820"/>
      </w:pPr>
      <w:r>
        <w:t>The PHA will notify the family in writing of the results of the USCIS secondary verification within 10 business days of receiving the results.</w:t>
      </w:r>
    </w:p>
    <w:p w:rsidR="004E13A5" w:rsidRDefault="00681463">
      <w:pPr>
        <w:pStyle w:val="BodyText"/>
        <w:ind w:left="820" w:right="129"/>
      </w:pPr>
      <w:r>
        <w:t>The family must provide the PHA with a copy of the written request for appeal and proof of mailing within 10 business days of sending the request to the USCIS.</w:t>
      </w:r>
    </w:p>
    <w:p w:rsidR="004E13A5" w:rsidRDefault="00681463">
      <w:pPr>
        <w:pStyle w:val="BodyText"/>
        <w:ind w:right="315"/>
      </w:pPr>
      <w:r>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 results.</w:t>
      </w:r>
    </w:p>
    <w:p w:rsidR="004E13A5" w:rsidRDefault="00681463">
      <w:pPr>
        <w:pStyle w:val="BodyText"/>
        <w:ind w:right="183"/>
      </w:pPr>
      <w:r>
        <w:t>The USCIS will notify the family, with a copy to the PHA, of its decision. When the USCIS notifies the PHA of the decision, the PHA must notify the family of its right to request an informal hearing.</w:t>
      </w:r>
    </w:p>
    <w:p w:rsidR="004E13A5" w:rsidRDefault="00681463">
      <w:pPr>
        <w:pStyle w:val="BodyText"/>
        <w:ind w:left="820"/>
        <w:jc w:val="both"/>
      </w:pPr>
      <w:r>
        <w:rPr>
          <w:u w:val="single"/>
        </w:rPr>
        <w:t>PHA Policy</w:t>
      </w:r>
    </w:p>
    <w:p w:rsidR="004E13A5" w:rsidRDefault="00681463">
      <w:pPr>
        <w:pStyle w:val="BodyText"/>
        <w:ind w:left="820" w:right="432"/>
        <w:jc w:val="both"/>
      </w:pPr>
      <w:r>
        <w:t>The PHA will send written notice to the family of its right to request an informal hearing within 10 business days of receiving notice of the USCIS decision regarding the</w:t>
      </w:r>
      <w:r>
        <w:rPr>
          <w:spacing w:val="-20"/>
        </w:rPr>
        <w:t xml:space="preserve"> </w:t>
      </w:r>
      <w:r>
        <w:t>family’s immigration</w:t>
      </w:r>
      <w:r>
        <w:rPr>
          <w:spacing w:val="-7"/>
        </w:rPr>
        <w:t xml:space="preserve"> </w:t>
      </w:r>
      <w:r>
        <w:t>status.</w:t>
      </w:r>
    </w:p>
    <w:p w:rsidR="004E13A5" w:rsidRDefault="00681463">
      <w:pPr>
        <w:pStyle w:val="Heading4"/>
        <w:spacing w:before="119"/>
      </w:pPr>
      <w:r>
        <w:t>Informal Hearing Procedures for Applicants [24 CFR 5.514(f)]</w:t>
      </w:r>
    </w:p>
    <w:p w:rsidR="004E13A5" w:rsidRDefault="00681463">
      <w:pPr>
        <w:pStyle w:val="BodyText"/>
        <w:ind w:right="148"/>
      </w:pPr>
      <w:r>
        <w:t>After notification of the USCIS decision on appeal, or in lieu of an appeal to the USCIS, the family may request that the PHA provide a hearing. The request for a hearing must be made either within 30 days of receipt of the PHA notice of denial, or within 30 days of receipt of the USCIS appeal decision.</w:t>
      </w:r>
    </w:p>
    <w:p w:rsidR="004E13A5" w:rsidRDefault="00681463">
      <w:pPr>
        <w:pStyle w:val="BodyText"/>
      </w:pPr>
      <w:r>
        <w:t>The informal hearing procedures for applicant families are described below.</w:t>
      </w:r>
    </w:p>
    <w:p w:rsidR="004E13A5" w:rsidRDefault="004E13A5">
      <w:pPr>
        <w:pStyle w:val="BodyText"/>
        <w:spacing w:before="0"/>
        <w:ind w:left="0"/>
        <w:rPr>
          <w:sz w:val="26"/>
        </w:rPr>
      </w:pPr>
    </w:p>
    <w:p w:rsidR="004E13A5" w:rsidRDefault="00681463">
      <w:pPr>
        <w:pStyle w:val="Heading5"/>
        <w:spacing w:before="217"/>
      </w:pPr>
      <w:r>
        <w:t>Informal Hearing Officer</w:t>
      </w:r>
    </w:p>
    <w:p w:rsidR="004E13A5" w:rsidRDefault="00681463">
      <w:pPr>
        <w:pStyle w:val="BodyText"/>
        <w:spacing w:before="120"/>
        <w:ind w:right="155"/>
      </w:pPr>
      <w:r>
        <w:t>The PHA must provide an informal hearing before an impartial individual, other than a person who made or approved the decision under review, and other than a person who is a subordinate of the person who made or approved the decision. See Section 16-III.C. for a listing of positions that serve as informal hearing officers.</w:t>
      </w:r>
    </w:p>
    <w:p w:rsidR="004E13A5" w:rsidRDefault="00681463">
      <w:pPr>
        <w:pStyle w:val="Heading5"/>
        <w:spacing w:before="120"/>
      </w:pPr>
      <w:r>
        <w:t>Evidence</w:t>
      </w:r>
    </w:p>
    <w:p w:rsidR="004E13A5" w:rsidRDefault="00681463">
      <w:pPr>
        <w:pStyle w:val="BodyText"/>
        <w:spacing w:before="120"/>
        <w:ind w:right="242"/>
      </w:pPr>
      <w:r>
        <w:t>The family must be provided the opportunity to examine and copy at the family’s expense, at a reasonable time in advance of the hearing, any documents in the possession of the PHA pertaining to the family’s eligibility status, or in the possession of the USCIS (as permitted by USCIS requirements), including any records and regulations that may be relevant to the hearing.</w:t>
      </w:r>
    </w:p>
    <w:p w:rsidR="004E13A5" w:rsidRDefault="004E13A5">
      <w:pPr>
        <w:pStyle w:val="BodyText"/>
        <w:spacing w:before="0"/>
        <w:ind w:left="0"/>
        <w:rPr>
          <w:sz w:val="26"/>
        </w:rPr>
      </w:pPr>
    </w:p>
    <w:p w:rsidR="004E13A5" w:rsidRDefault="00681463">
      <w:pPr>
        <w:pStyle w:val="BodyText"/>
        <w:spacing w:before="217"/>
        <w:ind w:left="820"/>
        <w:jc w:val="both"/>
      </w:pPr>
      <w:r>
        <w:rPr>
          <w:u w:val="single"/>
        </w:rPr>
        <w:t>PHA Policy</w:t>
      </w:r>
    </w:p>
    <w:p w:rsidR="004E13A5" w:rsidRDefault="00681463">
      <w:pPr>
        <w:pStyle w:val="BodyText"/>
        <w:spacing w:before="120"/>
        <w:ind w:left="820" w:right="183"/>
      </w:pPr>
      <w:r>
        <w:t>The family will be allowed to copy any documents related to the hearing at a cost of $.25 per page. The family must request discovery of PHA documents no later than</w:t>
      </w:r>
    </w:p>
    <w:p w:rsidR="004E13A5" w:rsidRDefault="00681463">
      <w:pPr>
        <w:pStyle w:val="BodyText"/>
        <w:spacing w:before="0"/>
        <w:ind w:left="820"/>
        <w:jc w:val="both"/>
      </w:pPr>
      <w:r>
        <w:t>12:00 p.m. on the business day prior to the hearing.</w:t>
      </w:r>
    </w:p>
    <w:p w:rsidR="004E13A5" w:rsidRDefault="004E13A5">
      <w:pPr>
        <w:jc w:val="both"/>
        <w:sectPr w:rsidR="004E13A5">
          <w:pgSz w:w="12240" w:h="15840"/>
          <w:pgMar w:top="1000" w:right="1220" w:bottom="1240" w:left="1220" w:header="0" w:footer="998" w:gutter="0"/>
          <w:cols w:space="720"/>
        </w:sectPr>
      </w:pPr>
    </w:p>
    <w:p w:rsidR="004E13A5" w:rsidRDefault="00681463">
      <w:pPr>
        <w:pStyle w:val="BodyText"/>
        <w:spacing w:before="79"/>
        <w:ind w:right="714"/>
        <w:jc w:val="both"/>
      </w:pPr>
      <w:r>
        <w:lastRenderedPageBreak/>
        <w:t>The family must be provided the opportunity to present evidence and arguments in support of eligible status. Evidence may be considered without regard to admissibility under the rules of evidence applicable to judicial proceedings.</w:t>
      </w:r>
    </w:p>
    <w:p w:rsidR="004E13A5" w:rsidRDefault="00681463">
      <w:pPr>
        <w:pStyle w:val="BodyText"/>
        <w:spacing w:before="120"/>
      </w:pPr>
      <w:r>
        <w:t>The family must also be provided the opportunity to refute evidence relied upon by the PHA, and to confront and cross-examine all witnesses on whose testimony or information the PHA relies.</w:t>
      </w:r>
    </w:p>
    <w:p w:rsidR="004E13A5" w:rsidRDefault="00681463">
      <w:pPr>
        <w:pStyle w:val="Heading5"/>
        <w:spacing w:before="120"/>
      </w:pPr>
      <w:r>
        <w:t>Representation and Interpretive Services</w:t>
      </w:r>
    </w:p>
    <w:p w:rsidR="004E13A5" w:rsidRDefault="00681463">
      <w:pPr>
        <w:pStyle w:val="BodyText"/>
        <w:spacing w:before="120"/>
        <w:ind w:right="376"/>
      </w:pPr>
      <w:r>
        <w:t>The family is entitled to be represented by an attorney or other designee, at the family’s expense, and to have such person make statements on the family’s behalf.</w:t>
      </w:r>
    </w:p>
    <w:p w:rsidR="004E13A5" w:rsidRDefault="00681463">
      <w:pPr>
        <w:pStyle w:val="BodyText"/>
        <w:spacing w:before="120"/>
        <w:ind w:right="629"/>
      </w:pPr>
      <w:r>
        <w:t>The family is entitled to request an interpreter. Upon request, the PHA will provide competent interpretation services, free of charge.</w:t>
      </w:r>
    </w:p>
    <w:p w:rsidR="004E13A5" w:rsidRDefault="00681463">
      <w:pPr>
        <w:pStyle w:val="Heading5"/>
        <w:spacing w:before="120"/>
      </w:pPr>
      <w:r>
        <w:t>Recording of the Hearing</w:t>
      </w:r>
    </w:p>
    <w:p w:rsidR="004E13A5" w:rsidRDefault="00681463">
      <w:pPr>
        <w:pStyle w:val="BodyText"/>
        <w:spacing w:before="120"/>
        <w:ind w:right="100"/>
      </w:pPr>
      <w:r>
        <w:t>The family is entitled to have the hearing recorded by audiotape. The PHA may, but is not required to provide a transcript of the hearing.</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not provide a transcript of an audio taped hearing.</w:t>
      </w:r>
    </w:p>
    <w:p w:rsidR="004E13A5" w:rsidRDefault="00681463">
      <w:pPr>
        <w:pStyle w:val="Heading5"/>
        <w:spacing w:before="120"/>
      </w:pPr>
      <w:r>
        <w:t>Hearing Decision</w:t>
      </w:r>
    </w:p>
    <w:p w:rsidR="004E13A5" w:rsidRDefault="00681463">
      <w:pPr>
        <w:pStyle w:val="BodyText"/>
        <w:spacing w:before="120"/>
        <w:ind w:right="233"/>
        <w:jc w:val="both"/>
      </w:pPr>
      <w:r>
        <w:t>The PHA must provide the family with a written final decision, based solely on the facts</w:t>
      </w:r>
      <w:r>
        <w:rPr>
          <w:spacing w:val="-15"/>
        </w:rPr>
        <w:t xml:space="preserve"> </w:t>
      </w:r>
      <w:r>
        <w:t>presented at the hearing, within 14 calendar days of the date of the informal hearing. The decision must state the basis for the</w:t>
      </w:r>
      <w:r>
        <w:rPr>
          <w:spacing w:val="-5"/>
        </w:rPr>
        <w:t xml:space="preserve"> </w:t>
      </w:r>
      <w:r>
        <w:t>decision.</w:t>
      </w:r>
    </w:p>
    <w:p w:rsidR="004E13A5" w:rsidRDefault="00681463">
      <w:pPr>
        <w:pStyle w:val="Heading4"/>
        <w:spacing w:before="120"/>
      </w:pPr>
      <w:r>
        <w:t>Informal Hearing Procedures for Residents [24 CFR 5.514(f)]</w:t>
      </w:r>
    </w:p>
    <w:p w:rsidR="004E13A5" w:rsidRDefault="00681463">
      <w:pPr>
        <w:pStyle w:val="BodyText"/>
        <w:spacing w:before="120"/>
        <w:ind w:right="148"/>
      </w:pPr>
      <w:r>
        <w:t>After notification of the USCIS decision on appeal, or in lieu of an appeal to the USCIS, the family may request that the PHA provide a hearing. The request for a hearing must be made either within 30 days of receipt of the PHA notice of termination, or within 30 days of receipt of the USCIS appeal decision.</w:t>
      </w:r>
    </w:p>
    <w:p w:rsidR="004E13A5" w:rsidRDefault="00681463">
      <w:pPr>
        <w:pStyle w:val="BodyText"/>
        <w:spacing w:before="120"/>
        <w:ind w:right="529"/>
      </w:pPr>
      <w:r>
        <w:t>For the informal hearing procedures that apply to participant families whose assistance is being terminated based on immigration status, see Section 16-III.C.</w:t>
      </w:r>
    </w:p>
    <w:p w:rsidR="004E13A5" w:rsidRDefault="00681463">
      <w:pPr>
        <w:pStyle w:val="Heading4"/>
        <w:spacing w:before="120"/>
      </w:pPr>
      <w:bookmarkStart w:id="295" w:name="_TOC_250134"/>
      <w:bookmarkEnd w:id="295"/>
      <w:r>
        <w:t>Retention of Documents [24 CFR 5.514(h)]</w:t>
      </w:r>
    </w:p>
    <w:p w:rsidR="004E13A5" w:rsidRDefault="00681463">
      <w:pPr>
        <w:pStyle w:val="BodyText"/>
        <w:spacing w:before="120"/>
        <w:ind w:right="534"/>
      </w:pPr>
      <w:r>
        <w:t>The PHA must retain for a minimum of 5 years the following documents that may have been submitted to the PHA by the family, or provided to the PHA as part of the USCIS appeal or the PHA informal hearing process:</w:t>
      </w:r>
    </w:p>
    <w:p w:rsidR="004E13A5" w:rsidRDefault="00681463">
      <w:pPr>
        <w:pStyle w:val="ListParagraph"/>
        <w:numPr>
          <w:ilvl w:val="0"/>
          <w:numId w:val="93"/>
        </w:numPr>
        <w:tabs>
          <w:tab w:val="left" w:pos="460"/>
          <w:tab w:val="left" w:pos="461"/>
        </w:tabs>
        <w:rPr>
          <w:rFonts w:ascii="Symbol"/>
          <w:sz w:val="24"/>
        </w:rPr>
      </w:pPr>
      <w:r>
        <w:rPr>
          <w:sz w:val="24"/>
        </w:rPr>
        <w:t>The application for</w:t>
      </w:r>
      <w:r>
        <w:rPr>
          <w:spacing w:val="-8"/>
          <w:sz w:val="24"/>
        </w:rPr>
        <w:t xml:space="preserve"> </w:t>
      </w:r>
      <w:r>
        <w:rPr>
          <w:sz w:val="24"/>
        </w:rPr>
        <w:t>assistance</w:t>
      </w:r>
    </w:p>
    <w:p w:rsidR="004E13A5" w:rsidRDefault="00681463">
      <w:pPr>
        <w:pStyle w:val="ListParagraph"/>
        <w:numPr>
          <w:ilvl w:val="0"/>
          <w:numId w:val="93"/>
        </w:numPr>
        <w:tabs>
          <w:tab w:val="left" w:pos="460"/>
          <w:tab w:val="left" w:pos="461"/>
        </w:tabs>
        <w:spacing w:before="118"/>
        <w:rPr>
          <w:rFonts w:ascii="Symbol"/>
          <w:sz w:val="24"/>
        </w:rPr>
      </w:pPr>
      <w:r>
        <w:rPr>
          <w:sz w:val="24"/>
        </w:rPr>
        <w:t>The form completed by the family for income</w:t>
      </w:r>
      <w:r>
        <w:rPr>
          <w:spacing w:val="-8"/>
          <w:sz w:val="24"/>
        </w:rPr>
        <w:t xml:space="preserve"> </w:t>
      </w:r>
      <w:r>
        <w:rPr>
          <w:sz w:val="24"/>
        </w:rPr>
        <w:t>reexamination</w:t>
      </w:r>
    </w:p>
    <w:p w:rsidR="004E13A5" w:rsidRDefault="00681463">
      <w:pPr>
        <w:pStyle w:val="ListParagraph"/>
        <w:numPr>
          <w:ilvl w:val="0"/>
          <w:numId w:val="93"/>
        </w:numPr>
        <w:tabs>
          <w:tab w:val="left" w:pos="460"/>
          <w:tab w:val="left" w:pos="461"/>
        </w:tabs>
        <w:rPr>
          <w:rFonts w:ascii="Symbol"/>
          <w:sz w:val="24"/>
        </w:rPr>
      </w:pPr>
      <w:r>
        <w:rPr>
          <w:sz w:val="24"/>
        </w:rPr>
        <w:t>Photocopies of any original documents, including original USCIS</w:t>
      </w:r>
      <w:r>
        <w:rPr>
          <w:spacing w:val="-13"/>
          <w:sz w:val="24"/>
        </w:rPr>
        <w:t xml:space="preserve"> </w:t>
      </w:r>
      <w:r>
        <w:rPr>
          <w:sz w:val="24"/>
        </w:rPr>
        <w:t>documents</w:t>
      </w:r>
    </w:p>
    <w:p w:rsidR="004E13A5" w:rsidRDefault="00681463">
      <w:pPr>
        <w:pStyle w:val="ListParagraph"/>
        <w:numPr>
          <w:ilvl w:val="0"/>
          <w:numId w:val="93"/>
        </w:numPr>
        <w:tabs>
          <w:tab w:val="left" w:pos="460"/>
          <w:tab w:val="left" w:pos="461"/>
        </w:tabs>
        <w:spacing w:before="118"/>
        <w:rPr>
          <w:rFonts w:ascii="Symbol"/>
          <w:sz w:val="24"/>
        </w:rPr>
      </w:pPr>
      <w:r>
        <w:rPr>
          <w:sz w:val="24"/>
        </w:rPr>
        <w:t>The signed verification consent</w:t>
      </w:r>
      <w:r>
        <w:rPr>
          <w:spacing w:val="-6"/>
          <w:sz w:val="24"/>
        </w:rPr>
        <w:t xml:space="preserve"> </w:t>
      </w:r>
      <w:r>
        <w:rPr>
          <w:sz w:val="24"/>
        </w:rPr>
        <w:t>form</w:t>
      </w:r>
    </w:p>
    <w:p w:rsidR="004E13A5" w:rsidRDefault="00681463">
      <w:pPr>
        <w:pStyle w:val="ListParagraph"/>
        <w:numPr>
          <w:ilvl w:val="0"/>
          <w:numId w:val="93"/>
        </w:numPr>
        <w:tabs>
          <w:tab w:val="left" w:pos="460"/>
          <w:tab w:val="left" w:pos="461"/>
        </w:tabs>
        <w:spacing w:before="118"/>
        <w:rPr>
          <w:rFonts w:ascii="Symbol"/>
          <w:sz w:val="24"/>
        </w:rPr>
      </w:pPr>
      <w:r>
        <w:rPr>
          <w:sz w:val="24"/>
        </w:rPr>
        <w:t>The USCIS verification</w:t>
      </w:r>
      <w:r>
        <w:rPr>
          <w:spacing w:val="-7"/>
          <w:sz w:val="24"/>
        </w:rPr>
        <w:t xml:space="preserve"> </w:t>
      </w:r>
      <w:r>
        <w:rPr>
          <w:sz w:val="24"/>
        </w:rPr>
        <w:t>results</w:t>
      </w:r>
    </w:p>
    <w:p w:rsidR="004E13A5" w:rsidRDefault="00681463">
      <w:pPr>
        <w:pStyle w:val="ListParagraph"/>
        <w:numPr>
          <w:ilvl w:val="0"/>
          <w:numId w:val="93"/>
        </w:numPr>
        <w:tabs>
          <w:tab w:val="left" w:pos="460"/>
          <w:tab w:val="left" w:pos="461"/>
        </w:tabs>
        <w:spacing w:before="121"/>
        <w:rPr>
          <w:rFonts w:ascii="Symbol"/>
          <w:sz w:val="24"/>
        </w:rPr>
      </w:pPr>
      <w:r>
        <w:rPr>
          <w:sz w:val="24"/>
        </w:rPr>
        <w:t>The request for a USCIS</w:t>
      </w:r>
      <w:r>
        <w:rPr>
          <w:spacing w:val="-8"/>
          <w:sz w:val="24"/>
        </w:rPr>
        <w:t xml:space="preserve"> </w:t>
      </w:r>
      <w:r>
        <w:rPr>
          <w:sz w:val="24"/>
        </w:rPr>
        <w:t>appeal</w:t>
      </w:r>
    </w:p>
    <w:p w:rsidR="004E13A5" w:rsidRDefault="00681463">
      <w:pPr>
        <w:pStyle w:val="ListParagraph"/>
        <w:numPr>
          <w:ilvl w:val="0"/>
          <w:numId w:val="93"/>
        </w:numPr>
        <w:tabs>
          <w:tab w:val="left" w:pos="460"/>
          <w:tab w:val="left" w:pos="461"/>
        </w:tabs>
        <w:rPr>
          <w:rFonts w:ascii="Symbol"/>
          <w:sz w:val="24"/>
        </w:rPr>
      </w:pPr>
      <w:r>
        <w:rPr>
          <w:sz w:val="24"/>
        </w:rPr>
        <w:t>The final USCIS</w:t>
      </w:r>
      <w:r>
        <w:rPr>
          <w:spacing w:val="-8"/>
          <w:sz w:val="24"/>
        </w:rPr>
        <w:t xml:space="preserve"> </w:t>
      </w:r>
      <w:r>
        <w:rPr>
          <w:sz w:val="24"/>
        </w:rPr>
        <w:t>determination</w:t>
      </w:r>
    </w:p>
    <w:p w:rsidR="004E13A5" w:rsidRDefault="00681463">
      <w:pPr>
        <w:pStyle w:val="ListParagraph"/>
        <w:numPr>
          <w:ilvl w:val="0"/>
          <w:numId w:val="93"/>
        </w:numPr>
        <w:tabs>
          <w:tab w:val="left" w:pos="460"/>
          <w:tab w:val="left" w:pos="461"/>
        </w:tabs>
        <w:rPr>
          <w:rFonts w:ascii="Symbol"/>
          <w:sz w:val="24"/>
        </w:rPr>
      </w:pPr>
      <w:r>
        <w:rPr>
          <w:sz w:val="24"/>
        </w:rPr>
        <w:t>The request for an informal</w:t>
      </w:r>
      <w:r>
        <w:rPr>
          <w:spacing w:val="-4"/>
          <w:sz w:val="24"/>
        </w:rPr>
        <w:t xml:space="preserve"> </w:t>
      </w:r>
      <w:r>
        <w:rPr>
          <w:sz w:val="24"/>
        </w:rPr>
        <w:t>hearing</w:t>
      </w:r>
    </w:p>
    <w:p w:rsidR="004E13A5" w:rsidRDefault="004E13A5">
      <w:pPr>
        <w:rPr>
          <w:rFonts w:ascii="Symbol"/>
          <w:sz w:val="24"/>
        </w:rPr>
        <w:sectPr w:rsidR="004E13A5">
          <w:pgSz w:w="12240" w:h="15840"/>
          <w:pgMar w:top="1000" w:right="1220" w:bottom="1240" w:left="1220" w:header="0" w:footer="998" w:gutter="0"/>
          <w:cols w:space="720"/>
        </w:sectPr>
      </w:pPr>
    </w:p>
    <w:p w:rsidR="004E13A5" w:rsidRDefault="00681463">
      <w:pPr>
        <w:pStyle w:val="ListParagraph"/>
        <w:numPr>
          <w:ilvl w:val="0"/>
          <w:numId w:val="93"/>
        </w:numPr>
        <w:tabs>
          <w:tab w:val="left" w:pos="461"/>
        </w:tabs>
        <w:spacing w:before="78"/>
        <w:jc w:val="both"/>
        <w:rPr>
          <w:rFonts w:ascii="Symbol"/>
          <w:sz w:val="24"/>
        </w:rPr>
      </w:pPr>
      <w:r>
        <w:rPr>
          <w:sz w:val="24"/>
        </w:rPr>
        <w:lastRenderedPageBreak/>
        <w:t>The final informal hearing</w:t>
      </w:r>
      <w:r>
        <w:rPr>
          <w:spacing w:val="-7"/>
          <w:sz w:val="24"/>
        </w:rPr>
        <w:t xml:space="preserve"> </w:t>
      </w:r>
      <w:r>
        <w:rPr>
          <w:sz w:val="24"/>
        </w:rPr>
        <w:t>decision</w:t>
      </w:r>
    </w:p>
    <w:p w:rsidR="004E13A5" w:rsidRDefault="00681463">
      <w:pPr>
        <w:pStyle w:val="Heading4"/>
        <w:spacing w:before="50" w:line="516" w:lineRule="exact"/>
        <w:ind w:right="1934" w:firstLine="1852"/>
      </w:pPr>
      <w:r>
        <w:t>PART IV: OWNER OR FAMILY DEBTS TO THE PHA 16-IV.A. OVERVIEW</w:t>
      </w:r>
    </w:p>
    <w:p w:rsidR="004E13A5" w:rsidRDefault="00681463">
      <w:pPr>
        <w:pStyle w:val="BodyText"/>
        <w:spacing w:before="68"/>
        <w:ind w:right="136"/>
      </w:pPr>
      <w:r>
        <w:t xml:space="preserve">PHAs are required to include in the administrative plan, policies concerning repayment by a family of amounts owed to the PHA [24 CFR 982.54]. If the </w:t>
      </w:r>
      <w:hyperlink r:id="rId48">
        <w:r>
          <w:t>family</w:t>
        </w:r>
      </w:hyperlink>
      <w:r>
        <w:t xml:space="preserve"> breaches an agreement with</w:t>
      </w:r>
    </w:p>
    <w:p w:rsidR="004E13A5" w:rsidRDefault="00681463">
      <w:pPr>
        <w:pStyle w:val="BodyText"/>
        <w:spacing w:before="0"/>
        <w:ind w:right="367"/>
      </w:pPr>
      <w:r>
        <w:t xml:space="preserve">the </w:t>
      </w:r>
      <w:hyperlink r:id="rId49">
        <w:r>
          <w:t>PHA</w:t>
        </w:r>
      </w:hyperlink>
      <w:r>
        <w:t xml:space="preserve"> to pay amounts owed to a </w:t>
      </w:r>
      <w:hyperlink r:id="rId50">
        <w:r>
          <w:t>PHA,</w:t>
        </w:r>
      </w:hyperlink>
      <w:r>
        <w:t xml:space="preserve"> or amounts paid to an </w:t>
      </w:r>
      <w:hyperlink r:id="rId51">
        <w:r>
          <w:t>owner</w:t>
        </w:r>
      </w:hyperlink>
      <w:r>
        <w:t xml:space="preserve"> by a </w:t>
      </w:r>
      <w:hyperlink r:id="rId52">
        <w:r>
          <w:t>PHA,</w:t>
        </w:r>
      </w:hyperlink>
      <w:r>
        <w:t xml:space="preserve"> the </w:t>
      </w:r>
      <w:hyperlink r:id="rId53">
        <w:r>
          <w:t>PHA,</w:t>
        </w:r>
      </w:hyperlink>
      <w:r>
        <w:t xml:space="preserve"> at its discretion, </w:t>
      </w:r>
      <w:hyperlink r:id="rId54">
        <w:r>
          <w:t>may</w:t>
        </w:r>
      </w:hyperlink>
      <w:r>
        <w:t xml:space="preserve"> offer a </w:t>
      </w:r>
      <w:hyperlink r:id="rId55">
        <w:r>
          <w:t>family</w:t>
        </w:r>
      </w:hyperlink>
      <w:r>
        <w:t xml:space="preserve"> the opportunity to enter an agreement to pay amounts owed to</w:t>
      </w:r>
    </w:p>
    <w:p w:rsidR="004E13A5" w:rsidRDefault="00681463">
      <w:pPr>
        <w:pStyle w:val="BodyText"/>
        <w:spacing w:before="0"/>
        <w:ind w:right="103"/>
        <w:jc w:val="both"/>
      </w:pPr>
      <w:r>
        <w:t xml:space="preserve">a </w:t>
      </w:r>
      <w:hyperlink r:id="rId56">
        <w:r>
          <w:t>PHA</w:t>
        </w:r>
      </w:hyperlink>
      <w:r>
        <w:t xml:space="preserve"> or amounts paid to an </w:t>
      </w:r>
      <w:hyperlink r:id="rId57">
        <w:r>
          <w:t>owner</w:t>
        </w:r>
      </w:hyperlink>
      <w:r>
        <w:t xml:space="preserve"> by a </w:t>
      </w:r>
      <w:hyperlink r:id="rId58">
        <w:r>
          <w:t>PHA</w:t>
        </w:r>
      </w:hyperlink>
      <w:r>
        <w:t xml:space="preserve">. The </w:t>
      </w:r>
      <w:hyperlink r:id="rId59">
        <w:r>
          <w:t>PHA</w:t>
        </w:r>
      </w:hyperlink>
      <w:r>
        <w:t xml:space="preserve"> </w:t>
      </w:r>
      <w:hyperlink r:id="rId60">
        <w:r>
          <w:t>may</w:t>
        </w:r>
      </w:hyperlink>
      <w:r>
        <w:t xml:space="preserve"> prescribe the terms of the agreement [24 CFR 982.552(c)(1)(vii). This part describes the PHA’s policies for recovery of monies owed to the PHA by families or owners.</w:t>
      </w:r>
    </w:p>
    <w:p w:rsidR="004E13A5" w:rsidRDefault="00681463">
      <w:pPr>
        <w:pStyle w:val="BodyText"/>
        <w:ind w:left="820"/>
      </w:pPr>
      <w:r>
        <w:rPr>
          <w:u w:val="single"/>
        </w:rPr>
        <w:t>PHA Policy</w:t>
      </w:r>
    </w:p>
    <w:p w:rsidR="004E13A5" w:rsidRDefault="00681463">
      <w:pPr>
        <w:pStyle w:val="BodyText"/>
        <w:spacing w:before="120"/>
        <w:ind w:left="820"/>
      </w:pPr>
      <w:r>
        <w:t>When an action or inaction of an owner or participant results in the overpayment of housing assistance, the PHA holds the owner or participant liable to return any overpayments to the PHA.</w:t>
      </w:r>
    </w:p>
    <w:p w:rsidR="004E13A5" w:rsidRDefault="004E13A5">
      <w:pPr>
        <w:pStyle w:val="BodyText"/>
        <w:spacing w:before="9"/>
        <w:ind w:left="0"/>
        <w:rPr>
          <w:sz w:val="20"/>
        </w:rPr>
      </w:pPr>
    </w:p>
    <w:p w:rsidR="004E13A5" w:rsidRDefault="00681463" w:rsidP="000F5F16">
      <w:pPr>
        <w:pStyle w:val="BodyText"/>
        <w:spacing w:before="1"/>
        <w:ind w:left="720" w:right="116"/>
      </w:pPr>
      <w:r>
        <w:t>The PHA will enter into repayment agreements in accordance with the policies contained in this part as a means to recover overpayments.</w:t>
      </w:r>
    </w:p>
    <w:p w:rsidR="004E13A5" w:rsidRDefault="004E13A5">
      <w:pPr>
        <w:pStyle w:val="BodyText"/>
        <w:spacing w:before="10"/>
        <w:ind w:left="0"/>
        <w:rPr>
          <w:sz w:val="20"/>
        </w:rPr>
      </w:pPr>
    </w:p>
    <w:p w:rsidR="004E13A5" w:rsidRDefault="00681463">
      <w:pPr>
        <w:pStyle w:val="Heading4"/>
        <w:jc w:val="both"/>
      </w:pPr>
      <w:bookmarkStart w:id="296" w:name="_TOC_250133"/>
      <w:bookmarkEnd w:id="296"/>
      <w:r>
        <w:t>16-IV.B. REPAYMENT POLICY</w:t>
      </w:r>
    </w:p>
    <w:p w:rsidR="004E13A5" w:rsidRDefault="00681463">
      <w:pPr>
        <w:pStyle w:val="Heading4"/>
        <w:spacing w:before="120"/>
        <w:jc w:val="both"/>
      </w:pPr>
      <w:bookmarkStart w:id="297" w:name="_TOC_250132"/>
      <w:bookmarkEnd w:id="297"/>
      <w:r>
        <w:t>Owner Debts to the PHA</w:t>
      </w:r>
    </w:p>
    <w:p w:rsidR="004E13A5" w:rsidRDefault="00681463">
      <w:pPr>
        <w:pStyle w:val="BodyText"/>
        <w:spacing w:before="120"/>
        <w:ind w:left="820"/>
      </w:pPr>
      <w:r>
        <w:rPr>
          <w:u w:val="single"/>
        </w:rPr>
        <w:t>PHA Policy</w:t>
      </w:r>
    </w:p>
    <w:p w:rsidR="004E13A5" w:rsidRDefault="00681463">
      <w:pPr>
        <w:pStyle w:val="BodyText"/>
        <w:spacing w:before="120"/>
        <w:ind w:left="820" w:right="81"/>
      </w:pPr>
      <w:r>
        <w:t>Any amount due to the PHA by an owner must be repaid by the owner within 30 days of the PHA determination of the debt.</w:t>
      </w:r>
    </w:p>
    <w:p w:rsidR="004E13A5" w:rsidRDefault="00681463">
      <w:pPr>
        <w:pStyle w:val="BodyText"/>
        <w:spacing w:before="120"/>
        <w:ind w:left="820" w:right="368"/>
        <w:jc w:val="both"/>
      </w:pPr>
      <w:r>
        <w:t>If the owner fails to repay the debt within the required time frame and is entitled to future HAP payments, the PHA will reduce the future HAP payments by the amount owed until the debt is paid in full.</w:t>
      </w:r>
    </w:p>
    <w:p w:rsidR="004E13A5" w:rsidRDefault="00681463">
      <w:pPr>
        <w:pStyle w:val="BodyText"/>
        <w:ind w:left="820" w:right="116"/>
      </w:pPr>
      <w:r>
        <w:t>If the owner is not entitled to future HAP payments the PHA may, in its sole discretion, offer to enter into a repayment agreement on terms prescribed by the PHA.</w:t>
      </w:r>
    </w:p>
    <w:p w:rsidR="004E13A5" w:rsidRDefault="00681463">
      <w:pPr>
        <w:pStyle w:val="BodyText"/>
        <w:ind w:left="820" w:right="116"/>
      </w:pPr>
      <w:r>
        <w:t>If the owner refuses to repay the debt, does not enter into a repayment agreement, or breaches a repayment agreement, the PHA will ban the owner from future participation in the program and pursue other modes of collection.</w:t>
      </w:r>
    </w:p>
    <w:p w:rsidR="004E13A5" w:rsidRDefault="00681463">
      <w:pPr>
        <w:pStyle w:val="BodyText"/>
        <w:spacing w:before="138"/>
        <w:ind w:left="820" w:right="768"/>
      </w:pPr>
      <w:r>
        <w:t>When an owner refuses to repay monies owed to the PHA, the PHA will utilize other available collection alternatives including, but not limited to, the following:</w:t>
      </w:r>
    </w:p>
    <w:p w:rsidR="004E13A5" w:rsidRDefault="00681463">
      <w:pPr>
        <w:pStyle w:val="BodyText"/>
        <w:spacing w:before="141" w:line="360" w:lineRule="auto"/>
        <w:ind w:left="1540" w:right="6334"/>
      </w:pPr>
      <w:r>
        <w:t>Collection agencies Small claims court Civil lawsuit</w:t>
      </w:r>
    </w:p>
    <w:p w:rsidR="004E13A5" w:rsidRDefault="00681463">
      <w:pPr>
        <w:pStyle w:val="BodyText"/>
        <w:spacing w:before="8"/>
        <w:ind w:left="1540"/>
      </w:pPr>
      <w:r>
        <w:t>State income tax set-off program</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Heading4"/>
        <w:jc w:val="both"/>
      </w:pPr>
      <w:bookmarkStart w:id="298" w:name="_TOC_250131"/>
      <w:bookmarkEnd w:id="298"/>
      <w:r>
        <w:t>Family Debts to the PHA</w:t>
      </w:r>
    </w:p>
    <w:p w:rsidR="004E13A5" w:rsidRDefault="004E13A5">
      <w:pPr>
        <w:jc w:val="both"/>
        <w:sectPr w:rsidR="004E13A5">
          <w:pgSz w:w="12240" w:h="15840"/>
          <w:pgMar w:top="1000" w:right="1240" w:bottom="1240" w:left="1220" w:header="0" w:footer="998" w:gutter="0"/>
          <w:cols w:space="720"/>
        </w:sectPr>
      </w:pPr>
    </w:p>
    <w:p w:rsidR="004E13A5" w:rsidRDefault="00681463">
      <w:pPr>
        <w:pStyle w:val="BodyText"/>
        <w:spacing w:before="79"/>
        <w:ind w:right="114"/>
      </w:pPr>
      <w:r>
        <w:lastRenderedPageBreak/>
        <w:t>Families are required to reimburse the PHA if they were charged less rent than required because the family either underreported or failed to report income. PHAs are required to determine retroactive rent amounts as far back as the PHA has documentation of family unreported income [Notice PIH 2018-18].</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BodyText"/>
        <w:spacing w:before="0"/>
        <w:ind w:left="820"/>
      </w:pPr>
      <w:r>
        <w:rPr>
          <w:u w:val="single"/>
        </w:rPr>
        <w:t>PHA Policy</w:t>
      </w:r>
    </w:p>
    <w:p w:rsidR="004E13A5" w:rsidRDefault="00681463">
      <w:pPr>
        <w:pStyle w:val="BodyText"/>
        <w:spacing w:before="120"/>
        <w:ind w:left="820" w:right="761"/>
      </w:pPr>
      <w:r>
        <w:t>Any amount owed to the PHA by an HCV family must be repaid by the family. If the family is unable to repay the debt within 30 days, the PHA will offer to enter into a repayment agreement in accordance with the policies below.</w:t>
      </w:r>
    </w:p>
    <w:p w:rsidR="004E13A5" w:rsidRDefault="00681463">
      <w:pPr>
        <w:pStyle w:val="BodyText"/>
        <w:spacing w:before="139"/>
        <w:ind w:right="362"/>
      </w:pPr>
      <w:r>
        <w:rPr>
          <w:b/>
        </w:rPr>
        <w:t>Refusal to Enter into an Agreement</w:t>
      </w:r>
      <w:r>
        <w:t>If the family refuses to repay the debt, does not enter into a repayment agreement, or breaches a repayment agreement, the PHA must terminate assistance Notice PIH 2018-18]</w:t>
      </w:r>
    </w:p>
    <w:p w:rsidR="004E13A5" w:rsidRDefault="00681463">
      <w:pPr>
        <w:pStyle w:val="BodyText"/>
        <w:spacing w:before="139"/>
        <w:ind w:left="820"/>
      </w:pPr>
      <w:r>
        <w:rPr>
          <w:u w:val="single"/>
        </w:rPr>
        <w:t>PHA Policy</w:t>
      </w:r>
    </w:p>
    <w:p w:rsidR="004E13A5" w:rsidRDefault="00681463">
      <w:pPr>
        <w:pStyle w:val="BodyText"/>
        <w:spacing w:before="138"/>
        <w:ind w:left="820" w:right="183"/>
      </w:pPr>
      <w:r>
        <w:t>When a family refuses to repay monies owed to the PHA, in addition to termination of program assistance, the PHA will utilize other available collection alternatives including, but not limited to, the following:</w:t>
      </w:r>
    </w:p>
    <w:p w:rsidR="004E13A5" w:rsidRDefault="00681463">
      <w:pPr>
        <w:pStyle w:val="BodyText"/>
        <w:spacing w:before="141" w:line="360" w:lineRule="auto"/>
        <w:ind w:left="1540" w:right="6354"/>
      </w:pPr>
      <w:r>
        <w:t>Collection agencies Small claims court Civil lawsuit</w:t>
      </w:r>
    </w:p>
    <w:p w:rsidR="004E13A5" w:rsidRDefault="00681463">
      <w:pPr>
        <w:pStyle w:val="BodyText"/>
        <w:spacing w:before="6"/>
        <w:ind w:left="1540"/>
      </w:pPr>
      <w:r>
        <w:t>State income tax set-off program</w:t>
      </w:r>
    </w:p>
    <w:p w:rsidR="004E13A5" w:rsidRDefault="004E13A5">
      <w:pPr>
        <w:pStyle w:val="BodyText"/>
        <w:spacing w:before="0"/>
        <w:ind w:left="0"/>
        <w:rPr>
          <w:sz w:val="26"/>
        </w:rPr>
      </w:pPr>
    </w:p>
    <w:p w:rsidR="004E13A5" w:rsidRDefault="004E13A5">
      <w:pPr>
        <w:pStyle w:val="BodyText"/>
        <w:spacing w:before="4"/>
        <w:ind w:left="0"/>
        <w:rPr>
          <w:sz w:val="22"/>
        </w:rPr>
      </w:pPr>
    </w:p>
    <w:p w:rsidR="004E13A5" w:rsidRDefault="00681463">
      <w:pPr>
        <w:pStyle w:val="Heading4"/>
        <w:spacing w:before="1"/>
      </w:pPr>
      <w:bookmarkStart w:id="299" w:name="_TOC_250130"/>
      <w:bookmarkEnd w:id="299"/>
      <w:r>
        <w:t>Repayment Agreement [24 CFR 792.103]</w:t>
      </w:r>
    </w:p>
    <w:p w:rsidR="004E13A5" w:rsidRDefault="00681463">
      <w:pPr>
        <w:pStyle w:val="BodyText"/>
        <w:spacing w:before="120"/>
        <w:ind w:right="189"/>
      </w:pPr>
      <w:r>
        <w:t xml:space="preserve">The term </w:t>
      </w:r>
      <w:r>
        <w:rPr>
          <w:i/>
        </w:rPr>
        <w:t xml:space="preserve">repayment agreement </w:t>
      </w:r>
      <w:r>
        <w:t>refers to a formal written document signed by a tenant or owner and provided to the PHA in which a tenant or owner acknowledges a debt in a specific amount and agrees to repay the amount due at specific time periods.</w:t>
      </w:r>
    </w:p>
    <w:p w:rsidR="004E13A5" w:rsidRDefault="004E13A5">
      <w:pPr>
        <w:pStyle w:val="BodyText"/>
        <w:spacing w:before="0"/>
        <w:ind w:left="0"/>
        <w:rPr>
          <w:sz w:val="26"/>
        </w:rPr>
      </w:pPr>
    </w:p>
    <w:p w:rsidR="004E13A5" w:rsidRDefault="00681463">
      <w:pPr>
        <w:pStyle w:val="Heading4"/>
        <w:spacing w:before="217"/>
      </w:pPr>
      <w:bookmarkStart w:id="300" w:name="_TOC_250129"/>
      <w:bookmarkEnd w:id="300"/>
      <w:r>
        <w:t>General Repayment Agreement Guidelines for Families</w:t>
      </w:r>
    </w:p>
    <w:p w:rsidR="004E13A5" w:rsidRDefault="00681463">
      <w:pPr>
        <w:pStyle w:val="Heading5"/>
        <w:spacing w:before="120"/>
      </w:pPr>
      <w:r>
        <w:t>Down Payment Requirement</w:t>
      </w:r>
    </w:p>
    <w:p w:rsidR="004E13A5" w:rsidRDefault="00681463">
      <w:pPr>
        <w:pStyle w:val="BodyText"/>
        <w:spacing w:before="120"/>
        <w:ind w:left="820"/>
      </w:pPr>
      <w:r>
        <w:rPr>
          <w:u w:val="single"/>
        </w:rPr>
        <w:t>PHA Policy</w:t>
      </w:r>
    </w:p>
    <w:p w:rsidR="004E13A5" w:rsidRDefault="00681463">
      <w:pPr>
        <w:pStyle w:val="BodyText"/>
        <w:spacing w:before="120"/>
        <w:ind w:left="820" w:right="336"/>
      </w:pPr>
      <w:r>
        <w:t>Before executing a repayment agreement with a family, the PHA will generally require a down payment of 10 percent of the total amount owed. If the family can provide evidence satisfactory to the PHA that a down payment of 10 percent would impose an undue hardship, the PHA may, in its sole discretion, require a lesser percentage or waive the requirement.</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5"/>
        <w:spacing w:before="0"/>
      </w:pPr>
      <w:r>
        <w:t>Payment Thresholds</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pPr>
      <w:r>
        <w:lastRenderedPageBreak/>
        <w:t>Notice PIH 2018-18recommends that the total amount that a family must pay each month—the family’s monthly share of rent plus the monthly debt repayment amount—should not exceed 40 percent of the family’s monthly adjusted income. However, a family may already be paying 40 per cent or more of its monthly adjusted income in rent. Moreover, Notice PIH 2018-18 acknowledges that PHAs have the discretion to establish “thresholds and policies” for repayment agreements with families [24 CFR 982.552(c)(1)(vii)].</w:t>
      </w:r>
    </w:p>
    <w:p w:rsidR="004E13A5" w:rsidRDefault="00681463">
      <w:pPr>
        <w:pStyle w:val="BodyText"/>
        <w:spacing w:before="120"/>
        <w:ind w:left="820"/>
      </w:pPr>
      <w:r>
        <w:rPr>
          <w:u w:val="single"/>
        </w:rPr>
        <w:t>PHA Policy</w:t>
      </w:r>
    </w:p>
    <w:p w:rsidR="004E13A5" w:rsidRDefault="00681463">
      <w:pPr>
        <w:pStyle w:val="BodyText"/>
        <w:spacing w:before="120" w:line="343" w:lineRule="auto"/>
        <w:ind w:left="1540" w:right="1215" w:hanging="720"/>
      </w:pPr>
      <w:r>
        <w:t>The PHA has established the following thresholds for repayment of debts: Amounts under $1,000 must be repaid within 12 months.</w:t>
      </w:r>
    </w:p>
    <w:p w:rsidR="004E13A5" w:rsidRDefault="00681463">
      <w:pPr>
        <w:pStyle w:val="BodyText"/>
        <w:spacing w:before="5" w:line="343" w:lineRule="auto"/>
        <w:ind w:left="1540" w:right="1360"/>
      </w:pPr>
      <w:r>
        <w:t>Amounts between $1,000 and $1,999 must be repaid within 24 months. Amounts between $2,000 and $2,999 must be repaid within 30 months.</w:t>
      </w:r>
    </w:p>
    <w:p w:rsidR="004E13A5" w:rsidRDefault="00681463">
      <w:pPr>
        <w:pStyle w:val="BodyText"/>
        <w:spacing w:before="5"/>
        <w:ind w:left="1540" w:right="182"/>
      </w:pPr>
      <w:r>
        <w:t>Amounts between $3,000 and the federal or state threshold for criminal prosecution must be repaid within 36 months.</w:t>
      </w:r>
    </w:p>
    <w:p w:rsidR="004E13A5" w:rsidRDefault="00681463">
      <w:pPr>
        <w:pStyle w:val="BodyText"/>
        <w:spacing w:before="120"/>
        <w:ind w:left="820" w:right="115"/>
      </w:pPr>
      <w:r>
        <w:t>If a family can provide evidence satisfactory to the PHA that the threshold applicable to the family’s debt would impose an undue hardship, the PHA may, in its sole discretion, determine that a lower monthly payment amount is reasonable. In making its determination, the PHA will consider all relevant information, including the following:</w:t>
      </w:r>
    </w:p>
    <w:p w:rsidR="004E13A5" w:rsidRDefault="00681463">
      <w:pPr>
        <w:pStyle w:val="BodyText"/>
        <w:spacing w:before="120"/>
        <w:ind w:left="1540"/>
      </w:pPr>
      <w:r>
        <w:t>The amount owed by the family to the PHA</w:t>
      </w:r>
    </w:p>
    <w:p w:rsidR="004E13A5" w:rsidRDefault="00681463">
      <w:pPr>
        <w:pStyle w:val="BodyText"/>
        <w:spacing w:before="120"/>
        <w:ind w:left="1540" w:right="982"/>
      </w:pPr>
      <w:r>
        <w:t>The reason for the debt, including whether the debt was the result of family action/inaction or circumstances beyond the family’s control</w:t>
      </w:r>
    </w:p>
    <w:p w:rsidR="004E13A5" w:rsidRDefault="00681463">
      <w:pPr>
        <w:pStyle w:val="BodyText"/>
        <w:spacing w:before="120"/>
        <w:ind w:left="1540"/>
      </w:pPr>
      <w:r>
        <w:t>The family’s current and potential income and expenses</w:t>
      </w:r>
    </w:p>
    <w:p w:rsidR="004E13A5" w:rsidRDefault="00681463">
      <w:pPr>
        <w:pStyle w:val="BodyText"/>
        <w:spacing w:before="120" w:line="345" w:lineRule="auto"/>
        <w:ind w:left="1540" w:right="1215"/>
      </w:pPr>
      <w:r>
        <w:t>The family’s current family share, as calculated under 24 CFR 982.515 The family’s history of meeting its financial responsibilities</w:t>
      </w:r>
    </w:p>
    <w:p w:rsidR="004E13A5" w:rsidRDefault="00681463">
      <w:pPr>
        <w:pStyle w:val="Heading5"/>
        <w:spacing w:before="3"/>
      </w:pPr>
      <w:r>
        <w:t>Execution of the Agreement</w:t>
      </w:r>
    </w:p>
    <w:p w:rsidR="004E13A5" w:rsidRDefault="00681463">
      <w:pPr>
        <w:pStyle w:val="BodyText"/>
        <w:spacing w:before="139"/>
      </w:pPr>
      <w:r>
        <w:rPr>
          <w:u w:val="single"/>
        </w:rPr>
        <w:t>All repayment agreements must be in writing, dated, and signed by both the family and the PHA [Notice PIH 2018-18].</w:t>
      </w:r>
    </w:p>
    <w:p w:rsidR="004E13A5" w:rsidRDefault="00681463">
      <w:pPr>
        <w:pStyle w:val="BodyText"/>
        <w:spacing w:before="139"/>
        <w:ind w:left="820"/>
      </w:pPr>
      <w:r>
        <w:rPr>
          <w:u w:val="single"/>
        </w:rPr>
        <w:t>PHA Policy</w:t>
      </w:r>
    </w:p>
    <w:p w:rsidR="004E13A5" w:rsidRDefault="00681463">
      <w:pPr>
        <w:pStyle w:val="BodyText"/>
        <w:spacing w:before="120"/>
        <w:ind w:left="820"/>
      </w:pPr>
      <w:r>
        <w:t>Any repayment agreement between the PHA and a family must be signed and dated by the PHA and by the head of household and spouse/co-head (if applicable).</w:t>
      </w:r>
    </w:p>
    <w:p w:rsidR="004E13A5" w:rsidRDefault="00681463">
      <w:pPr>
        <w:pStyle w:val="Heading5"/>
        <w:spacing w:before="120"/>
      </w:pPr>
      <w:r>
        <w:t>Due Dates</w:t>
      </w:r>
    </w:p>
    <w:p w:rsidR="004E13A5" w:rsidRDefault="00681463">
      <w:pPr>
        <w:pStyle w:val="BodyText"/>
        <w:spacing w:before="120"/>
        <w:ind w:left="820"/>
      </w:pPr>
      <w:r>
        <w:rPr>
          <w:u w:val="single"/>
        </w:rPr>
        <w:t>PHA Policy</w:t>
      </w:r>
    </w:p>
    <w:p w:rsidR="004E13A5" w:rsidRDefault="00681463">
      <w:pPr>
        <w:pStyle w:val="BodyText"/>
        <w:spacing w:before="124" w:line="276" w:lineRule="exact"/>
        <w:ind w:left="820" w:right="88"/>
      </w:pPr>
      <w:r>
        <w:t>All payments are due by the close of business on the 15</w:t>
      </w:r>
      <w:r>
        <w:rPr>
          <w:position w:val="9"/>
          <w:sz w:val="16"/>
        </w:rPr>
        <w:t xml:space="preserve">th </w:t>
      </w:r>
      <w:r>
        <w:t>day of the month. If the 15</w:t>
      </w:r>
      <w:r>
        <w:rPr>
          <w:position w:val="9"/>
          <w:sz w:val="16"/>
        </w:rPr>
        <w:t xml:space="preserve">th </w:t>
      </w:r>
      <w:r>
        <w:t>does not fall on a business day, the due date is the close of business on the first business day after the 15</w:t>
      </w:r>
      <w:r>
        <w:rPr>
          <w:position w:val="9"/>
          <w:sz w:val="16"/>
        </w:rPr>
        <w:t>th</w:t>
      </w:r>
      <w:r>
        <w:t>.</w:t>
      </w:r>
    </w:p>
    <w:p w:rsidR="004E13A5" w:rsidRDefault="004E13A5">
      <w:pPr>
        <w:pStyle w:val="BodyText"/>
        <w:spacing w:before="0"/>
        <w:ind w:left="0"/>
        <w:rPr>
          <w:sz w:val="28"/>
        </w:rPr>
      </w:pPr>
    </w:p>
    <w:p w:rsidR="004E13A5" w:rsidRDefault="004E13A5">
      <w:pPr>
        <w:pStyle w:val="BodyText"/>
        <w:spacing w:before="0"/>
        <w:ind w:left="0"/>
        <w:rPr>
          <w:sz w:val="28"/>
        </w:rPr>
      </w:pPr>
    </w:p>
    <w:p w:rsidR="004E13A5" w:rsidRDefault="004E13A5">
      <w:pPr>
        <w:pStyle w:val="BodyText"/>
        <w:spacing w:before="0"/>
        <w:ind w:left="0"/>
        <w:rPr>
          <w:sz w:val="23"/>
        </w:rPr>
      </w:pPr>
    </w:p>
    <w:p w:rsidR="004E13A5" w:rsidRDefault="00681463">
      <w:pPr>
        <w:pStyle w:val="Heading5"/>
        <w:spacing w:before="0"/>
      </w:pPr>
      <w:r>
        <w:t>Late or Missed Payments</w:t>
      </w:r>
    </w:p>
    <w:p w:rsidR="004E13A5" w:rsidRDefault="00681463">
      <w:pPr>
        <w:pStyle w:val="BodyText"/>
        <w:spacing w:before="120"/>
        <w:ind w:left="820"/>
      </w:pPr>
      <w:r>
        <w:rPr>
          <w:u w:val="single"/>
        </w:rPr>
        <w:t>PHA Policy</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right="149"/>
      </w:pPr>
      <w:r>
        <w:lastRenderedPageBreak/>
        <w:t>If a payment is not received by the end of the business day on the date due, and prior approval for the missed payment has not been given by the PHA, the PHA will send the family a delinquency notice giving the family 10 business days to make the late payment. If the payment is not received by the due date of the delinquency notice, it will be considered a breach of the agreement and the PHA will terminate assistance in accordance with the policies in Chapter 12.</w:t>
      </w:r>
    </w:p>
    <w:p w:rsidR="004E13A5" w:rsidRDefault="00681463">
      <w:pPr>
        <w:pStyle w:val="BodyText"/>
        <w:spacing w:before="120"/>
        <w:ind w:left="820"/>
      </w:pPr>
      <w:r>
        <w:t>If a family receives three delinquency notices for unexcused late payments in a 12-month period, the repayment agreement will be considered in default, and the PHA will terminate assistance in accordance with the policies in Chapter 12.</w:t>
      </w:r>
    </w:p>
    <w:p w:rsidR="004E13A5" w:rsidRDefault="004E13A5">
      <w:pPr>
        <w:pStyle w:val="BodyText"/>
        <w:spacing w:before="0"/>
        <w:ind w:left="0"/>
        <w:rPr>
          <w:sz w:val="26"/>
        </w:rPr>
      </w:pPr>
    </w:p>
    <w:p w:rsidR="004E13A5" w:rsidRDefault="00681463">
      <w:pPr>
        <w:pStyle w:val="Heading5"/>
        <w:spacing w:before="217"/>
      </w:pPr>
      <w:r>
        <w:t>No Offer of Repayment Agreement</w:t>
      </w:r>
    </w:p>
    <w:p w:rsidR="004E13A5" w:rsidRDefault="00681463">
      <w:pPr>
        <w:pStyle w:val="BodyText"/>
        <w:spacing w:before="120"/>
        <w:ind w:left="820"/>
      </w:pPr>
      <w:r>
        <w:rPr>
          <w:u w:val="single"/>
        </w:rPr>
        <w:t>PHA Policy</w:t>
      </w:r>
    </w:p>
    <w:p w:rsidR="004E13A5" w:rsidRDefault="00681463">
      <w:pPr>
        <w:pStyle w:val="BodyText"/>
        <w:spacing w:before="120"/>
        <w:ind w:left="820" w:right="96"/>
      </w:pPr>
      <w:r>
        <w:t>The PHA generally will not enter into a repayment agreement with a family if there is already a repayment agreement in place with the family or if the amount owed by the family exceeds the federal or state threshold for criminal prosecution.</w:t>
      </w:r>
    </w:p>
    <w:p w:rsidR="004E13A5" w:rsidRDefault="004E13A5">
      <w:pPr>
        <w:pStyle w:val="BodyText"/>
        <w:spacing w:before="0"/>
        <w:ind w:left="0"/>
        <w:rPr>
          <w:sz w:val="26"/>
        </w:rPr>
      </w:pPr>
    </w:p>
    <w:p w:rsidR="004E13A5" w:rsidRDefault="00681463">
      <w:pPr>
        <w:pStyle w:val="Heading4"/>
        <w:spacing w:before="216"/>
        <w:rPr>
          <w:i/>
        </w:rPr>
      </w:pPr>
      <w:r>
        <w:t>Repayment Agreements</w:t>
      </w:r>
      <w:r>
        <w:rPr>
          <w:i/>
        </w:rPr>
        <w:t>Terms</w:t>
      </w:r>
    </w:p>
    <w:p w:rsidR="004E13A5" w:rsidRDefault="00681463">
      <w:pPr>
        <w:pStyle w:val="BodyText"/>
        <w:ind w:right="289"/>
      </w:pPr>
      <w:r>
        <w:t>All repayment agreements must be in writing, dated, signed by both the family and the PHA, include the total retroactive rent amount owed, any amount of lump sum payment made at time of execution, if applicable, and the monthly repayment amount. Notice PIH 2018-18 requires certain provisions, at a minimum be included in any repayment agreement involving amounts owed by a family because it underreported or failed to report income:</w:t>
      </w:r>
    </w:p>
    <w:p w:rsidR="004E13A5" w:rsidRDefault="00681463">
      <w:pPr>
        <w:pStyle w:val="ListParagraph"/>
        <w:numPr>
          <w:ilvl w:val="0"/>
          <w:numId w:val="93"/>
        </w:numPr>
        <w:tabs>
          <w:tab w:val="left" w:pos="460"/>
          <w:tab w:val="left" w:pos="461"/>
        </w:tabs>
        <w:ind w:right="481"/>
        <w:rPr>
          <w:rFonts w:ascii="Symbol" w:hAnsi="Symbol"/>
          <w:sz w:val="24"/>
        </w:rPr>
      </w:pPr>
      <w:r>
        <w:rPr>
          <w:sz w:val="24"/>
        </w:rPr>
        <w:t>A reference to the items in the family briefing packet that state the family’s obligation to provide true and complete information at every reexamination and the grounds on which</w:t>
      </w:r>
      <w:r>
        <w:rPr>
          <w:spacing w:val="-12"/>
          <w:sz w:val="24"/>
        </w:rPr>
        <w:t xml:space="preserve"> </w:t>
      </w:r>
      <w:r>
        <w:rPr>
          <w:sz w:val="24"/>
        </w:rPr>
        <w:t>the PHA may terminate assistance because of a family’s action or failure to</w:t>
      </w:r>
      <w:r>
        <w:rPr>
          <w:spacing w:val="-18"/>
          <w:sz w:val="24"/>
        </w:rPr>
        <w:t xml:space="preserve"> </w:t>
      </w:r>
      <w:r>
        <w:rPr>
          <w:sz w:val="24"/>
        </w:rPr>
        <w:t>act</w:t>
      </w:r>
    </w:p>
    <w:p w:rsidR="004E13A5" w:rsidRDefault="00681463">
      <w:pPr>
        <w:pStyle w:val="ListParagraph"/>
        <w:numPr>
          <w:ilvl w:val="0"/>
          <w:numId w:val="93"/>
        </w:numPr>
        <w:tabs>
          <w:tab w:val="left" w:pos="460"/>
          <w:tab w:val="left" w:pos="461"/>
        </w:tabs>
        <w:ind w:right="418"/>
        <w:rPr>
          <w:rFonts w:ascii="Symbol" w:hAnsi="Symbol"/>
          <w:sz w:val="24"/>
        </w:rPr>
      </w:pPr>
      <w:r>
        <w:rPr>
          <w:sz w:val="24"/>
        </w:rPr>
        <w:t>A statement clarifying that each month the family not only must pay to the PHA the monthly payment amount specified in the agreement but must also pay to the owner the family’s monthly share of the rent to</w:t>
      </w:r>
      <w:r>
        <w:rPr>
          <w:spacing w:val="-10"/>
          <w:sz w:val="24"/>
        </w:rPr>
        <w:t xml:space="preserve"> </w:t>
      </w:r>
      <w:r>
        <w:rPr>
          <w:sz w:val="24"/>
        </w:rPr>
        <w:t>owner</w:t>
      </w:r>
    </w:p>
    <w:p w:rsidR="004E13A5" w:rsidRDefault="00681463">
      <w:pPr>
        <w:pStyle w:val="ListParagraph"/>
        <w:numPr>
          <w:ilvl w:val="0"/>
          <w:numId w:val="93"/>
        </w:numPr>
        <w:tabs>
          <w:tab w:val="left" w:pos="460"/>
          <w:tab w:val="left" w:pos="461"/>
        </w:tabs>
        <w:ind w:right="646"/>
        <w:rPr>
          <w:rFonts w:ascii="Symbol" w:hAnsi="Symbol"/>
          <w:sz w:val="24"/>
        </w:rPr>
      </w:pPr>
      <w:r>
        <w:rPr>
          <w:sz w:val="24"/>
        </w:rPr>
        <w:t>A statement that the terms of the repayment agreement may be renegotiated if the family’s income decreases or</w:t>
      </w:r>
      <w:r>
        <w:rPr>
          <w:spacing w:val="-7"/>
          <w:sz w:val="24"/>
        </w:rPr>
        <w:t xml:space="preserve"> </w:t>
      </w:r>
      <w:r>
        <w:rPr>
          <w:sz w:val="24"/>
        </w:rPr>
        <w:t>increases</w:t>
      </w:r>
    </w:p>
    <w:p w:rsidR="004E13A5" w:rsidRDefault="00681463">
      <w:pPr>
        <w:pStyle w:val="ListParagraph"/>
        <w:numPr>
          <w:ilvl w:val="0"/>
          <w:numId w:val="93"/>
        </w:numPr>
        <w:tabs>
          <w:tab w:val="left" w:pos="460"/>
          <w:tab w:val="left" w:pos="461"/>
        </w:tabs>
        <w:ind w:right="525"/>
        <w:rPr>
          <w:rFonts w:ascii="Symbol"/>
          <w:sz w:val="24"/>
        </w:rPr>
      </w:pPr>
      <w:r>
        <w:rPr>
          <w:sz w:val="24"/>
        </w:rPr>
        <w:t>A statement that late or missed payments constitute default of the repayment agreement</w:t>
      </w:r>
      <w:r>
        <w:rPr>
          <w:spacing w:val="-18"/>
          <w:sz w:val="24"/>
        </w:rPr>
        <w:t xml:space="preserve"> </w:t>
      </w:r>
      <w:r>
        <w:rPr>
          <w:sz w:val="24"/>
        </w:rPr>
        <w:t>and may result in termination of</w:t>
      </w:r>
      <w:r>
        <w:rPr>
          <w:spacing w:val="-10"/>
          <w:sz w:val="24"/>
        </w:rPr>
        <w:t xml:space="preserve"> </w:t>
      </w:r>
      <w:r>
        <w:rPr>
          <w:sz w:val="24"/>
        </w:rPr>
        <w:t>assistance</w:t>
      </w:r>
    </w:p>
    <w:p w:rsidR="004E13A5" w:rsidRDefault="00681463">
      <w:pPr>
        <w:pStyle w:val="Heading4"/>
        <w:spacing w:before="50" w:line="516" w:lineRule="exact"/>
        <w:ind w:right="764" w:firstLine="703"/>
      </w:pPr>
      <w:r>
        <w:t>PART V: SECTION 8 MANAGEMENT ASSESSMENT PROGRAM (SEMAP) 16-V.A. OVERVIEW</w:t>
      </w:r>
    </w:p>
    <w:p w:rsidR="004E13A5" w:rsidRDefault="00681463">
      <w:pPr>
        <w:pStyle w:val="BodyText"/>
        <w:spacing w:before="68"/>
        <w:ind w:right="175"/>
      </w:pPr>
      <w:r>
        <w:t>The Section 8 Management Assessment Program (SEMAP) is a tool that allows HUD to measure PHA performance in key areas to ensure program integrity and accountability. SEMAP scores translate into a rating for each PHA as high performing, standard, or troubled. Scores on individual SEMAP indicators, as well as overall SEMAP ratings, can affect the PHA in several ways.</w:t>
      </w:r>
    </w:p>
    <w:p w:rsidR="004E13A5" w:rsidRDefault="00681463">
      <w:pPr>
        <w:pStyle w:val="ListParagraph"/>
        <w:numPr>
          <w:ilvl w:val="0"/>
          <w:numId w:val="93"/>
        </w:numPr>
        <w:tabs>
          <w:tab w:val="left" w:pos="460"/>
          <w:tab w:val="left" w:pos="461"/>
        </w:tabs>
        <w:ind w:right="988"/>
        <w:rPr>
          <w:rFonts w:ascii="Symbol"/>
          <w:sz w:val="24"/>
        </w:rPr>
      </w:pPr>
      <w:r>
        <w:rPr>
          <w:sz w:val="24"/>
        </w:rPr>
        <w:t>High-performing PHAs can be given a competitive advantage under notices of</w:t>
      </w:r>
      <w:r>
        <w:rPr>
          <w:spacing w:val="-14"/>
          <w:sz w:val="24"/>
        </w:rPr>
        <w:t xml:space="preserve"> </w:t>
      </w:r>
      <w:r>
        <w:rPr>
          <w:sz w:val="24"/>
        </w:rPr>
        <w:t>funding availability [24 CFR</w:t>
      </w:r>
      <w:r>
        <w:rPr>
          <w:spacing w:val="-6"/>
          <w:sz w:val="24"/>
        </w:rPr>
        <w:t xml:space="preserve"> </w:t>
      </w:r>
      <w:r>
        <w:rPr>
          <w:sz w:val="24"/>
        </w:rPr>
        <w:t>985.103].</w:t>
      </w:r>
    </w:p>
    <w:p w:rsidR="004E13A5" w:rsidRDefault="004E13A5">
      <w:pPr>
        <w:rPr>
          <w:rFonts w:ascii="Symbol"/>
          <w:sz w:val="24"/>
        </w:rPr>
        <w:sectPr w:rsidR="004E13A5">
          <w:pgSz w:w="12240" w:h="15840"/>
          <w:pgMar w:top="1000" w:right="1220" w:bottom="1240" w:left="1220" w:header="0" w:footer="998" w:gutter="0"/>
          <w:cols w:space="720"/>
        </w:sectPr>
      </w:pPr>
    </w:p>
    <w:p w:rsidR="004E13A5" w:rsidRDefault="00681463">
      <w:pPr>
        <w:pStyle w:val="ListParagraph"/>
        <w:numPr>
          <w:ilvl w:val="0"/>
          <w:numId w:val="93"/>
        </w:numPr>
        <w:tabs>
          <w:tab w:val="left" w:pos="460"/>
          <w:tab w:val="left" w:pos="461"/>
        </w:tabs>
        <w:spacing w:before="78"/>
        <w:ind w:right="398"/>
        <w:rPr>
          <w:rFonts w:ascii="Symbol"/>
          <w:sz w:val="24"/>
        </w:rPr>
      </w:pPr>
      <w:r>
        <w:rPr>
          <w:sz w:val="24"/>
        </w:rPr>
        <w:lastRenderedPageBreak/>
        <w:t>PHAs with deficiencies on one or more indicators are required to correct the deficiencies</w:t>
      </w:r>
      <w:r>
        <w:rPr>
          <w:spacing w:val="-16"/>
          <w:sz w:val="24"/>
        </w:rPr>
        <w:t xml:space="preserve"> </w:t>
      </w:r>
      <w:r>
        <w:rPr>
          <w:sz w:val="24"/>
        </w:rPr>
        <w:t>and report to HUD [24 CFR</w:t>
      </w:r>
      <w:r>
        <w:rPr>
          <w:spacing w:val="-3"/>
          <w:sz w:val="24"/>
        </w:rPr>
        <w:t xml:space="preserve"> </w:t>
      </w:r>
      <w:r>
        <w:rPr>
          <w:sz w:val="24"/>
        </w:rPr>
        <w:t>985.106].</w:t>
      </w:r>
    </w:p>
    <w:p w:rsidR="004E13A5" w:rsidRDefault="00681463">
      <w:pPr>
        <w:pStyle w:val="ListParagraph"/>
        <w:numPr>
          <w:ilvl w:val="0"/>
          <w:numId w:val="93"/>
        </w:numPr>
        <w:tabs>
          <w:tab w:val="left" w:pos="460"/>
          <w:tab w:val="left" w:pos="461"/>
        </w:tabs>
        <w:ind w:right="98"/>
        <w:rPr>
          <w:rFonts w:ascii="Symbol" w:hAnsi="Symbol"/>
          <w:sz w:val="24"/>
        </w:rPr>
      </w:pPr>
      <w:r>
        <w:rPr>
          <w:sz w:val="24"/>
        </w:rPr>
        <w:t>PHAs with an overall rating of “troubled” are subject to additional HUD oversight, including on-site reviews by HUD staff, a requirement to develop a corrective action plan, and monitoring to ensure the successful implementation of the corrective action plan. In addition, PHAs that are designated “troubled” may not use any part of the administrative fee reserve for other housing purposes [24 CFR</w:t>
      </w:r>
      <w:r>
        <w:rPr>
          <w:spacing w:val="-3"/>
          <w:sz w:val="24"/>
        </w:rPr>
        <w:t xml:space="preserve"> </w:t>
      </w:r>
      <w:r>
        <w:rPr>
          <w:sz w:val="24"/>
        </w:rPr>
        <w:t>985.107].</w:t>
      </w:r>
    </w:p>
    <w:p w:rsidR="004E13A5" w:rsidRDefault="00681463">
      <w:pPr>
        <w:pStyle w:val="ListParagraph"/>
        <w:numPr>
          <w:ilvl w:val="0"/>
          <w:numId w:val="93"/>
        </w:numPr>
        <w:tabs>
          <w:tab w:val="left" w:pos="460"/>
          <w:tab w:val="left" w:pos="461"/>
        </w:tabs>
        <w:ind w:right="145"/>
        <w:rPr>
          <w:rFonts w:ascii="Symbol"/>
          <w:sz w:val="24"/>
        </w:rPr>
      </w:pPr>
      <w:r>
        <w:rPr>
          <w:sz w:val="24"/>
        </w:rPr>
        <w:t>HUD may determine that a PHA's failure to correct identified SEMAP deficiencies or to prepare and implement a corrective action plan required by HUD constitutes a default under</w:t>
      </w:r>
      <w:r>
        <w:rPr>
          <w:spacing w:val="-17"/>
          <w:sz w:val="24"/>
        </w:rPr>
        <w:t xml:space="preserve"> </w:t>
      </w:r>
      <w:r>
        <w:rPr>
          <w:sz w:val="24"/>
        </w:rPr>
        <w:t>the ACC [24 CFR</w:t>
      </w:r>
      <w:r>
        <w:rPr>
          <w:spacing w:val="-4"/>
          <w:sz w:val="24"/>
        </w:rPr>
        <w:t xml:space="preserve"> </w:t>
      </w:r>
      <w:r>
        <w:rPr>
          <w:sz w:val="24"/>
        </w:rPr>
        <w:t>985.109].</w:t>
      </w:r>
    </w:p>
    <w:p w:rsidR="004E13A5" w:rsidRDefault="004E13A5">
      <w:pPr>
        <w:pStyle w:val="BodyText"/>
        <w:spacing w:before="9"/>
        <w:ind w:left="0"/>
        <w:rPr>
          <w:sz w:val="20"/>
        </w:rPr>
      </w:pPr>
    </w:p>
    <w:p w:rsidR="004E13A5" w:rsidRDefault="00681463">
      <w:pPr>
        <w:pStyle w:val="Heading4"/>
      </w:pPr>
      <w:bookmarkStart w:id="301" w:name="_TOC_250128"/>
      <w:bookmarkEnd w:id="301"/>
      <w:r>
        <w:t>16-V.B. SEMAP CERTIFICATION [24 CFR 985.101]</w:t>
      </w:r>
    </w:p>
    <w:p w:rsidR="004E13A5" w:rsidRDefault="00681463">
      <w:pPr>
        <w:pStyle w:val="BodyText"/>
        <w:ind w:right="183"/>
      </w:pPr>
      <w:r>
        <w:t>PHAs must submit the HUD-required SEMAP certification form within 60 calendar days after the end of its fiscal year. The certification must be approved by PHA board resolution and signed by the PHA executive director. If the PHA is a unit of local government or a state, a resolution approving the certification is not required, and the certification must be executed by the Section 8 program director.</w:t>
      </w:r>
    </w:p>
    <w:p w:rsidR="004E13A5" w:rsidRDefault="00681463">
      <w:pPr>
        <w:pStyle w:val="BodyText"/>
        <w:ind w:right="328"/>
      </w:pPr>
      <w:r>
        <w:t>PHAs with less than 250 voucher units are only required to be assessed every other PHA fiscal year. HUD will assess such PHAs annually if the PHA elects to have its performance assessed on an annual basis; or is designated as “troubled” [24 CFR 985.105].</w:t>
      </w:r>
    </w:p>
    <w:p w:rsidR="004E13A5" w:rsidRDefault="00681463">
      <w:pPr>
        <w:pStyle w:val="BodyText"/>
        <w:ind w:right="155"/>
      </w:pPr>
      <w:r>
        <w:t>Failure of a PHA to submit its SEMAP certification within the required time frame will result in an overall performance rating of “troubled.”</w:t>
      </w:r>
    </w:p>
    <w:p w:rsidR="004E13A5" w:rsidRDefault="00681463">
      <w:pPr>
        <w:pStyle w:val="BodyText"/>
        <w:ind w:right="202"/>
      </w:pPr>
      <w:r>
        <w:t>A PHA’s SEMAP certification is subject to HUD verification by an on-site confirmatory review at any time.</w:t>
      </w:r>
    </w:p>
    <w:p w:rsidR="004E13A5" w:rsidRDefault="00681463">
      <w:pPr>
        <w:pStyle w:val="BodyText"/>
      </w:pPr>
      <w:r>
        <w:t>Upon receipt of the PHA’s SEMAP certification, HUD will rate the PHA’s performance under each SEMAP indicator in accordance with program requirements.</w:t>
      </w:r>
    </w:p>
    <w:p w:rsidR="004E13A5" w:rsidRDefault="00681463">
      <w:pPr>
        <w:pStyle w:val="Heading4"/>
        <w:spacing w:before="119"/>
      </w:pPr>
      <w:bookmarkStart w:id="302" w:name="_TOC_250127"/>
      <w:bookmarkEnd w:id="302"/>
      <w:r>
        <w:t>HUD Verification Method</w:t>
      </w:r>
    </w:p>
    <w:p w:rsidR="004E13A5" w:rsidRDefault="00681463">
      <w:pPr>
        <w:pStyle w:val="BodyText"/>
      </w:pPr>
      <w:r>
        <w:t>Several of the SEMAP indicators are scored based on a review of a quality control sample selected for this purpose. The PHA or the Independent Auditor must select an unbiased sample that provides an adequate representation of the types of information to be assessed, in accordance with SEMAP requirements [24 CFR 985.2].</w:t>
      </w:r>
    </w:p>
    <w:p w:rsidR="004E13A5" w:rsidRDefault="00681463">
      <w:pPr>
        <w:pStyle w:val="BodyText"/>
        <w:ind w:right="301"/>
      </w:pPr>
      <w:r>
        <w:t>If the HUD verification method for the indicator relies on data in the Form-50058 module (formerly known as MTCS) in the PIH Information Center (PIC), and HUD determines that those data are insufficient to verify the PHA's certification on the indicator due to the PHA's failure to adequately report family data, HUD will assign a zero rating for the indicator [24 CFR 985.3].</w:t>
      </w:r>
    </w:p>
    <w:p w:rsidR="004E13A5" w:rsidRDefault="004E13A5">
      <w:pPr>
        <w:pStyle w:val="BodyText"/>
        <w:spacing w:before="10"/>
        <w:ind w:left="0"/>
        <w:rPr>
          <w:sz w:val="20"/>
        </w:rPr>
      </w:pPr>
    </w:p>
    <w:p w:rsidR="004E13A5" w:rsidRDefault="00681463">
      <w:pPr>
        <w:pStyle w:val="Heading4"/>
      </w:pPr>
      <w:bookmarkStart w:id="303" w:name="_TOC_250126"/>
      <w:bookmarkEnd w:id="303"/>
      <w:r>
        <w:t>16-V.C. SEMAP INDICATORS [24 CFR 985.3 and form HUD-52648]</w:t>
      </w:r>
    </w:p>
    <w:p w:rsidR="004E13A5" w:rsidRDefault="00681463">
      <w:pPr>
        <w:pStyle w:val="BodyText"/>
      </w:pPr>
      <w:r>
        <w:t>The table below lists each of the SEMAP indicators, contains a description of each indicator, and explains the basis for points awarded under each indicator.</w:t>
      </w:r>
    </w:p>
    <w:p w:rsidR="004E13A5" w:rsidRDefault="00681463">
      <w:pPr>
        <w:pStyle w:val="BodyText"/>
        <w:ind w:right="355"/>
      </w:pPr>
      <w:r>
        <w:t>A PHA that expends less than $300,000 in Federal awards and whose Section 8 programs are not audited by an independent auditor, is not be rated under SEMAP indicators 1-7.</w:t>
      </w:r>
    </w:p>
    <w:p w:rsidR="004E13A5" w:rsidRDefault="004E13A5">
      <w:pPr>
        <w:sectPr w:rsidR="004E13A5">
          <w:pgSz w:w="12240" w:h="15840"/>
          <w:pgMar w:top="1000" w:right="1220" w:bottom="1240" w:left="1220" w:header="0" w:footer="998"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2"/>
      </w:tblGrid>
      <w:tr w:rsidR="004E13A5">
        <w:trPr>
          <w:trHeight w:hRule="exact" w:val="406"/>
        </w:trPr>
        <w:tc>
          <w:tcPr>
            <w:tcW w:w="9172" w:type="dxa"/>
          </w:tcPr>
          <w:p w:rsidR="004E13A5" w:rsidRDefault="00681463">
            <w:pPr>
              <w:pStyle w:val="TableParagraph"/>
              <w:spacing w:before="119"/>
              <w:ind w:left="3586" w:right="3592"/>
              <w:jc w:val="center"/>
              <w:rPr>
                <w:b/>
                <w:sz w:val="24"/>
              </w:rPr>
            </w:pPr>
            <w:r>
              <w:rPr>
                <w:b/>
                <w:sz w:val="24"/>
              </w:rPr>
              <w:lastRenderedPageBreak/>
              <w:t>SEMAP</w:t>
            </w:r>
            <w:r>
              <w:rPr>
                <w:b/>
                <w:spacing w:val="-9"/>
                <w:sz w:val="24"/>
              </w:rPr>
              <w:t xml:space="preserve"> </w:t>
            </w:r>
            <w:r>
              <w:rPr>
                <w:b/>
                <w:sz w:val="24"/>
              </w:rPr>
              <w:t>Indicators</w:t>
            </w:r>
          </w:p>
        </w:tc>
      </w:tr>
      <w:tr w:rsidR="004E13A5">
        <w:trPr>
          <w:trHeight w:hRule="exact" w:val="2374"/>
        </w:trPr>
        <w:tc>
          <w:tcPr>
            <w:tcW w:w="9172" w:type="dxa"/>
          </w:tcPr>
          <w:p w:rsidR="004E13A5" w:rsidRDefault="00681463">
            <w:pPr>
              <w:pStyle w:val="TableParagraph"/>
              <w:spacing w:before="119"/>
              <w:ind w:left="163" w:right="4647"/>
              <w:rPr>
                <w:b/>
                <w:sz w:val="24"/>
              </w:rPr>
            </w:pPr>
            <w:r>
              <w:rPr>
                <w:b/>
                <w:sz w:val="24"/>
              </w:rPr>
              <w:t>Indicator 1: Selection from the waiting list Maximum Score: 15</w:t>
            </w:r>
          </w:p>
          <w:p w:rsidR="004E13A5" w:rsidRDefault="00681463">
            <w:pPr>
              <w:pStyle w:val="TableParagraph"/>
              <w:numPr>
                <w:ilvl w:val="0"/>
                <w:numId w:val="47"/>
              </w:numPr>
              <w:tabs>
                <w:tab w:val="left" w:pos="464"/>
              </w:tabs>
              <w:ind w:right="263" w:hanging="360"/>
              <w:rPr>
                <w:sz w:val="24"/>
              </w:rPr>
            </w:pPr>
            <w:r>
              <w:rPr>
                <w:sz w:val="24"/>
              </w:rPr>
              <w:t>This indicator shows whether the PHA has written policies in its administrative plan for selecting applicants from the waiting list and whether the PHA follows these policies when selecting applicants from the waiting</w:t>
            </w:r>
            <w:r>
              <w:rPr>
                <w:spacing w:val="-13"/>
                <w:sz w:val="24"/>
              </w:rPr>
              <w:t xml:space="preserve"> </w:t>
            </w:r>
            <w:r>
              <w:rPr>
                <w:sz w:val="24"/>
              </w:rPr>
              <w:t>list.</w:t>
            </w:r>
          </w:p>
          <w:p w:rsidR="004E13A5" w:rsidRDefault="00681463">
            <w:pPr>
              <w:pStyle w:val="TableParagraph"/>
              <w:numPr>
                <w:ilvl w:val="0"/>
                <w:numId w:val="47"/>
              </w:numPr>
              <w:tabs>
                <w:tab w:val="left" w:pos="464"/>
              </w:tabs>
              <w:ind w:right="605" w:hanging="360"/>
              <w:rPr>
                <w:sz w:val="24"/>
              </w:rPr>
            </w:pPr>
            <w:r>
              <w:rPr>
                <w:sz w:val="24"/>
              </w:rPr>
              <w:t>Points are based on the percent of families that are selected from the waiting list in accordance with the PHA’s written policies, according to the PHA’s quality</w:t>
            </w:r>
            <w:r>
              <w:rPr>
                <w:spacing w:val="-15"/>
                <w:sz w:val="24"/>
              </w:rPr>
              <w:t xml:space="preserve"> </w:t>
            </w:r>
            <w:r>
              <w:rPr>
                <w:sz w:val="24"/>
              </w:rPr>
              <w:t>control sample.</w:t>
            </w:r>
          </w:p>
        </w:tc>
      </w:tr>
      <w:tr w:rsidR="004E13A5">
        <w:trPr>
          <w:trHeight w:hRule="exact" w:val="2372"/>
        </w:trPr>
        <w:tc>
          <w:tcPr>
            <w:tcW w:w="9172" w:type="dxa"/>
          </w:tcPr>
          <w:p w:rsidR="004E13A5" w:rsidRDefault="00681463">
            <w:pPr>
              <w:pStyle w:val="TableParagraph"/>
              <w:spacing w:before="119"/>
              <w:ind w:right="5673"/>
              <w:rPr>
                <w:b/>
                <w:sz w:val="24"/>
              </w:rPr>
            </w:pPr>
            <w:r>
              <w:rPr>
                <w:b/>
                <w:sz w:val="24"/>
              </w:rPr>
              <w:t>Indicator 2: Rent reasonableness Maximum Score: 20</w:t>
            </w:r>
          </w:p>
          <w:p w:rsidR="004E13A5" w:rsidRDefault="00681463">
            <w:pPr>
              <w:pStyle w:val="TableParagraph"/>
              <w:numPr>
                <w:ilvl w:val="0"/>
                <w:numId w:val="46"/>
              </w:numPr>
              <w:tabs>
                <w:tab w:val="left" w:pos="464"/>
              </w:tabs>
              <w:ind w:right="232" w:hanging="360"/>
              <w:rPr>
                <w:sz w:val="24"/>
              </w:rPr>
            </w:pPr>
            <w:r>
              <w:rPr>
                <w:sz w:val="24"/>
              </w:rPr>
              <w:t>This indicator shows whether the PHA has and implements a reasonable written method to determine and document for each unit leased that the rent to owner is reasonable based on current rents for comparable unassisted units at the required</w:t>
            </w:r>
            <w:r>
              <w:rPr>
                <w:spacing w:val="-11"/>
                <w:sz w:val="24"/>
              </w:rPr>
              <w:t xml:space="preserve"> </w:t>
            </w:r>
            <w:r>
              <w:rPr>
                <w:sz w:val="24"/>
              </w:rPr>
              <w:t>times.</w:t>
            </w:r>
          </w:p>
          <w:p w:rsidR="004E13A5" w:rsidRDefault="00681463">
            <w:pPr>
              <w:pStyle w:val="TableParagraph"/>
              <w:numPr>
                <w:ilvl w:val="0"/>
                <w:numId w:val="46"/>
              </w:numPr>
              <w:tabs>
                <w:tab w:val="left" w:pos="464"/>
              </w:tabs>
              <w:ind w:right="114" w:hanging="360"/>
              <w:rPr>
                <w:sz w:val="24"/>
              </w:rPr>
            </w:pPr>
            <w:r>
              <w:rPr>
                <w:sz w:val="24"/>
              </w:rPr>
              <w:t>Points are based on the percent of units for which the PHA follows its written method to determine reasonable rent and has documented its determination that the rent to owner is reasonable, according to the PHA’s quality control</w:t>
            </w:r>
            <w:r>
              <w:rPr>
                <w:spacing w:val="-9"/>
                <w:sz w:val="24"/>
              </w:rPr>
              <w:t xml:space="preserve"> </w:t>
            </w:r>
            <w:r>
              <w:rPr>
                <w:sz w:val="24"/>
              </w:rPr>
              <w:t>sample.</w:t>
            </w:r>
          </w:p>
        </w:tc>
      </w:tr>
      <w:tr w:rsidR="004E13A5">
        <w:trPr>
          <w:trHeight w:hRule="exact" w:val="2095"/>
        </w:trPr>
        <w:tc>
          <w:tcPr>
            <w:tcW w:w="9172" w:type="dxa"/>
          </w:tcPr>
          <w:p w:rsidR="004E13A5" w:rsidRDefault="00681463">
            <w:pPr>
              <w:pStyle w:val="TableParagraph"/>
              <w:spacing w:before="119"/>
              <w:ind w:right="4199"/>
              <w:rPr>
                <w:b/>
                <w:sz w:val="24"/>
              </w:rPr>
            </w:pPr>
            <w:r>
              <w:rPr>
                <w:b/>
                <w:sz w:val="24"/>
              </w:rPr>
              <w:t>Indicator 3: Determination of adjusted income Maximum Score: 20</w:t>
            </w:r>
          </w:p>
          <w:p w:rsidR="004E13A5" w:rsidRDefault="00681463">
            <w:pPr>
              <w:pStyle w:val="TableParagraph"/>
              <w:numPr>
                <w:ilvl w:val="0"/>
                <w:numId w:val="45"/>
              </w:numPr>
              <w:tabs>
                <w:tab w:val="left" w:pos="464"/>
              </w:tabs>
              <w:ind w:right="608" w:hanging="360"/>
              <w:rPr>
                <w:sz w:val="24"/>
              </w:rPr>
            </w:pPr>
            <w:r>
              <w:rPr>
                <w:sz w:val="24"/>
              </w:rPr>
              <w:t>This indicator measures whether the PHA verifies and correctly determines</w:t>
            </w:r>
            <w:r>
              <w:rPr>
                <w:spacing w:val="-15"/>
                <w:sz w:val="24"/>
              </w:rPr>
              <w:t xml:space="preserve"> </w:t>
            </w:r>
            <w:r>
              <w:rPr>
                <w:sz w:val="24"/>
              </w:rPr>
              <w:t>adjusted income for each assisted family, and where applicable, uses the appropriate utility allowances for the unit leased in determining the gross</w:t>
            </w:r>
            <w:r>
              <w:rPr>
                <w:spacing w:val="-10"/>
                <w:sz w:val="24"/>
              </w:rPr>
              <w:t xml:space="preserve"> </w:t>
            </w:r>
            <w:r>
              <w:rPr>
                <w:sz w:val="24"/>
              </w:rPr>
              <w:t>rent.</w:t>
            </w:r>
          </w:p>
          <w:p w:rsidR="004E13A5" w:rsidRDefault="00681463">
            <w:pPr>
              <w:pStyle w:val="TableParagraph"/>
              <w:numPr>
                <w:ilvl w:val="0"/>
                <w:numId w:val="45"/>
              </w:numPr>
              <w:tabs>
                <w:tab w:val="left" w:pos="464"/>
              </w:tabs>
              <w:ind w:right="1000" w:hanging="360"/>
              <w:rPr>
                <w:sz w:val="24"/>
              </w:rPr>
            </w:pPr>
            <w:r>
              <w:rPr>
                <w:sz w:val="24"/>
              </w:rPr>
              <w:t>Points are based on the percent of files that are calculated and verified</w:t>
            </w:r>
            <w:r>
              <w:rPr>
                <w:spacing w:val="-17"/>
                <w:sz w:val="24"/>
              </w:rPr>
              <w:t xml:space="preserve"> </w:t>
            </w:r>
            <w:r>
              <w:rPr>
                <w:sz w:val="24"/>
              </w:rPr>
              <w:t>correctly, according to the PHA’s quality control</w:t>
            </w:r>
            <w:r>
              <w:rPr>
                <w:spacing w:val="-9"/>
                <w:sz w:val="24"/>
              </w:rPr>
              <w:t xml:space="preserve"> </w:t>
            </w:r>
            <w:r>
              <w:rPr>
                <w:sz w:val="24"/>
              </w:rPr>
              <w:t>sample.</w:t>
            </w:r>
          </w:p>
        </w:tc>
      </w:tr>
      <w:tr w:rsidR="004E13A5">
        <w:trPr>
          <w:trHeight w:hRule="exact" w:val="1822"/>
        </w:trPr>
        <w:tc>
          <w:tcPr>
            <w:tcW w:w="9172" w:type="dxa"/>
          </w:tcPr>
          <w:p w:rsidR="004E13A5" w:rsidRDefault="00681463">
            <w:pPr>
              <w:pStyle w:val="TableParagraph"/>
              <w:spacing w:before="122"/>
              <w:ind w:right="5093"/>
              <w:rPr>
                <w:b/>
                <w:sz w:val="24"/>
              </w:rPr>
            </w:pPr>
            <w:r>
              <w:rPr>
                <w:b/>
                <w:sz w:val="24"/>
              </w:rPr>
              <w:t>Indicator 4: Utility allowance schedule Maximum Score: 5</w:t>
            </w:r>
          </w:p>
          <w:p w:rsidR="004E13A5" w:rsidRDefault="00681463">
            <w:pPr>
              <w:pStyle w:val="TableParagraph"/>
              <w:numPr>
                <w:ilvl w:val="0"/>
                <w:numId w:val="44"/>
              </w:numPr>
              <w:tabs>
                <w:tab w:val="left" w:pos="464"/>
              </w:tabs>
              <w:ind w:right="980" w:hanging="360"/>
              <w:rPr>
                <w:sz w:val="24"/>
              </w:rPr>
            </w:pPr>
            <w:r>
              <w:rPr>
                <w:sz w:val="24"/>
              </w:rPr>
              <w:t>This indicator shows whether the PHA maintains an up-to-date utility</w:t>
            </w:r>
            <w:r>
              <w:rPr>
                <w:spacing w:val="-14"/>
                <w:sz w:val="24"/>
              </w:rPr>
              <w:t xml:space="preserve"> </w:t>
            </w:r>
            <w:r>
              <w:rPr>
                <w:sz w:val="24"/>
              </w:rPr>
              <w:t>allowance schedule.</w:t>
            </w:r>
          </w:p>
          <w:p w:rsidR="004E13A5" w:rsidRDefault="00681463">
            <w:pPr>
              <w:pStyle w:val="TableParagraph"/>
              <w:numPr>
                <w:ilvl w:val="0"/>
                <w:numId w:val="44"/>
              </w:numPr>
              <w:tabs>
                <w:tab w:val="left" w:pos="464"/>
              </w:tabs>
              <w:ind w:right="470" w:hanging="360"/>
              <w:rPr>
                <w:sz w:val="24"/>
              </w:rPr>
            </w:pPr>
            <w:r>
              <w:rPr>
                <w:sz w:val="24"/>
              </w:rPr>
              <w:t>Points are based on whether the PHA has reviewed the utility allowance schedule</w:t>
            </w:r>
            <w:r>
              <w:rPr>
                <w:spacing w:val="-16"/>
                <w:sz w:val="24"/>
              </w:rPr>
              <w:t xml:space="preserve"> </w:t>
            </w:r>
            <w:r>
              <w:rPr>
                <w:sz w:val="24"/>
              </w:rPr>
              <w:t>and adjusted it when required, according to the PHA’s</w:t>
            </w:r>
            <w:r>
              <w:rPr>
                <w:spacing w:val="-9"/>
                <w:sz w:val="24"/>
              </w:rPr>
              <w:t xml:space="preserve"> </w:t>
            </w:r>
            <w:r>
              <w:rPr>
                <w:sz w:val="24"/>
              </w:rPr>
              <w:t>certification.</w:t>
            </w:r>
          </w:p>
        </w:tc>
      </w:tr>
      <w:tr w:rsidR="004E13A5">
        <w:trPr>
          <w:trHeight w:hRule="exact" w:val="2096"/>
        </w:trPr>
        <w:tc>
          <w:tcPr>
            <w:tcW w:w="9172" w:type="dxa"/>
          </w:tcPr>
          <w:p w:rsidR="004E13A5" w:rsidRDefault="00681463">
            <w:pPr>
              <w:pStyle w:val="TableParagraph"/>
              <w:spacing w:before="119"/>
              <w:ind w:right="4486"/>
              <w:rPr>
                <w:b/>
                <w:sz w:val="24"/>
              </w:rPr>
            </w:pPr>
            <w:r>
              <w:rPr>
                <w:b/>
                <w:sz w:val="24"/>
              </w:rPr>
              <w:t xml:space="preserve">Indicator 5: </w:t>
            </w:r>
            <w:r w:rsidR="002C4221">
              <w:rPr>
                <w:b/>
                <w:sz w:val="24"/>
              </w:rPr>
              <w:t>NSPIRE</w:t>
            </w:r>
            <w:r>
              <w:rPr>
                <w:b/>
                <w:sz w:val="24"/>
              </w:rPr>
              <w:t xml:space="preserve"> quality control inspections Maximum Score: 5</w:t>
            </w:r>
          </w:p>
          <w:p w:rsidR="004E13A5" w:rsidRDefault="00681463">
            <w:pPr>
              <w:pStyle w:val="TableParagraph"/>
              <w:numPr>
                <w:ilvl w:val="0"/>
                <w:numId w:val="43"/>
              </w:numPr>
              <w:tabs>
                <w:tab w:val="left" w:pos="464"/>
              </w:tabs>
              <w:ind w:right="697" w:hanging="360"/>
              <w:rPr>
                <w:sz w:val="24"/>
              </w:rPr>
            </w:pPr>
            <w:r>
              <w:rPr>
                <w:sz w:val="24"/>
              </w:rPr>
              <w:t xml:space="preserve">This indicator shows whether a PHA supervisor re-inspects a sample of units under contract during the PHA fiscal year, which meets the minimum sample size requirements for quality control of </w:t>
            </w:r>
            <w:r w:rsidR="002C4221">
              <w:rPr>
                <w:sz w:val="24"/>
              </w:rPr>
              <w:t>NSPIRE</w:t>
            </w:r>
            <w:r>
              <w:rPr>
                <w:spacing w:val="-10"/>
                <w:sz w:val="24"/>
              </w:rPr>
              <w:t xml:space="preserve"> </w:t>
            </w:r>
            <w:r>
              <w:rPr>
                <w:sz w:val="24"/>
              </w:rPr>
              <w:t>inspections.</w:t>
            </w:r>
          </w:p>
          <w:p w:rsidR="004E13A5" w:rsidRDefault="00681463">
            <w:pPr>
              <w:pStyle w:val="TableParagraph"/>
              <w:numPr>
                <w:ilvl w:val="0"/>
                <w:numId w:val="43"/>
              </w:numPr>
              <w:tabs>
                <w:tab w:val="left" w:pos="464"/>
              </w:tabs>
              <w:ind w:right="356" w:hanging="360"/>
              <w:rPr>
                <w:sz w:val="24"/>
              </w:rPr>
            </w:pPr>
            <w:r>
              <w:rPr>
                <w:sz w:val="24"/>
              </w:rPr>
              <w:t>Points are based on whether the required quality control reinspections were</w:t>
            </w:r>
            <w:r>
              <w:rPr>
                <w:spacing w:val="-17"/>
                <w:sz w:val="24"/>
              </w:rPr>
              <w:t xml:space="preserve"> </w:t>
            </w:r>
            <w:r>
              <w:rPr>
                <w:sz w:val="24"/>
              </w:rPr>
              <w:t>completed, according to the PHA’s</w:t>
            </w:r>
            <w:r>
              <w:rPr>
                <w:spacing w:val="-8"/>
                <w:sz w:val="24"/>
              </w:rPr>
              <w:t xml:space="preserve"> </w:t>
            </w:r>
            <w:r>
              <w:rPr>
                <w:sz w:val="24"/>
              </w:rPr>
              <w:t>certification.</w:t>
            </w:r>
          </w:p>
        </w:tc>
      </w:tr>
      <w:tr w:rsidR="004E13A5">
        <w:trPr>
          <w:trHeight w:hRule="exact" w:val="2098"/>
        </w:trPr>
        <w:tc>
          <w:tcPr>
            <w:tcW w:w="9172" w:type="dxa"/>
          </w:tcPr>
          <w:p w:rsidR="004E13A5" w:rsidRDefault="00681463">
            <w:pPr>
              <w:pStyle w:val="TableParagraph"/>
              <w:spacing w:before="121"/>
              <w:ind w:right="5673"/>
              <w:rPr>
                <w:b/>
                <w:sz w:val="24"/>
              </w:rPr>
            </w:pPr>
            <w:r>
              <w:rPr>
                <w:b/>
                <w:sz w:val="24"/>
              </w:rPr>
              <w:t xml:space="preserve">Indicator 6: </w:t>
            </w:r>
            <w:r w:rsidR="002C4221">
              <w:rPr>
                <w:b/>
                <w:sz w:val="24"/>
              </w:rPr>
              <w:t>NSPIRE</w:t>
            </w:r>
            <w:r>
              <w:rPr>
                <w:b/>
                <w:sz w:val="24"/>
              </w:rPr>
              <w:t xml:space="preserve"> enforcement Maximum Score: 10</w:t>
            </w:r>
          </w:p>
          <w:p w:rsidR="004E13A5" w:rsidRDefault="00681463">
            <w:pPr>
              <w:pStyle w:val="TableParagraph"/>
              <w:numPr>
                <w:ilvl w:val="0"/>
                <w:numId w:val="42"/>
              </w:numPr>
              <w:tabs>
                <w:tab w:val="left" w:pos="464"/>
              </w:tabs>
              <w:ind w:right="424" w:hanging="360"/>
              <w:jc w:val="both"/>
              <w:rPr>
                <w:sz w:val="24"/>
              </w:rPr>
            </w:pPr>
            <w:r>
              <w:rPr>
                <w:sz w:val="24"/>
              </w:rPr>
              <w:t xml:space="preserve">This indicator shows whether, following each </w:t>
            </w:r>
            <w:r w:rsidR="002C4221">
              <w:rPr>
                <w:sz w:val="24"/>
              </w:rPr>
              <w:t>NSPIRE</w:t>
            </w:r>
            <w:r>
              <w:rPr>
                <w:sz w:val="24"/>
              </w:rPr>
              <w:t xml:space="preserve"> inspection of a unit under contract where the unit fails to meet </w:t>
            </w:r>
            <w:r w:rsidR="002C4221">
              <w:rPr>
                <w:sz w:val="24"/>
              </w:rPr>
              <w:t>NSPIRE</w:t>
            </w:r>
            <w:r>
              <w:rPr>
                <w:sz w:val="24"/>
              </w:rPr>
              <w:t>, any cited life-threatening deficiencies are</w:t>
            </w:r>
            <w:r>
              <w:rPr>
                <w:spacing w:val="-16"/>
                <w:sz w:val="24"/>
              </w:rPr>
              <w:t xml:space="preserve"> </w:t>
            </w:r>
            <w:r>
              <w:rPr>
                <w:sz w:val="24"/>
              </w:rPr>
              <w:t>corrected within 24 hours from the inspection and all other deficiencies are corrected within no more than 30 calendar days from the inspection or any PHA-approved</w:t>
            </w:r>
            <w:r>
              <w:rPr>
                <w:spacing w:val="-9"/>
                <w:sz w:val="24"/>
              </w:rPr>
              <w:t xml:space="preserve"> </w:t>
            </w:r>
            <w:r>
              <w:rPr>
                <w:sz w:val="24"/>
              </w:rPr>
              <w:t>extension.</w:t>
            </w:r>
          </w:p>
          <w:p w:rsidR="004E13A5" w:rsidRDefault="00681463">
            <w:pPr>
              <w:pStyle w:val="TableParagraph"/>
              <w:numPr>
                <w:ilvl w:val="0"/>
                <w:numId w:val="42"/>
              </w:numPr>
              <w:tabs>
                <w:tab w:val="left" w:pos="464"/>
              </w:tabs>
              <w:spacing w:before="1" w:line="294" w:lineRule="exact"/>
              <w:ind w:left="463"/>
              <w:rPr>
                <w:sz w:val="24"/>
              </w:rPr>
            </w:pPr>
            <w:r>
              <w:rPr>
                <w:sz w:val="24"/>
              </w:rPr>
              <w:t xml:space="preserve">Points are based on whether the PHA corrects all </w:t>
            </w:r>
            <w:r w:rsidR="002C4221">
              <w:rPr>
                <w:sz w:val="24"/>
              </w:rPr>
              <w:t>NSPIRE</w:t>
            </w:r>
            <w:r>
              <w:rPr>
                <w:sz w:val="24"/>
              </w:rPr>
              <w:t xml:space="preserve"> deficiencies in accordance</w:t>
            </w:r>
            <w:r>
              <w:rPr>
                <w:spacing w:val="-14"/>
                <w:sz w:val="24"/>
              </w:rPr>
              <w:t xml:space="preserve"> </w:t>
            </w:r>
            <w:r>
              <w:rPr>
                <w:sz w:val="24"/>
              </w:rPr>
              <w:t>with</w:t>
            </w:r>
          </w:p>
        </w:tc>
      </w:tr>
    </w:tbl>
    <w:p w:rsidR="004E13A5" w:rsidRDefault="004E13A5">
      <w:pPr>
        <w:spacing w:line="294" w:lineRule="exact"/>
        <w:rPr>
          <w:sz w:val="24"/>
        </w:rPr>
        <w:sectPr w:rsidR="004E13A5">
          <w:pgSz w:w="12240" w:h="15840"/>
          <w:pgMar w:top="1080" w:right="1720" w:bottom="1180" w:left="1100" w:header="0" w:footer="998"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2"/>
      </w:tblGrid>
      <w:tr w:rsidR="004E13A5">
        <w:trPr>
          <w:trHeight w:hRule="exact" w:val="286"/>
        </w:trPr>
        <w:tc>
          <w:tcPr>
            <w:tcW w:w="9172" w:type="dxa"/>
          </w:tcPr>
          <w:p w:rsidR="004E13A5" w:rsidRDefault="00681463">
            <w:pPr>
              <w:pStyle w:val="TableParagraph"/>
              <w:spacing w:line="275" w:lineRule="exact"/>
              <w:ind w:left="535"/>
              <w:rPr>
                <w:sz w:val="24"/>
              </w:rPr>
            </w:pPr>
            <w:r>
              <w:rPr>
                <w:sz w:val="24"/>
              </w:rPr>
              <w:lastRenderedPageBreak/>
              <w:t>required time frames, according to the PHA’s certification.</w:t>
            </w:r>
          </w:p>
        </w:tc>
      </w:tr>
      <w:tr w:rsidR="004E13A5">
        <w:trPr>
          <w:trHeight w:hRule="exact" w:val="3219"/>
        </w:trPr>
        <w:tc>
          <w:tcPr>
            <w:tcW w:w="9172" w:type="dxa"/>
          </w:tcPr>
          <w:p w:rsidR="004E13A5" w:rsidRDefault="00681463">
            <w:pPr>
              <w:pStyle w:val="TableParagraph"/>
              <w:spacing w:before="119"/>
              <w:ind w:right="4345"/>
              <w:rPr>
                <w:b/>
                <w:sz w:val="24"/>
              </w:rPr>
            </w:pPr>
            <w:r>
              <w:rPr>
                <w:b/>
                <w:sz w:val="24"/>
              </w:rPr>
              <w:t>Indicator 7: Expanding housing opportunities Maximum Points: 5</w:t>
            </w:r>
          </w:p>
          <w:p w:rsidR="004E13A5" w:rsidRDefault="00681463">
            <w:pPr>
              <w:pStyle w:val="TableParagraph"/>
              <w:numPr>
                <w:ilvl w:val="0"/>
                <w:numId w:val="41"/>
              </w:numPr>
              <w:tabs>
                <w:tab w:val="left" w:pos="536"/>
              </w:tabs>
              <w:spacing w:line="293" w:lineRule="exact"/>
              <w:ind w:hanging="360"/>
              <w:rPr>
                <w:sz w:val="24"/>
              </w:rPr>
            </w:pPr>
            <w:r>
              <w:rPr>
                <w:sz w:val="24"/>
              </w:rPr>
              <w:t>Only applies to PHAs with jurisdiction in metropolitan FMR</w:t>
            </w:r>
            <w:r>
              <w:rPr>
                <w:spacing w:val="-14"/>
                <w:sz w:val="24"/>
              </w:rPr>
              <w:t xml:space="preserve"> </w:t>
            </w:r>
            <w:r>
              <w:rPr>
                <w:sz w:val="24"/>
              </w:rPr>
              <w:t>areas.</w:t>
            </w:r>
          </w:p>
          <w:p w:rsidR="004E13A5" w:rsidRDefault="00681463">
            <w:pPr>
              <w:pStyle w:val="TableParagraph"/>
              <w:numPr>
                <w:ilvl w:val="0"/>
                <w:numId w:val="41"/>
              </w:numPr>
              <w:tabs>
                <w:tab w:val="left" w:pos="536"/>
              </w:tabs>
              <w:ind w:right="169" w:hanging="360"/>
              <w:rPr>
                <w:sz w:val="24"/>
              </w:rPr>
            </w:pPr>
            <w:r>
              <w:rPr>
                <w:sz w:val="24"/>
              </w:rPr>
              <w:t>This indicator shows whether the PHA has adopted and implemented a written policy</w:t>
            </w:r>
            <w:r>
              <w:rPr>
                <w:spacing w:val="-14"/>
                <w:sz w:val="24"/>
              </w:rPr>
              <w:t xml:space="preserve"> </w:t>
            </w:r>
            <w:r>
              <w:rPr>
                <w:sz w:val="24"/>
              </w:rPr>
              <w:t>to encourage participation by owners of units located outside areas of poverty or minority concentration; informs voucher holders of the full range of areas where they may lease units both inside and outside the PHA’s jurisdiction; and supplies a list of landlords or other parties who are willing to lease units or help families find units, including units outside areas of poverty or minority</w:t>
            </w:r>
            <w:r>
              <w:rPr>
                <w:spacing w:val="-8"/>
                <w:sz w:val="24"/>
              </w:rPr>
              <w:t xml:space="preserve"> </w:t>
            </w:r>
            <w:r>
              <w:rPr>
                <w:sz w:val="24"/>
              </w:rPr>
              <w:t>concentration.</w:t>
            </w:r>
          </w:p>
          <w:p w:rsidR="004E13A5" w:rsidRDefault="00681463">
            <w:pPr>
              <w:pStyle w:val="TableParagraph"/>
              <w:numPr>
                <w:ilvl w:val="0"/>
                <w:numId w:val="41"/>
              </w:numPr>
              <w:tabs>
                <w:tab w:val="left" w:pos="536"/>
              </w:tabs>
              <w:ind w:right="328" w:hanging="360"/>
              <w:rPr>
                <w:sz w:val="24"/>
              </w:rPr>
            </w:pPr>
            <w:r>
              <w:rPr>
                <w:sz w:val="24"/>
              </w:rPr>
              <w:t>Points are based on whether the PHA has adopted and implemented written policies</w:t>
            </w:r>
            <w:r>
              <w:rPr>
                <w:spacing w:val="-10"/>
                <w:sz w:val="24"/>
              </w:rPr>
              <w:t xml:space="preserve"> </w:t>
            </w:r>
            <w:r>
              <w:rPr>
                <w:sz w:val="24"/>
              </w:rPr>
              <w:t>in accordance with SEMAP requirements, according to the PHA’s</w:t>
            </w:r>
            <w:r>
              <w:rPr>
                <w:spacing w:val="-11"/>
                <w:sz w:val="24"/>
              </w:rPr>
              <w:t xml:space="preserve"> </w:t>
            </w:r>
            <w:r>
              <w:rPr>
                <w:sz w:val="24"/>
              </w:rPr>
              <w:t>certification.</w:t>
            </w:r>
          </w:p>
        </w:tc>
      </w:tr>
      <w:tr w:rsidR="004E13A5">
        <w:trPr>
          <w:trHeight w:hRule="exact" w:val="2096"/>
        </w:trPr>
        <w:tc>
          <w:tcPr>
            <w:tcW w:w="9172" w:type="dxa"/>
          </w:tcPr>
          <w:p w:rsidR="004E13A5" w:rsidRDefault="00681463">
            <w:pPr>
              <w:pStyle w:val="TableParagraph"/>
              <w:spacing w:before="119"/>
              <w:ind w:right="4199"/>
              <w:rPr>
                <w:b/>
                <w:sz w:val="24"/>
              </w:rPr>
            </w:pPr>
            <w:r>
              <w:rPr>
                <w:b/>
                <w:sz w:val="24"/>
              </w:rPr>
              <w:t>Indicator 8: FMR limit and payment standards Maximum Points: 5 points</w:t>
            </w:r>
          </w:p>
          <w:p w:rsidR="004E13A5" w:rsidRDefault="00681463">
            <w:pPr>
              <w:pStyle w:val="TableParagraph"/>
              <w:numPr>
                <w:ilvl w:val="0"/>
                <w:numId w:val="40"/>
              </w:numPr>
              <w:tabs>
                <w:tab w:val="left" w:pos="464"/>
              </w:tabs>
              <w:ind w:right="299" w:hanging="360"/>
              <w:rPr>
                <w:sz w:val="24"/>
              </w:rPr>
            </w:pPr>
            <w:r>
              <w:rPr>
                <w:sz w:val="24"/>
              </w:rPr>
              <w:t>This indicator shows whether the PHA has adopted a payment standard schedule that establishes payment standard amounts by unit size for each FMR area in the PHA’s jurisdiction, that are within the basic range of 90 to 110 percent of the published</w:t>
            </w:r>
            <w:r>
              <w:rPr>
                <w:spacing w:val="-10"/>
                <w:sz w:val="24"/>
              </w:rPr>
              <w:t xml:space="preserve"> </w:t>
            </w:r>
            <w:r>
              <w:rPr>
                <w:sz w:val="24"/>
              </w:rPr>
              <w:t>FMR.</w:t>
            </w:r>
          </w:p>
          <w:p w:rsidR="004E13A5" w:rsidRDefault="00681463">
            <w:pPr>
              <w:pStyle w:val="TableParagraph"/>
              <w:numPr>
                <w:ilvl w:val="0"/>
                <w:numId w:val="40"/>
              </w:numPr>
              <w:tabs>
                <w:tab w:val="left" w:pos="464"/>
              </w:tabs>
              <w:ind w:right="649" w:hanging="360"/>
              <w:rPr>
                <w:sz w:val="24"/>
              </w:rPr>
            </w:pPr>
            <w:r>
              <w:rPr>
                <w:sz w:val="24"/>
              </w:rPr>
              <w:t>Points are based on whether the PHA has appropriately adopted a payment</w:t>
            </w:r>
            <w:r>
              <w:rPr>
                <w:spacing w:val="-14"/>
                <w:sz w:val="24"/>
              </w:rPr>
              <w:t xml:space="preserve"> </w:t>
            </w:r>
            <w:r>
              <w:rPr>
                <w:sz w:val="24"/>
              </w:rPr>
              <w:t>standard schedule(s), according to the PHA’s</w:t>
            </w:r>
            <w:r>
              <w:rPr>
                <w:spacing w:val="-11"/>
                <w:sz w:val="24"/>
              </w:rPr>
              <w:t xml:space="preserve"> </w:t>
            </w:r>
            <w:r>
              <w:rPr>
                <w:sz w:val="24"/>
              </w:rPr>
              <w:t>certification.</w:t>
            </w:r>
          </w:p>
        </w:tc>
      </w:tr>
      <w:tr w:rsidR="004E13A5">
        <w:trPr>
          <w:trHeight w:hRule="exact" w:val="1822"/>
        </w:trPr>
        <w:tc>
          <w:tcPr>
            <w:tcW w:w="9172" w:type="dxa"/>
          </w:tcPr>
          <w:p w:rsidR="004E13A5" w:rsidRDefault="00681463">
            <w:pPr>
              <w:pStyle w:val="TableParagraph"/>
              <w:spacing w:before="119"/>
              <w:ind w:right="4647"/>
              <w:rPr>
                <w:b/>
                <w:sz w:val="24"/>
              </w:rPr>
            </w:pPr>
            <w:r>
              <w:rPr>
                <w:b/>
                <w:sz w:val="24"/>
              </w:rPr>
              <w:t>Indicator 9: Annual reexaminations Maximum Points: 10</w:t>
            </w:r>
          </w:p>
          <w:p w:rsidR="004E13A5" w:rsidRDefault="00681463">
            <w:pPr>
              <w:pStyle w:val="TableParagraph"/>
              <w:numPr>
                <w:ilvl w:val="0"/>
                <w:numId w:val="39"/>
              </w:numPr>
              <w:tabs>
                <w:tab w:val="left" w:pos="464"/>
              </w:tabs>
              <w:ind w:right="226" w:hanging="360"/>
              <w:rPr>
                <w:sz w:val="24"/>
              </w:rPr>
            </w:pPr>
            <w:r>
              <w:rPr>
                <w:sz w:val="24"/>
              </w:rPr>
              <w:t>This indicator shows whether the PHA completes a reexamination for each participating family at least every 12</w:t>
            </w:r>
            <w:r>
              <w:rPr>
                <w:spacing w:val="-6"/>
                <w:sz w:val="24"/>
              </w:rPr>
              <w:t xml:space="preserve"> </w:t>
            </w:r>
            <w:r>
              <w:rPr>
                <w:sz w:val="24"/>
              </w:rPr>
              <w:t>months.</w:t>
            </w:r>
          </w:p>
          <w:p w:rsidR="004E13A5" w:rsidRDefault="00681463">
            <w:pPr>
              <w:pStyle w:val="TableParagraph"/>
              <w:numPr>
                <w:ilvl w:val="0"/>
                <w:numId w:val="39"/>
              </w:numPr>
              <w:tabs>
                <w:tab w:val="left" w:pos="464"/>
              </w:tabs>
              <w:ind w:right="126" w:hanging="360"/>
              <w:rPr>
                <w:sz w:val="24"/>
              </w:rPr>
            </w:pPr>
            <w:r>
              <w:rPr>
                <w:sz w:val="24"/>
              </w:rPr>
              <w:t>Points are based on the percent of reexaminations that are less than two months overdue, according to data from</w:t>
            </w:r>
            <w:r>
              <w:rPr>
                <w:spacing w:val="-4"/>
                <w:sz w:val="24"/>
              </w:rPr>
              <w:t xml:space="preserve"> </w:t>
            </w:r>
            <w:r>
              <w:rPr>
                <w:sz w:val="24"/>
              </w:rPr>
              <w:t>PIC.</w:t>
            </w:r>
          </w:p>
        </w:tc>
      </w:tr>
      <w:tr w:rsidR="004E13A5">
        <w:trPr>
          <w:trHeight w:hRule="exact" w:val="1820"/>
        </w:trPr>
        <w:tc>
          <w:tcPr>
            <w:tcW w:w="9172" w:type="dxa"/>
          </w:tcPr>
          <w:p w:rsidR="004E13A5" w:rsidRDefault="00681463">
            <w:pPr>
              <w:pStyle w:val="TableParagraph"/>
              <w:spacing w:before="119"/>
              <w:ind w:right="4367"/>
              <w:rPr>
                <w:b/>
                <w:sz w:val="24"/>
              </w:rPr>
            </w:pPr>
            <w:r>
              <w:rPr>
                <w:b/>
                <w:sz w:val="24"/>
              </w:rPr>
              <w:t>Indicator 10: Correct tenant rent calculations Maximum Points: 5</w:t>
            </w:r>
          </w:p>
          <w:p w:rsidR="004E13A5" w:rsidRDefault="00681463">
            <w:pPr>
              <w:pStyle w:val="TableParagraph"/>
              <w:numPr>
                <w:ilvl w:val="0"/>
                <w:numId w:val="38"/>
              </w:numPr>
              <w:tabs>
                <w:tab w:val="left" w:pos="464"/>
              </w:tabs>
              <w:ind w:right="228" w:hanging="360"/>
              <w:rPr>
                <w:sz w:val="24"/>
              </w:rPr>
            </w:pPr>
            <w:r>
              <w:rPr>
                <w:sz w:val="24"/>
              </w:rPr>
              <w:t>This indicator shows whether the PHA correctly calculates the family’s share of the</w:t>
            </w:r>
            <w:r>
              <w:rPr>
                <w:spacing w:val="-12"/>
                <w:sz w:val="24"/>
              </w:rPr>
              <w:t xml:space="preserve"> </w:t>
            </w:r>
            <w:r>
              <w:rPr>
                <w:sz w:val="24"/>
              </w:rPr>
              <w:t>rent to</w:t>
            </w:r>
            <w:r>
              <w:rPr>
                <w:spacing w:val="-1"/>
                <w:sz w:val="24"/>
              </w:rPr>
              <w:t xml:space="preserve"> </w:t>
            </w:r>
            <w:r>
              <w:rPr>
                <w:sz w:val="24"/>
              </w:rPr>
              <w:t>owner.</w:t>
            </w:r>
          </w:p>
          <w:p w:rsidR="004E13A5" w:rsidRDefault="00681463">
            <w:pPr>
              <w:pStyle w:val="TableParagraph"/>
              <w:numPr>
                <w:ilvl w:val="0"/>
                <w:numId w:val="38"/>
              </w:numPr>
              <w:tabs>
                <w:tab w:val="left" w:pos="464"/>
              </w:tabs>
              <w:ind w:right="912" w:hanging="360"/>
              <w:rPr>
                <w:sz w:val="24"/>
              </w:rPr>
            </w:pPr>
            <w:r>
              <w:rPr>
                <w:sz w:val="24"/>
              </w:rPr>
              <w:t>Points are based on the percent of correct calculations of family share of the</w:t>
            </w:r>
            <w:r>
              <w:rPr>
                <w:spacing w:val="-17"/>
                <w:sz w:val="24"/>
              </w:rPr>
              <w:t xml:space="preserve"> </w:t>
            </w:r>
            <w:r>
              <w:rPr>
                <w:sz w:val="24"/>
              </w:rPr>
              <w:t>rent, according to data from</w:t>
            </w:r>
            <w:r>
              <w:rPr>
                <w:spacing w:val="-4"/>
                <w:sz w:val="24"/>
              </w:rPr>
              <w:t xml:space="preserve"> </w:t>
            </w:r>
            <w:r>
              <w:rPr>
                <w:sz w:val="24"/>
              </w:rPr>
              <w:t>PIC.</w:t>
            </w:r>
          </w:p>
        </w:tc>
      </w:tr>
      <w:tr w:rsidR="004E13A5">
        <w:trPr>
          <w:trHeight w:hRule="exact" w:val="1822"/>
        </w:trPr>
        <w:tc>
          <w:tcPr>
            <w:tcW w:w="9172" w:type="dxa"/>
          </w:tcPr>
          <w:p w:rsidR="004E13A5" w:rsidRDefault="00681463">
            <w:pPr>
              <w:pStyle w:val="TableParagraph"/>
              <w:spacing w:before="119"/>
              <w:ind w:right="4587"/>
              <w:rPr>
                <w:b/>
                <w:sz w:val="24"/>
              </w:rPr>
            </w:pPr>
            <w:r>
              <w:rPr>
                <w:b/>
                <w:sz w:val="24"/>
              </w:rPr>
              <w:t xml:space="preserve">Indicator 11: Pre-contract </w:t>
            </w:r>
            <w:r w:rsidR="002C4221">
              <w:rPr>
                <w:b/>
                <w:sz w:val="24"/>
              </w:rPr>
              <w:t>NSPIRE</w:t>
            </w:r>
            <w:r>
              <w:rPr>
                <w:b/>
                <w:sz w:val="24"/>
              </w:rPr>
              <w:t xml:space="preserve"> inspections Maximum Points: 5</w:t>
            </w:r>
          </w:p>
          <w:p w:rsidR="004E13A5" w:rsidRDefault="00681463">
            <w:pPr>
              <w:pStyle w:val="TableParagraph"/>
              <w:numPr>
                <w:ilvl w:val="0"/>
                <w:numId w:val="37"/>
              </w:numPr>
              <w:tabs>
                <w:tab w:val="left" w:pos="464"/>
              </w:tabs>
              <w:ind w:right="387" w:hanging="360"/>
              <w:rPr>
                <w:sz w:val="24"/>
              </w:rPr>
            </w:pPr>
            <w:r>
              <w:rPr>
                <w:sz w:val="24"/>
              </w:rPr>
              <w:t xml:space="preserve">This indicator shows whether newly leased units pass </w:t>
            </w:r>
            <w:r w:rsidR="002C4221">
              <w:rPr>
                <w:sz w:val="24"/>
              </w:rPr>
              <w:t>NSPIRE</w:t>
            </w:r>
            <w:r>
              <w:rPr>
                <w:sz w:val="24"/>
              </w:rPr>
              <w:t xml:space="preserve"> inspection on or before</w:t>
            </w:r>
            <w:r>
              <w:rPr>
                <w:spacing w:val="-14"/>
                <w:sz w:val="24"/>
              </w:rPr>
              <w:t xml:space="preserve"> </w:t>
            </w:r>
            <w:r>
              <w:rPr>
                <w:sz w:val="24"/>
              </w:rPr>
              <w:t>the effective date of the assisted lease and HAP</w:t>
            </w:r>
            <w:r>
              <w:rPr>
                <w:spacing w:val="-10"/>
                <w:sz w:val="24"/>
              </w:rPr>
              <w:t xml:space="preserve"> </w:t>
            </w:r>
            <w:r>
              <w:rPr>
                <w:sz w:val="24"/>
              </w:rPr>
              <w:t>contract.</w:t>
            </w:r>
          </w:p>
          <w:p w:rsidR="004E13A5" w:rsidRDefault="00681463">
            <w:pPr>
              <w:pStyle w:val="TableParagraph"/>
              <w:numPr>
                <w:ilvl w:val="0"/>
                <w:numId w:val="37"/>
              </w:numPr>
              <w:tabs>
                <w:tab w:val="left" w:pos="464"/>
              </w:tabs>
              <w:spacing w:line="242" w:lineRule="auto"/>
              <w:ind w:right="357" w:hanging="360"/>
              <w:rPr>
                <w:sz w:val="24"/>
              </w:rPr>
            </w:pPr>
            <w:r>
              <w:rPr>
                <w:sz w:val="24"/>
              </w:rPr>
              <w:t xml:space="preserve">Points are based on the percent of newly leased units that passed </w:t>
            </w:r>
            <w:r w:rsidR="002C4221">
              <w:rPr>
                <w:sz w:val="24"/>
              </w:rPr>
              <w:t>NSPIRE</w:t>
            </w:r>
            <w:r>
              <w:rPr>
                <w:sz w:val="24"/>
              </w:rPr>
              <w:t xml:space="preserve"> inspection on or before the effective date of the lease and HAP contract, according to data from</w:t>
            </w:r>
            <w:r>
              <w:rPr>
                <w:spacing w:val="-18"/>
                <w:sz w:val="24"/>
              </w:rPr>
              <w:t xml:space="preserve"> </w:t>
            </w:r>
            <w:r>
              <w:rPr>
                <w:sz w:val="24"/>
              </w:rPr>
              <w:t>PIC.</w:t>
            </w:r>
          </w:p>
        </w:tc>
      </w:tr>
      <w:tr w:rsidR="004E13A5">
        <w:trPr>
          <w:trHeight w:hRule="exact" w:val="1819"/>
        </w:trPr>
        <w:tc>
          <w:tcPr>
            <w:tcW w:w="9172" w:type="dxa"/>
          </w:tcPr>
          <w:p w:rsidR="004E13A5" w:rsidRDefault="00681463">
            <w:pPr>
              <w:pStyle w:val="TableParagraph"/>
              <w:spacing w:before="119"/>
              <w:ind w:right="5119"/>
              <w:rPr>
                <w:b/>
                <w:sz w:val="24"/>
              </w:rPr>
            </w:pPr>
            <w:r>
              <w:rPr>
                <w:b/>
                <w:sz w:val="24"/>
              </w:rPr>
              <w:t xml:space="preserve">Indicator 12: Annual </w:t>
            </w:r>
            <w:r w:rsidR="002C4221">
              <w:rPr>
                <w:b/>
                <w:sz w:val="24"/>
              </w:rPr>
              <w:t>NSPIRE</w:t>
            </w:r>
            <w:r>
              <w:rPr>
                <w:b/>
                <w:sz w:val="24"/>
              </w:rPr>
              <w:t xml:space="preserve"> inspections Maximum Points: 10</w:t>
            </w:r>
          </w:p>
          <w:p w:rsidR="004E13A5" w:rsidRDefault="00681463">
            <w:pPr>
              <w:pStyle w:val="TableParagraph"/>
              <w:numPr>
                <w:ilvl w:val="0"/>
                <w:numId w:val="36"/>
              </w:numPr>
              <w:tabs>
                <w:tab w:val="left" w:pos="464"/>
              </w:tabs>
              <w:ind w:right="1034" w:hanging="360"/>
              <w:rPr>
                <w:sz w:val="24"/>
              </w:rPr>
            </w:pPr>
            <w:r>
              <w:rPr>
                <w:sz w:val="24"/>
              </w:rPr>
              <w:t>This indicator shows whether the PHA inspects each unit under contract at</w:t>
            </w:r>
            <w:r>
              <w:rPr>
                <w:spacing w:val="-13"/>
                <w:sz w:val="24"/>
              </w:rPr>
              <w:t xml:space="preserve"> </w:t>
            </w:r>
            <w:r>
              <w:rPr>
                <w:sz w:val="24"/>
              </w:rPr>
              <w:t>least annually.</w:t>
            </w:r>
          </w:p>
          <w:p w:rsidR="004E13A5" w:rsidRDefault="00681463">
            <w:pPr>
              <w:pStyle w:val="TableParagraph"/>
              <w:numPr>
                <w:ilvl w:val="0"/>
                <w:numId w:val="36"/>
              </w:numPr>
              <w:tabs>
                <w:tab w:val="left" w:pos="464"/>
              </w:tabs>
              <w:ind w:right="435" w:hanging="360"/>
              <w:rPr>
                <w:sz w:val="24"/>
              </w:rPr>
            </w:pPr>
            <w:r>
              <w:rPr>
                <w:sz w:val="24"/>
              </w:rPr>
              <w:t xml:space="preserve">Points are based on the percent of annual </w:t>
            </w:r>
            <w:r w:rsidR="002C4221">
              <w:rPr>
                <w:sz w:val="24"/>
              </w:rPr>
              <w:t>NSPIRE</w:t>
            </w:r>
            <w:r>
              <w:rPr>
                <w:sz w:val="24"/>
              </w:rPr>
              <w:t xml:space="preserve"> inspections of units under contract</w:t>
            </w:r>
            <w:r>
              <w:rPr>
                <w:spacing w:val="-13"/>
                <w:sz w:val="24"/>
              </w:rPr>
              <w:t xml:space="preserve"> </w:t>
            </w:r>
            <w:r>
              <w:rPr>
                <w:sz w:val="24"/>
              </w:rPr>
              <w:t>that are more than 2 months overdue, according to data from</w:t>
            </w:r>
            <w:r>
              <w:rPr>
                <w:spacing w:val="-12"/>
                <w:sz w:val="24"/>
              </w:rPr>
              <w:t xml:space="preserve"> </w:t>
            </w:r>
            <w:r>
              <w:rPr>
                <w:sz w:val="24"/>
              </w:rPr>
              <w:t>PIC.</w:t>
            </w:r>
          </w:p>
        </w:tc>
      </w:tr>
      <w:tr w:rsidR="004E13A5">
        <w:trPr>
          <w:trHeight w:hRule="exact" w:val="406"/>
        </w:trPr>
        <w:tc>
          <w:tcPr>
            <w:tcW w:w="9172" w:type="dxa"/>
          </w:tcPr>
          <w:p w:rsidR="004E13A5" w:rsidRDefault="00681463">
            <w:pPr>
              <w:pStyle w:val="TableParagraph"/>
              <w:spacing w:before="119"/>
              <w:rPr>
                <w:b/>
                <w:sz w:val="24"/>
              </w:rPr>
            </w:pPr>
            <w:r>
              <w:rPr>
                <w:b/>
                <w:sz w:val="24"/>
              </w:rPr>
              <w:t>Indicator 13: Lease-up</w:t>
            </w:r>
          </w:p>
        </w:tc>
      </w:tr>
    </w:tbl>
    <w:p w:rsidR="004E13A5" w:rsidRDefault="004E13A5">
      <w:pPr>
        <w:rPr>
          <w:sz w:val="24"/>
        </w:rPr>
        <w:sectPr w:rsidR="004E13A5">
          <w:pgSz w:w="12240" w:h="15840"/>
          <w:pgMar w:top="1080" w:right="1720" w:bottom="1180" w:left="1100" w:header="0" w:footer="998"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2"/>
      </w:tblGrid>
      <w:tr w:rsidR="004E13A5">
        <w:trPr>
          <w:trHeight w:hRule="exact" w:val="2252"/>
        </w:trPr>
        <w:tc>
          <w:tcPr>
            <w:tcW w:w="9172" w:type="dxa"/>
          </w:tcPr>
          <w:p w:rsidR="004E13A5" w:rsidRDefault="00681463">
            <w:pPr>
              <w:pStyle w:val="TableParagraph"/>
              <w:spacing w:line="275" w:lineRule="exact"/>
              <w:rPr>
                <w:b/>
                <w:sz w:val="24"/>
              </w:rPr>
            </w:pPr>
            <w:r>
              <w:rPr>
                <w:b/>
                <w:sz w:val="24"/>
              </w:rPr>
              <w:lastRenderedPageBreak/>
              <w:t>Maximum Points: 20 points</w:t>
            </w:r>
          </w:p>
          <w:p w:rsidR="004E13A5" w:rsidRDefault="00681463">
            <w:pPr>
              <w:pStyle w:val="TableParagraph"/>
              <w:numPr>
                <w:ilvl w:val="0"/>
                <w:numId w:val="35"/>
              </w:numPr>
              <w:tabs>
                <w:tab w:val="left" w:pos="464"/>
              </w:tabs>
              <w:ind w:right="113" w:hanging="360"/>
              <w:jc w:val="both"/>
              <w:rPr>
                <w:sz w:val="24"/>
              </w:rPr>
            </w:pPr>
            <w:r>
              <w:rPr>
                <w:sz w:val="24"/>
              </w:rPr>
              <w:t>This indicator shows whether the PHA enters HAP contracts for at least 98 percent of the number of the PHA’s baseline voucher units in the ACC for the calendar year ending on or before the PHA’s fiscal year, or whether the PHA has expended at least 98 percent of its allocated budget authority for the same calendar year. The PHA can receive 15 points if 95 to 97 percent of vouchers are leased or budget authority is</w:t>
            </w:r>
            <w:r>
              <w:rPr>
                <w:spacing w:val="-9"/>
                <w:sz w:val="24"/>
              </w:rPr>
              <w:t xml:space="preserve"> </w:t>
            </w:r>
            <w:r>
              <w:rPr>
                <w:sz w:val="24"/>
              </w:rPr>
              <w:t>utilized.</w:t>
            </w:r>
          </w:p>
          <w:p w:rsidR="004E13A5" w:rsidRDefault="00681463">
            <w:pPr>
              <w:pStyle w:val="TableParagraph"/>
              <w:numPr>
                <w:ilvl w:val="0"/>
                <w:numId w:val="35"/>
              </w:numPr>
              <w:tabs>
                <w:tab w:val="left" w:pos="464"/>
              </w:tabs>
              <w:ind w:right="582" w:hanging="360"/>
              <w:rPr>
                <w:sz w:val="24"/>
              </w:rPr>
            </w:pPr>
            <w:r>
              <w:rPr>
                <w:sz w:val="24"/>
              </w:rPr>
              <w:t>Points are based on utilization of vouchers and HAP expenditures as reported in the voucher management system (VMS) for the most recently completed calendar</w:t>
            </w:r>
            <w:r>
              <w:rPr>
                <w:spacing w:val="-13"/>
                <w:sz w:val="24"/>
              </w:rPr>
              <w:t xml:space="preserve"> </w:t>
            </w:r>
            <w:r>
              <w:rPr>
                <w:sz w:val="24"/>
              </w:rPr>
              <w:t>year.</w:t>
            </w:r>
          </w:p>
        </w:tc>
      </w:tr>
      <w:tr w:rsidR="004E13A5">
        <w:trPr>
          <w:trHeight w:hRule="exact" w:val="2391"/>
        </w:trPr>
        <w:tc>
          <w:tcPr>
            <w:tcW w:w="9172" w:type="dxa"/>
          </w:tcPr>
          <w:p w:rsidR="004E13A5" w:rsidRDefault="00681463">
            <w:pPr>
              <w:pStyle w:val="TableParagraph"/>
              <w:spacing w:before="121"/>
              <w:ind w:right="514"/>
              <w:rPr>
                <w:b/>
                <w:sz w:val="24"/>
              </w:rPr>
            </w:pPr>
            <w:r>
              <w:rPr>
                <w:b/>
                <w:sz w:val="24"/>
              </w:rPr>
              <w:t>Indicator 14: Family self-sufficiency (FSS) enrollment and escrow account balances Maximum Points: 10</w:t>
            </w:r>
          </w:p>
          <w:p w:rsidR="004E13A5" w:rsidRDefault="00681463">
            <w:pPr>
              <w:pStyle w:val="TableParagraph"/>
              <w:numPr>
                <w:ilvl w:val="0"/>
                <w:numId w:val="34"/>
              </w:numPr>
              <w:tabs>
                <w:tab w:val="left" w:pos="464"/>
              </w:tabs>
              <w:spacing w:line="293" w:lineRule="exact"/>
              <w:ind w:hanging="360"/>
              <w:rPr>
                <w:sz w:val="24"/>
              </w:rPr>
            </w:pPr>
            <w:r>
              <w:rPr>
                <w:sz w:val="24"/>
              </w:rPr>
              <w:t>Only applies to PHAs with mandatory FSS</w:t>
            </w:r>
            <w:r>
              <w:rPr>
                <w:spacing w:val="-12"/>
                <w:sz w:val="24"/>
              </w:rPr>
              <w:t xml:space="preserve"> </w:t>
            </w:r>
            <w:r>
              <w:rPr>
                <w:sz w:val="24"/>
              </w:rPr>
              <w:t>programs.</w:t>
            </w:r>
          </w:p>
          <w:p w:rsidR="004E13A5" w:rsidRDefault="00681463">
            <w:pPr>
              <w:pStyle w:val="TableParagraph"/>
              <w:numPr>
                <w:ilvl w:val="0"/>
                <w:numId w:val="34"/>
              </w:numPr>
              <w:tabs>
                <w:tab w:val="left" w:pos="464"/>
              </w:tabs>
              <w:ind w:right="125" w:hanging="360"/>
              <w:rPr>
                <w:sz w:val="24"/>
              </w:rPr>
            </w:pPr>
            <w:r>
              <w:rPr>
                <w:sz w:val="24"/>
              </w:rPr>
              <w:t>This indicator shows whether the PHA has enrolled families in the FSS program as required, and measures the percent of current FSS participants that have had increases</w:t>
            </w:r>
            <w:r>
              <w:rPr>
                <w:spacing w:val="-16"/>
                <w:sz w:val="24"/>
              </w:rPr>
              <w:t xml:space="preserve"> </w:t>
            </w:r>
            <w:r>
              <w:rPr>
                <w:sz w:val="24"/>
              </w:rPr>
              <w:t>in earned income which resulted in escrow account</w:t>
            </w:r>
            <w:r>
              <w:rPr>
                <w:spacing w:val="-12"/>
                <w:sz w:val="24"/>
              </w:rPr>
              <w:t xml:space="preserve"> </w:t>
            </w:r>
            <w:r>
              <w:rPr>
                <w:sz w:val="24"/>
              </w:rPr>
              <w:t>balances.</w:t>
            </w:r>
          </w:p>
          <w:p w:rsidR="004E13A5" w:rsidRDefault="00681463">
            <w:pPr>
              <w:pStyle w:val="TableParagraph"/>
              <w:numPr>
                <w:ilvl w:val="0"/>
                <w:numId w:val="34"/>
              </w:numPr>
              <w:tabs>
                <w:tab w:val="left" w:pos="464"/>
              </w:tabs>
              <w:ind w:right="290" w:hanging="360"/>
              <w:rPr>
                <w:sz w:val="24"/>
              </w:rPr>
            </w:pPr>
            <w:r>
              <w:rPr>
                <w:sz w:val="24"/>
              </w:rPr>
              <w:t>Points are based on the percent of mandatory FSS slots that are filled and the percent</w:t>
            </w:r>
            <w:r>
              <w:rPr>
                <w:spacing w:val="-16"/>
                <w:sz w:val="24"/>
              </w:rPr>
              <w:t xml:space="preserve"> </w:t>
            </w:r>
            <w:r>
              <w:rPr>
                <w:sz w:val="24"/>
              </w:rPr>
              <w:t>of families with escrow account balances, according to data from</w:t>
            </w:r>
            <w:r>
              <w:rPr>
                <w:spacing w:val="-13"/>
                <w:sz w:val="24"/>
              </w:rPr>
              <w:t xml:space="preserve"> </w:t>
            </w:r>
            <w:r>
              <w:rPr>
                <w:sz w:val="24"/>
              </w:rPr>
              <w:t>PIC.</w:t>
            </w:r>
          </w:p>
        </w:tc>
      </w:tr>
      <w:tr w:rsidR="004E13A5">
        <w:trPr>
          <w:trHeight w:hRule="exact" w:val="2666"/>
        </w:trPr>
        <w:tc>
          <w:tcPr>
            <w:tcW w:w="9172" w:type="dxa"/>
          </w:tcPr>
          <w:p w:rsidR="004E13A5" w:rsidRDefault="00681463">
            <w:pPr>
              <w:pStyle w:val="TableParagraph"/>
              <w:spacing w:before="119"/>
              <w:ind w:right="5653"/>
              <w:rPr>
                <w:b/>
                <w:sz w:val="24"/>
              </w:rPr>
            </w:pPr>
            <w:r>
              <w:rPr>
                <w:b/>
                <w:sz w:val="24"/>
              </w:rPr>
              <w:t>Success Rate of Voucher Holders Maximum Points: 5</w:t>
            </w:r>
          </w:p>
          <w:p w:rsidR="004E13A5" w:rsidRDefault="00681463">
            <w:pPr>
              <w:pStyle w:val="TableParagraph"/>
              <w:numPr>
                <w:ilvl w:val="0"/>
                <w:numId w:val="33"/>
              </w:numPr>
              <w:tabs>
                <w:tab w:val="left" w:pos="464"/>
              </w:tabs>
              <w:ind w:right="177" w:hanging="360"/>
              <w:rPr>
                <w:sz w:val="24"/>
              </w:rPr>
            </w:pPr>
            <w:r>
              <w:rPr>
                <w:sz w:val="24"/>
              </w:rPr>
              <w:t>Only applies to PHAs that have received approval to establish success rate payment standard amounts, and isn’t effective until the second full PHA fiscal year following</w:t>
            </w:r>
            <w:r>
              <w:rPr>
                <w:spacing w:val="-14"/>
                <w:sz w:val="24"/>
              </w:rPr>
              <w:t xml:space="preserve"> </w:t>
            </w:r>
            <w:r>
              <w:rPr>
                <w:sz w:val="24"/>
              </w:rPr>
              <w:t>the date of HUD approval of success rate payment standard</w:t>
            </w:r>
            <w:r>
              <w:rPr>
                <w:spacing w:val="-11"/>
                <w:sz w:val="24"/>
              </w:rPr>
              <w:t xml:space="preserve"> </w:t>
            </w:r>
            <w:r>
              <w:rPr>
                <w:sz w:val="24"/>
              </w:rPr>
              <w:t>amounts.</w:t>
            </w:r>
          </w:p>
          <w:p w:rsidR="004E13A5" w:rsidRDefault="00681463">
            <w:pPr>
              <w:pStyle w:val="TableParagraph"/>
              <w:numPr>
                <w:ilvl w:val="0"/>
                <w:numId w:val="33"/>
              </w:numPr>
              <w:tabs>
                <w:tab w:val="left" w:pos="464"/>
              </w:tabs>
              <w:ind w:right="691" w:hanging="360"/>
              <w:rPr>
                <w:sz w:val="24"/>
              </w:rPr>
            </w:pPr>
            <w:r>
              <w:rPr>
                <w:sz w:val="24"/>
              </w:rPr>
              <w:t>This indicator shows whether voucher holders were successful in leasing units with voucher</w:t>
            </w:r>
            <w:r>
              <w:rPr>
                <w:spacing w:val="-5"/>
                <w:sz w:val="24"/>
              </w:rPr>
              <w:t xml:space="preserve"> </w:t>
            </w:r>
            <w:r>
              <w:rPr>
                <w:sz w:val="24"/>
              </w:rPr>
              <w:t>assistance.</w:t>
            </w:r>
          </w:p>
          <w:p w:rsidR="004E13A5" w:rsidRDefault="00681463">
            <w:pPr>
              <w:pStyle w:val="TableParagraph"/>
              <w:numPr>
                <w:ilvl w:val="0"/>
                <w:numId w:val="33"/>
              </w:numPr>
              <w:tabs>
                <w:tab w:val="left" w:pos="464"/>
              </w:tabs>
              <w:ind w:right="416" w:hanging="360"/>
              <w:rPr>
                <w:sz w:val="24"/>
              </w:rPr>
            </w:pPr>
            <w:r>
              <w:rPr>
                <w:sz w:val="24"/>
              </w:rPr>
              <w:t>Points are based on the percent of families that were issued vouchers, and that</w:t>
            </w:r>
            <w:r>
              <w:rPr>
                <w:spacing w:val="-15"/>
                <w:sz w:val="24"/>
              </w:rPr>
              <w:t xml:space="preserve"> </w:t>
            </w:r>
            <w:r>
              <w:rPr>
                <w:sz w:val="24"/>
              </w:rPr>
              <w:t>became participants in the voucher</w:t>
            </w:r>
            <w:r>
              <w:rPr>
                <w:spacing w:val="-7"/>
                <w:sz w:val="24"/>
              </w:rPr>
              <w:t xml:space="preserve"> </w:t>
            </w:r>
            <w:r>
              <w:rPr>
                <w:sz w:val="24"/>
              </w:rPr>
              <w:t>program.</w:t>
            </w:r>
          </w:p>
        </w:tc>
      </w:tr>
      <w:tr w:rsidR="004E13A5">
        <w:trPr>
          <w:trHeight w:hRule="exact" w:val="2940"/>
        </w:trPr>
        <w:tc>
          <w:tcPr>
            <w:tcW w:w="9172" w:type="dxa"/>
          </w:tcPr>
          <w:p w:rsidR="004E13A5" w:rsidRDefault="00681463">
            <w:pPr>
              <w:pStyle w:val="TableParagraph"/>
              <w:spacing w:before="119"/>
              <w:ind w:right="5626"/>
              <w:rPr>
                <w:b/>
                <w:sz w:val="24"/>
              </w:rPr>
            </w:pPr>
            <w:r>
              <w:rPr>
                <w:b/>
                <w:sz w:val="24"/>
              </w:rPr>
              <w:t>Deconcentration Bonus Indicator Maximum Points: 5</w:t>
            </w:r>
          </w:p>
          <w:p w:rsidR="004E13A5" w:rsidRDefault="00681463">
            <w:pPr>
              <w:pStyle w:val="TableParagraph"/>
              <w:numPr>
                <w:ilvl w:val="0"/>
                <w:numId w:val="32"/>
              </w:numPr>
              <w:tabs>
                <w:tab w:val="left" w:pos="464"/>
              </w:tabs>
              <w:spacing w:before="19" w:line="276" w:lineRule="exact"/>
              <w:ind w:right="163" w:hanging="360"/>
              <w:rPr>
                <w:sz w:val="24"/>
              </w:rPr>
            </w:pPr>
            <w:r>
              <w:rPr>
                <w:sz w:val="24"/>
              </w:rPr>
              <w:t>Submission of data for this indicator is mandatory for a PHA using one or more</w:t>
            </w:r>
            <w:r>
              <w:rPr>
                <w:spacing w:val="-19"/>
                <w:sz w:val="24"/>
              </w:rPr>
              <w:t xml:space="preserve"> </w:t>
            </w:r>
            <w:r>
              <w:rPr>
                <w:sz w:val="24"/>
              </w:rPr>
              <w:t>payment standard amount(s) that exceed(s) 100 percent of the published FMR set at the 50 percentile rent, starting with the second full PHA fiscal year following initial use of payment standard amounts based on the FMRs set at the 50</w:t>
            </w:r>
            <w:r>
              <w:rPr>
                <w:position w:val="9"/>
                <w:sz w:val="16"/>
              </w:rPr>
              <w:t>th</w:t>
            </w:r>
            <w:r>
              <w:rPr>
                <w:spacing w:val="11"/>
                <w:position w:val="9"/>
                <w:sz w:val="16"/>
              </w:rPr>
              <w:t xml:space="preserve"> </w:t>
            </w:r>
            <w:r>
              <w:rPr>
                <w:sz w:val="24"/>
              </w:rPr>
              <w:t>percentile.</w:t>
            </w:r>
          </w:p>
          <w:p w:rsidR="004E13A5" w:rsidRDefault="00681463">
            <w:pPr>
              <w:pStyle w:val="TableParagraph"/>
              <w:numPr>
                <w:ilvl w:val="0"/>
                <w:numId w:val="32"/>
              </w:numPr>
              <w:tabs>
                <w:tab w:val="left" w:pos="464"/>
              </w:tabs>
              <w:spacing w:before="16" w:line="276" w:lineRule="exact"/>
              <w:ind w:right="129" w:hanging="360"/>
              <w:rPr>
                <w:sz w:val="24"/>
              </w:rPr>
            </w:pPr>
            <w:r>
              <w:rPr>
                <w:sz w:val="24"/>
              </w:rPr>
              <w:t>Additional points are available to PHAs that have jurisdiction in metropolitan FMR</w:t>
            </w:r>
            <w:r>
              <w:rPr>
                <w:spacing w:val="-15"/>
                <w:sz w:val="24"/>
              </w:rPr>
              <w:t xml:space="preserve"> </w:t>
            </w:r>
            <w:r>
              <w:rPr>
                <w:sz w:val="24"/>
              </w:rPr>
              <w:t>areas and that choose to submit the required</w:t>
            </w:r>
            <w:r>
              <w:rPr>
                <w:spacing w:val="-6"/>
                <w:sz w:val="24"/>
              </w:rPr>
              <w:t xml:space="preserve"> </w:t>
            </w:r>
            <w:r>
              <w:rPr>
                <w:sz w:val="24"/>
              </w:rPr>
              <w:t>data.</w:t>
            </w:r>
          </w:p>
          <w:p w:rsidR="004E13A5" w:rsidRDefault="00681463">
            <w:pPr>
              <w:pStyle w:val="TableParagraph"/>
              <w:numPr>
                <w:ilvl w:val="0"/>
                <w:numId w:val="32"/>
              </w:numPr>
              <w:tabs>
                <w:tab w:val="left" w:pos="464"/>
              </w:tabs>
              <w:spacing w:before="16" w:line="276" w:lineRule="exact"/>
              <w:ind w:right="287" w:hanging="360"/>
              <w:rPr>
                <w:sz w:val="24"/>
              </w:rPr>
            </w:pPr>
            <w:r>
              <w:rPr>
                <w:sz w:val="24"/>
              </w:rPr>
              <w:t>Points are based on whether the data that is submitted meets the requirements for</w:t>
            </w:r>
            <w:r>
              <w:rPr>
                <w:spacing w:val="-13"/>
                <w:sz w:val="24"/>
              </w:rPr>
              <w:t xml:space="preserve"> </w:t>
            </w:r>
            <w:r>
              <w:rPr>
                <w:sz w:val="24"/>
              </w:rPr>
              <w:t>bonus points.</w:t>
            </w:r>
          </w:p>
        </w:tc>
      </w:tr>
      <w:tr w:rsidR="004E13A5">
        <w:trPr>
          <w:trHeight w:hRule="exact" w:val="408"/>
        </w:trPr>
        <w:tc>
          <w:tcPr>
            <w:tcW w:w="9172" w:type="dxa"/>
          </w:tcPr>
          <w:p w:rsidR="004E13A5" w:rsidRDefault="004E13A5"/>
        </w:tc>
      </w:tr>
    </w:tbl>
    <w:p w:rsidR="004E13A5" w:rsidRDefault="004E13A5">
      <w:pPr>
        <w:sectPr w:rsidR="004E13A5">
          <w:pgSz w:w="12240" w:h="15840"/>
          <w:pgMar w:top="1080" w:right="1720" w:bottom="1180" w:left="1100" w:header="0" w:footer="998" w:gutter="0"/>
          <w:cols w:space="720"/>
        </w:sectPr>
      </w:pPr>
    </w:p>
    <w:p w:rsidR="004E13A5" w:rsidRDefault="00681463">
      <w:pPr>
        <w:pStyle w:val="Heading4"/>
        <w:spacing w:before="79"/>
        <w:ind w:left="3237"/>
      </w:pPr>
      <w:bookmarkStart w:id="304" w:name="_TOC_250125"/>
      <w:bookmarkEnd w:id="304"/>
      <w:r>
        <w:lastRenderedPageBreak/>
        <w:t>PART VI: RECORD KEEPING</w:t>
      </w:r>
    </w:p>
    <w:p w:rsidR="004E13A5" w:rsidRDefault="004E13A5">
      <w:pPr>
        <w:pStyle w:val="BodyText"/>
        <w:spacing w:before="10"/>
        <w:ind w:left="0"/>
        <w:rPr>
          <w:b/>
          <w:sz w:val="20"/>
        </w:rPr>
      </w:pPr>
    </w:p>
    <w:p w:rsidR="004E13A5" w:rsidRDefault="00681463">
      <w:pPr>
        <w:pStyle w:val="Heading4"/>
      </w:pPr>
      <w:bookmarkStart w:id="305" w:name="_TOC_250124"/>
      <w:bookmarkEnd w:id="305"/>
      <w:r>
        <w:t>16-VI.A. OVERVIEW</w:t>
      </w:r>
    </w:p>
    <w:p w:rsidR="004E13A5" w:rsidRDefault="00681463">
      <w:pPr>
        <w:pStyle w:val="BodyText"/>
      </w:pPr>
      <w:r>
        <w:t>The PHA must maintain complete and accurate accounts and other records for the program in accordance with HUD requirements, in a manner that permits a speedy and effective audit. All such records must be made available to HUD or the Comptroller General of the United States upon request.</w:t>
      </w:r>
    </w:p>
    <w:p w:rsidR="004E13A5" w:rsidRDefault="00681463">
      <w:pPr>
        <w:pStyle w:val="BodyText"/>
        <w:ind w:right="489"/>
      </w:pPr>
      <w:r>
        <w:t>In addition, the PHA must ensure that all applicant and participant files are maintained in a way that protects an individual’s privacy rights.</w:t>
      </w:r>
    </w:p>
    <w:p w:rsidR="004E13A5" w:rsidRDefault="004E13A5">
      <w:pPr>
        <w:pStyle w:val="BodyText"/>
        <w:spacing w:before="9"/>
        <w:ind w:left="0"/>
        <w:rPr>
          <w:sz w:val="20"/>
        </w:rPr>
      </w:pPr>
    </w:p>
    <w:p w:rsidR="004E13A5" w:rsidRDefault="00681463">
      <w:pPr>
        <w:pStyle w:val="Heading4"/>
      </w:pPr>
      <w:r>
        <w:t>16-VI.B. RECORD RETENTION [24 CFR 982.158 ; 24 CFR 908.101]</w:t>
      </w:r>
    </w:p>
    <w:p w:rsidR="004E13A5" w:rsidRDefault="00681463">
      <w:pPr>
        <w:pStyle w:val="BodyText"/>
      </w:pPr>
      <w:r>
        <w:t>During the term of each assisted lease, and for at least three years thereafter, the PHA must keep:</w:t>
      </w:r>
    </w:p>
    <w:p w:rsidR="004E13A5" w:rsidRDefault="00681463">
      <w:pPr>
        <w:pStyle w:val="ListParagraph"/>
        <w:numPr>
          <w:ilvl w:val="0"/>
          <w:numId w:val="93"/>
        </w:numPr>
        <w:tabs>
          <w:tab w:val="left" w:pos="460"/>
          <w:tab w:val="left" w:pos="461"/>
        </w:tabs>
        <w:rPr>
          <w:rFonts w:ascii="Symbol"/>
          <w:sz w:val="24"/>
        </w:rPr>
      </w:pPr>
      <w:r>
        <w:rPr>
          <w:sz w:val="24"/>
        </w:rPr>
        <w:t>A copy of the executed</w:t>
      </w:r>
      <w:r>
        <w:rPr>
          <w:spacing w:val="-8"/>
          <w:sz w:val="24"/>
        </w:rPr>
        <w:t xml:space="preserve"> </w:t>
      </w:r>
      <w:r>
        <w:rPr>
          <w:sz w:val="24"/>
        </w:rPr>
        <w:t>lease;</w:t>
      </w:r>
    </w:p>
    <w:p w:rsidR="004E13A5" w:rsidRDefault="00681463">
      <w:pPr>
        <w:pStyle w:val="ListParagraph"/>
        <w:numPr>
          <w:ilvl w:val="0"/>
          <w:numId w:val="93"/>
        </w:numPr>
        <w:tabs>
          <w:tab w:val="left" w:pos="460"/>
          <w:tab w:val="left" w:pos="461"/>
        </w:tabs>
        <w:rPr>
          <w:rFonts w:ascii="Symbol"/>
          <w:sz w:val="24"/>
        </w:rPr>
      </w:pPr>
      <w:r>
        <w:rPr>
          <w:sz w:val="24"/>
        </w:rPr>
        <w:t>The HAP contract;</w:t>
      </w:r>
      <w:r>
        <w:rPr>
          <w:spacing w:val="-6"/>
          <w:sz w:val="24"/>
        </w:rPr>
        <w:t xml:space="preserve"> </w:t>
      </w:r>
      <w:r>
        <w:rPr>
          <w:sz w:val="24"/>
        </w:rPr>
        <w:t>and</w:t>
      </w:r>
    </w:p>
    <w:p w:rsidR="004E13A5" w:rsidRDefault="00681463">
      <w:pPr>
        <w:pStyle w:val="ListParagraph"/>
        <w:numPr>
          <w:ilvl w:val="0"/>
          <w:numId w:val="93"/>
        </w:numPr>
        <w:tabs>
          <w:tab w:val="left" w:pos="460"/>
          <w:tab w:val="left" w:pos="461"/>
        </w:tabs>
        <w:spacing w:before="118"/>
        <w:rPr>
          <w:rFonts w:ascii="Symbol"/>
          <w:sz w:val="24"/>
        </w:rPr>
      </w:pPr>
      <w:r>
        <w:rPr>
          <w:sz w:val="24"/>
        </w:rPr>
        <w:t>The application from the</w:t>
      </w:r>
      <w:r>
        <w:rPr>
          <w:spacing w:val="-11"/>
          <w:sz w:val="24"/>
        </w:rPr>
        <w:t xml:space="preserve"> </w:t>
      </w:r>
      <w:r>
        <w:rPr>
          <w:sz w:val="24"/>
        </w:rPr>
        <w:t>family.</w:t>
      </w:r>
    </w:p>
    <w:p w:rsidR="004E13A5" w:rsidRDefault="00681463">
      <w:pPr>
        <w:pStyle w:val="BodyText"/>
        <w:spacing w:before="118"/>
        <w:ind w:left="162"/>
      </w:pPr>
      <w:r>
        <w:t>In addition, the PHA must keep the following records for at least three years:</w:t>
      </w:r>
    </w:p>
    <w:p w:rsidR="004E13A5" w:rsidRDefault="00681463">
      <w:pPr>
        <w:pStyle w:val="ListParagraph"/>
        <w:numPr>
          <w:ilvl w:val="0"/>
          <w:numId w:val="93"/>
        </w:numPr>
        <w:tabs>
          <w:tab w:val="left" w:pos="460"/>
          <w:tab w:val="left" w:pos="461"/>
        </w:tabs>
        <w:ind w:right="784"/>
        <w:rPr>
          <w:rFonts w:ascii="Symbol"/>
          <w:sz w:val="24"/>
        </w:rPr>
      </w:pPr>
      <w:r>
        <w:rPr>
          <w:sz w:val="24"/>
        </w:rPr>
        <w:t>Records that provide income, racial, ethnic, gender, and disability status data on</w:t>
      </w:r>
      <w:r>
        <w:rPr>
          <w:spacing w:val="-15"/>
          <w:sz w:val="24"/>
        </w:rPr>
        <w:t xml:space="preserve"> </w:t>
      </w:r>
      <w:r>
        <w:rPr>
          <w:sz w:val="24"/>
        </w:rPr>
        <w:t>program applicants and</w:t>
      </w:r>
      <w:r>
        <w:rPr>
          <w:spacing w:val="-4"/>
          <w:sz w:val="24"/>
        </w:rPr>
        <w:t xml:space="preserve"> </w:t>
      </w:r>
      <w:r>
        <w:rPr>
          <w:sz w:val="24"/>
        </w:rPr>
        <w:t>participants;</w:t>
      </w:r>
    </w:p>
    <w:p w:rsidR="004E13A5" w:rsidRDefault="00681463">
      <w:pPr>
        <w:pStyle w:val="ListParagraph"/>
        <w:numPr>
          <w:ilvl w:val="0"/>
          <w:numId w:val="93"/>
        </w:numPr>
        <w:tabs>
          <w:tab w:val="left" w:pos="460"/>
          <w:tab w:val="left" w:pos="461"/>
        </w:tabs>
        <w:rPr>
          <w:rFonts w:ascii="Symbol"/>
          <w:sz w:val="24"/>
        </w:rPr>
      </w:pPr>
      <w:r>
        <w:rPr>
          <w:sz w:val="24"/>
        </w:rPr>
        <w:t>An application from each ineligible family and notice that the applicant is not</w:t>
      </w:r>
      <w:r>
        <w:rPr>
          <w:spacing w:val="-16"/>
          <w:sz w:val="24"/>
        </w:rPr>
        <w:t xml:space="preserve"> </w:t>
      </w:r>
      <w:r>
        <w:rPr>
          <w:sz w:val="24"/>
        </w:rPr>
        <w:t>eligible;</w:t>
      </w:r>
    </w:p>
    <w:p w:rsidR="004E13A5" w:rsidRDefault="00681463">
      <w:pPr>
        <w:pStyle w:val="ListParagraph"/>
        <w:numPr>
          <w:ilvl w:val="0"/>
          <w:numId w:val="93"/>
        </w:numPr>
        <w:tabs>
          <w:tab w:val="left" w:pos="460"/>
          <w:tab w:val="left" w:pos="461"/>
        </w:tabs>
        <w:spacing w:before="118"/>
        <w:rPr>
          <w:rFonts w:ascii="Symbol"/>
          <w:sz w:val="24"/>
        </w:rPr>
      </w:pPr>
      <w:r>
        <w:rPr>
          <w:sz w:val="24"/>
        </w:rPr>
        <w:t>HUD-required</w:t>
      </w:r>
      <w:r>
        <w:rPr>
          <w:spacing w:val="-7"/>
          <w:sz w:val="24"/>
        </w:rPr>
        <w:t xml:space="preserve"> </w:t>
      </w:r>
      <w:r>
        <w:rPr>
          <w:sz w:val="24"/>
        </w:rPr>
        <w:t>reports;</w:t>
      </w:r>
    </w:p>
    <w:p w:rsidR="004E13A5" w:rsidRDefault="00681463">
      <w:pPr>
        <w:pStyle w:val="ListParagraph"/>
        <w:numPr>
          <w:ilvl w:val="0"/>
          <w:numId w:val="93"/>
        </w:numPr>
        <w:tabs>
          <w:tab w:val="left" w:pos="460"/>
          <w:tab w:val="left" w:pos="461"/>
        </w:tabs>
        <w:spacing w:before="118"/>
        <w:rPr>
          <w:rFonts w:ascii="Symbol"/>
          <w:sz w:val="24"/>
        </w:rPr>
      </w:pPr>
      <w:r>
        <w:rPr>
          <w:sz w:val="24"/>
        </w:rPr>
        <w:t>Unit inspection</w:t>
      </w:r>
      <w:r>
        <w:rPr>
          <w:spacing w:val="-5"/>
          <w:sz w:val="24"/>
        </w:rPr>
        <w:t xml:space="preserve"> </w:t>
      </w:r>
      <w:r>
        <w:rPr>
          <w:sz w:val="24"/>
        </w:rPr>
        <w:t>reports;</w:t>
      </w:r>
    </w:p>
    <w:p w:rsidR="004E13A5" w:rsidRDefault="00681463">
      <w:pPr>
        <w:pStyle w:val="ListParagraph"/>
        <w:numPr>
          <w:ilvl w:val="0"/>
          <w:numId w:val="93"/>
        </w:numPr>
        <w:tabs>
          <w:tab w:val="left" w:pos="460"/>
          <w:tab w:val="left" w:pos="461"/>
        </w:tabs>
        <w:spacing w:before="118"/>
        <w:rPr>
          <w:rFonts w:ascii="Symbol"/>
          <w:sz w:val="24"/>
        </w:rPr>
      </w:pPr>
      <w:r>
        <w:rPr>
          <w:sz w:val="24"/>
        </w:rPr>
        <w:t>Lead-based paint records as required by 24 CFR 35, Subpart</w:t>
      </w:r>
      <w:r>
        <w:rPr>
          <w:spacing w:val="-13"/>
          <w:sz w:val="24"/>
        </w:rPr>
        <w:t xml:space="preserve"> </w:t>
      </w:r>
      <w:r>
        <w:rPr>
          <w:sz w:val="24"/>
        </w:rPr>
        <w:t>B.</w:t>
      </w:r>
    </w:p>
    <w:p w:rsidR="004E13A5" w:rsidRDefault="00681463">
      <w:pPr>
        <w:pStyle w:val="ListParagraph"/>
        <w:numPr>
          <w:ilvl w:val="0"/>
          <w:numId w:val="93"/>
        </w:numPr>
        <w:tabs>
          <w:tab w:val="left" w:pos="460"/>
          <w:tab w:val="left" w:pos="461"/>
        </w:tabs>
        <w:spacing w:before="118"/>
        <w:rPr>
          <w:rFonts w:ascii="Symbol"/>
          <w:sz w:val="24"/>
        </w:rPr>
      </w:pPr>
      <w:r>
        <w:rPr>
          <w:sz w:val="24"/>
        </w:rPr>
        <w:t>Accounts and other records supporting PHA budget and financial statements for the</w:t>
      </w:r>
      <w:r>
        <w:rPr>
          <w:spacing w:val="-13"/>
          <w:sz w:val="24"/>
        </w:rPr>
        <w:t xml:space="preserve"> </w:t>
      </w:r>
      <w:r>
        <w:rPr>
          <w:sz w:val="24"/>
        </w:rPr>
        <w:t>program;</w:t>
      </w:r>
    </w:p>
    <w:p w:rsidR="004E13A5" w:rsidRDefault="00681463">
      <w:pPr>
        <w:pStyle w:val="ListParagraph"/>
        <w:numPr>
          <w:ilvl w:val="0"/>
          <w:numId w:val="93"/>
        </w:numPr>
        <w:tabs>
          <w:tab w:val="left" w:pos="460"/>
          <w:tab w:val="left" w:pos="461"/>
        </w:tabs>
        <w:spacing w:before="118"/>
        <w:ind w:right="472"/>
        <w:rPr>
          <w:rFonts w:ascii="Symbol"/>
          <w:sz w:val="24"/>
        </w:rPr>
      </w:pPr>
      <w:r>
        <w:rPr>
          <w:sz w:val="24"/>
        </w:rPr>
        <w:t>Records to document the basis for PHA determination that rent to owner is a reasonable</w:t>
      </w:r>
      <w:r>
        <w:rPr>
          <w:spacing w:val="-16"/>
          <w:sz w:val="24"/>
        </w:rPr>
        <w:t xml:space="preserve"> </w:t>
      </w:r>
      <w:r>
        <w:rPr>
          <w:sz w:val="24"/>
        </w:rPr>
        <w:t>rent (initially and during the term of a HAP contract);</w:t>
      </w:r>
      <w:r>
        <w:rPr>
          <w:spacing w:val="-9"/>
          <w:sz w:val="24"/>
        </w:rPr>
        <w:t xml:space="preserve"> </w:t>
      </w:r>
      <w:r>
        <w:rPr>
          <w:sz w:val="24"/>
        </w:rPr>
        <w:t>and</w:t>
      </w:r>
    </w:p>
    <w:p w:rsidR="004E13A5" w:rsidRDefault="00681463">
      <w:pPr>
        <w:pStyle w:val="ListParagraph"/>
        <w:numPr>
          <w:ilvl w:val="0"/>
          <w:numId w:val="93"/>
        </w:numPr>
        <w:tabs>
          <w:tab w:val="left" w:pos="460"/>
          <w:tab w:val="left" w:pos="461"/>
        </w:tabs>
        <w:rPr>
          <w:rFonts w:ascii="Symbol"/>
          <w:sz w:val="24"/>
        </w:rPr>
      </w:pPr>
      <w:r>
        <w:rPr>
          <w:sz w:val="24"/>
        </w:rPr>
        <w:t>Other records specified by</w:t>
      </w:r>
      <w:r>
        <w:rPr>
          <w:spacing w:val="-5"/>
          <w:sz w:val="24"/>
        </w:rPr>
        <w:t xml:space="preserve"> </w:t>
      </w:r>
      <w:r>
        <w:rPr>
          <w:sz w:val="24"/>
        </w:rPr>
        <w:t>HUD.</w:t>
      </w:r>
    </w:p>
    <w:p w:rsidR="004E13A5" w:rsidRDefault="00681463">
      <w:pPr>
        <w:pStyle w:val="ListParagraph"/>
        <w:numPr>
          <w:ilvl w:val="0"/>
          <w:numId w:val="93"/>
        </w:numPr>
        <w:tabs>
          <w:tab w:val="left" w:pos="461"/>
        </w:tabs>
        <w:spacing w:before="138"/>
        <w:ind w:left="532" w:right="99"/>
        <w:rPr>
          <w:rFonts w:ascii="Symbol"/>
          <w:sz w:val="24"/>
        </w:rPr>
      </w:pPr>
      <w:r>
        <w:rPr>
          <w:sz w:val="24"/>
        </w:rPr>
        <w:t>The PHA must keep the last three years of the Form HUD-50058 and supporting documentation during the term of each assisted lease, and for a period of at least three years from the end of participation (EOP) date [24 CFR</w:t>
      </w:r>
      <w:r>
        <w:rPr>
          <w:spacing w:val="-4"/>
          <w:sz w:val="24"/>
        </w:rPr>
        <w:t xml:space="preserve"> </w:t>
      </w:r>
      <w:r>
        <w:rPr>
          <w:sz w:val="24"/>
        </w:rPr>
        <w:t>908.101].</w:t>
      </w:r>
    </w:p>
    <w:p w:rsidR="004E13A5" w:rsidRDefault="00681463">
      <w:pPr>
        <w:pStyle w:val="ListParagraph"/>
        <w:numPr>
          <w:ilvl w:val="0"/>
          <w:numId w:val="93"/>
        </w:numPr>
        <w:tabs>
          <w:tab w:val="left" w:pos="461"/>
        </w:tabs>
        <w:spacing w:before="141"/>
        <w:ind w:left="532" w:right="418"/>
        <w:jc w:val="both"/>
        <w:rPr>
          <w:rFonts w:ascii="Symbol"/>
          <w:sz w:val="24"/>
        </w:rPr>
      </w:pPr>
      <w:r>
        <w:rPr>
          <w:sz w:val="24"/>
        </w:rPr>
        <w:t>The PHA must maintain Enterprise Income Verification (EIV) system Income Reports in the tenant file for the duration of the tenancy but for a period not to exceed three years from the EOP date [Notice PIH</w:t>
      </w:r>
      <w:r>
        <w:rPr>
          <w:spacing w:val="-4"/>
          <w:sz w:val="24"/>
        </w:rPr>
        <w:t xml:space="preserve"> </w:t>
      </w:r>
      <w:r>
        <w:rPr>
          <w:sz w:val="24"/>
        </w:rPr>
        <w:t>2018-18].</w:t>
      </w:r>
    </w:p>
    <w:p w:rsidR="004E13A5" w:rsidRDefault="00681463">
      <w:pPr>
        <w:pStyle w:val="ListParagraph"/>
        <w:numPr>
          <w:ilvl w:val="0"/>
          <w:numId w:val="93"/>
        </w:numPr>
        <w:tabs>
          <w:tab w:val="left" w:pos="460"/>
          <w:tab w:val="left" w:pos="461"/>
        </w:tabs>
        <w:spacing w:before="138"/>
        <w:ind w:right="412"/>
        <w:rPr>
          <w:rFonts w:ascii="Symbol"/>
          <w:sz w:val="24"/>
        </w:rPr>
      </w:pPr>
      <w:r>
        <w:rPr>
          <w:sz w:val="24"/>
        </w:rPr>
        <w:t>Notice PIH 2014-20 requires PHAs to keep records of all complaints, investigations, notices, and corrective actions related to violations of the Fair Housing Act or the equal</w:t>
      </w:r>
      <w:r>
        <w:rPr>
          <w:spacing w:val="-17"/>
          <w:sz w:val="24"/>
        </w:rPr>
        <w:t xml:space="preserve"> </w:t>
      </w:r>
      <w:r>
        <w:rPr>
          <w:sz w:val="24"/>
        </w:rPr>
        <w:t>access</w:t>
      </w:r>
    </w:p>
    <w:p w:rsidR="004E13A5" w:rsidRDefault="00681463">
      <w:pPr>
        <w:pStyle w:val="BodyText"/>
        <w:spacing w:before="0"/>
        <w:ind w:left="460"/>
      </w:pPr>
      <w:r>
        <w:t>final rule.</w:t>
      </w:r>
    </w:p>
    <w:p w:rsidR="004E13A5" w:rsidRDefault="00681463">
      <w:pPr>
        <w:pStyle w:val="BodyText"/>
        <w:spacing w:before="120"/>
        <w:ind w:right="183"/>
      </w:pPr>
      <w:r>
        <w:t>The PHA must keep confidential records of all emergency transfer requested by victims of domestic violence, dating violence, sexual assault, and stalking under the PHA’s Emergency Transfer Plan, as well as the outcomes of such requests, and retain the records for a period of three years [24 CFR 5.2002(e)(12)].</w:t>
      </w:r>
    </w:p>
    <w:p w:rsidR="004E13A5" w:rsidRDefault="004E13A5">
      <w:pPr>
        <w:sectPr w:rsidR="004E13A5">
          <w:pgSz w:w="12240" w:h="15840"/>
          <w:pgMar w:top="1000" w:right="1220" w:bottom="1180" w:left="1220" w:header="0" w:footer="998" w:gutter="0"/>
          <w:cols w:space="720"/>
        </w:sectPr>
      </w:pPr>
    </w:p>
    <w:p w:rsidR="004E13A5" w:rsidRDefault="00681463">
      <w:pPr>
        <w:pStyle w:val="BodyText"/>
        <w:spacing w:before="79"/>
        <w:ind w:right="229"/>
      </w:pPr>
      <w:r>
        <w:lastRenderedPageBreak/>
        <w:t>If an informal hearing to establish a family’s citizenship status is held, longer retention requirements apply for some types of documents. For specific requirements, see Section 16-III.D., Retention of Documents.</w:t>
      </w:r>
    </w:p>
    <w:p w:rsidR="004E13A5" w:rsidRDefault="004E13A5">
      <w:pPr>
        <w:pStyle w:val="BodyText"/>
        <w:spacing w:before="0"/>
        <w:ind w:left="0"/>
        <w:rPr>
          <w:sz w:val="26"/>
        </w:rPr>
      </w:pPr>
    </w:p>
    <w:p w:rsidR="00DC17E7" w:rsidRDefault="00DC17E7" w:rsidP="00DC17E7">
      <w:pPr>
        <w:pStyle w:val="BodyText"/>
        <w:ind w:left="820"/>
      </w:pPr>
      <w:r>
        <w:rPr>
          <w:sz w:val="29"/>
        </w:rPr>
        <w:t xml:space="preserve">             </w:t>
      </w:r>
      <w:r>
        <w:rPr>
          <w:u w:val="single"/>
        </w:rPr>
        <w:t>PHA Policy</w:t>
      </w:r>
    </w:p>
    <w:p w:rsidR="00DC17E7" w:rsidRPr="006A00A2" w:rsidRDefault="00DC17E7" w:rsidP="00DC17E7">
      <w:pPr>
        <w:pStyle w:val="HTMLPreformatted"/>
        <w:spacing w:before="120"/>
        <w:ind w:left="1800"/>
        <w:rPr>
          <w:rFonts w:ascii="Times New Roman" w:hAnsi="Times New Roman"/>
          <w:bCs/>
          <w:sz w:val="24"/>
        </w:rPr>
      </w:pPr>
      <w:r w:rsidRPr="00A52BDF">
        <w:rPr>
          <w:rFonts w:ascii="Times New Roman" w:hAnsi="Times New Roman"/>
          <w:bCs/>
          <w:sz w:val="24"/>
        </w:rPr>
        <w:t>The PHA will keep for at least three years records of all complaints, investigations, notices, and corrective actions related to violations of the Fair Housing Act, the equal access final rule, or VAWA.</w:t>
      </w:r>
    </w:p>
    <w:p w:rsidR="004E13A5" w:rsidRDefault="004E13A5">
      <w:pPr>
        <w:pStyle w:val="BodyText"/>
        <w:spacing w:before="3"/>
        <w:ind w:left="0"/>
        <w:rPr>
          <w:sz w:val="29"/>
        </w:rPr>
      </w:pPr>
    </w:p>
    <w:p w:rsidR="00DC17E7" w:rsidRDefault="00DC17E7">
      <w:pPr>
        <w:pStyle w:val="BodyText"/>
        <w:spacing w:before="3"/>
        <w:ind w:left="0"/>
        <w:rPr>
          <w:sz w:val="29"/>
        </w:rPr>
      </w:pPr>
    </w:p>
    <w:p w:rsidR="00DC17E7" w:rsidRDefault="00DC17E7">
      <w:pPr>
        <w:pStyle w:val="BodyText"/>
        <w:spacing w:before="3"/>
        <w:ind w:left="0"/>
        <w:rPr>
          <w:sz w:val="29"/>
        </w:rPr>
      </w:pPr>
    </w:p>
    <w:p w:rsidR="00DC17E7" w:rsidRDefault="00DC17E7">
      <w:pPr>
        <w:pStyle w:val="BodyText"/>
        <w:spacing w:before="3"/>
        <w:ind w:left="0"/>
        <w:rPr>
          <w:sz w:val="29"/>
        </w:rPr>
      </w:pPr>
    </w:p>
    <w:p w:rsidR="004E13A5" w:rsidRDefault="00681463">
      <w:pPr>
        <w:pStyle w:val="Heading4"/>
      </w:pPr>
      <w:bookmarkStart w:id="306" w:name="_TOC_250123"/>
      <w:bookmarkEnd w:id="306"/>
      <w:r>
        <w:t>16-VI.C. RECORDS MANAGEMENT</w:t>
      </w:r>
    </w:p>
    <w:p w:rsidR="004E13A5" w:rsidRDefault="00681463">
      <w:pPr>
        <w:pStyle w:val="BodyText"/>
      </w:pPr>
      <w:r>
        <w:t>PHAs must maintain applicant and participant files and information in accordance with the regulatory requirements described below.</w:t>
      </w:r>
    </w:p>
    <w:p w:rsidR="004E13A5" w:rsidRDefault="00681463">
      <w:pPr>
        <w:pStyle w:val="BodyText"/>
        <w:ind w:left="820"/>
      </w:pPr>
      <w:bookmarkStart w:id="307" w:name="_Hlk178058813"/>
      <w:r>
        <w:rPr>
          <w:u w:val="single"/>
        </w:rPr>
        <w:t>PHA Policy</w:t>
      </w:r>
    </w:p>
    <w:bookmarkEnd w:id="307"/>
    <w:p w:rsidR="004E13A5" w:rsidRDefault="00681463">
      <w:pPr>
        <w:pStyle w:val="BodyText"/>
        <w:ind w:left="820"/>
      </w:pPr>
      <w:r>
        <w:t>All applicant and participant information will be kept in a secure location and access will be limited to authorized PHA staff.</w:t>
      </w:r>
    </w:p>
    <w:p w:rsidR="004E13A5" w:rsidRDefault="00681463">
      <w:pPr>
        <w:pStyle w:val="BodyText"/>
        <w:ind w:left="820" w:right="116"/>
      </w:pPr>
      <w:r>
        <w:t>PHA staff will not discuss personal family information unless there is a business reason to do so. Inappropriate discussion of family information or improper disclosure of family information by staff will result in disciplinary action.</w:t>
      </w:r>
    </w:p>
    <w:p w:rsidR="004E13A5" w:rsidRDefault="00681463">
      <w:pPr>
        <w:pStyle w:val="Heading4"/>
        <w:spacing w:before="119"/>
      </w:pPr>
      <w:bookmarkStart w:id="308" w:name="_TOC_250122"/>
      <w:bookmarkEnd w:id="308"/>
      <w:r>
        <w:t>Privacy Act Requirements [24 CFR 5.212 and Form-9886]</w:t>
      </w:r>
    </w:p>
    <w:p w:rsidR="004E13A5" w:rsidRDefault="00681463">
      <w:pPr>
        <w:pStyle w:val="BodyText"/>
        <w:ind w:right="235"/>
      </w:pPr>
      <w:r>
        <w:t>The collection, maintenance, use, and dissemination of social security numbers (SSN), employer identification numbers (EIN), any information derived from these numbers, and income information of applicants and participants must be conducted, to the extent applicable, in compliance with the Privacy Act of 1974, and all other provisions of Federal, State, and local law.</w:t>
      </w:r>
    </w:p>
    <w:p w:rsidR="004E13A5" w:rsidRDefault="00681463">
      <w:pPr>
        <w:pStyle w:val="BodyText"/>
        <w:ind w:right="437"/>
        <w:jc w:val="both"/>
      </w:pPr>
      <w:r>
        <w:t>Applicants and participants, including all adults in the household, are required to sign a consent form, HUD-9886, Authorization for Release of Information. This form incorporates the Federal Privacy Act Statement and describes how the information collected using the form may be</w:t>
      </w:r>
      <w:r>
        <w:rPr>
          <w:spacing w:val="-17"/>
        </w:rPr>
        <w:t xml:space="preserve"> </w:t>
      </w:r>
      <w:r>
        <w:t>used, and under what conditions HUD or the PHA may release the information</w:t>
      </w:r>
      <w:r>
        <w:rPr>
          <w:spacing w:val="-12"/>
        </w:rPr>
        <w:t xml:space="preserve"> </w:t>
      </w:r>
      <w:r>
        <w:t>collected.</w:t>
      </w:r>
    </w:p>
    <w:p w:rsidR="004E13A5" w:rsidRDefault="004E13A5">
      <w:pPr>
        <w:pStyle w:val="BodyText"/>
        <w:spacing w:before="0"/>
        <w:ind w:left="0"/>
        <w:rPr>
          <w:sz w:val="26"/>
        </w:rPr>
      </w:pPr>
    </w:p>
    <w:p w:rsidR="004E13A5" w:rsidRDefault="00681463">
      <w:pPr>
        <w:pStyle w:val="Heading4"/>
        <w:spacing w:before="217"/>
      </w:pPr>
      <w:bookmarkStart w:id="309" w:name="_TOC_250121"/>
      <w:bookmarkEnd w:id="309"/>
      <w:r>
        <w:t>Upfront Income Verification (UIV) Records</w:t>
      </w:r>
    </w:p>
    <w:p w:rsidR="004E13A5" w:rsidRDefault="00681463">
      <w:pPr>
        <w:spacing w:before="120"/>
        <w:ind w:left="100"/>
        <w:rPr>
          <w:i/>
          <w:sz w:val="24"/>
        </w:rPr>
      </w:pPr>
      <w:r>
        <w:rPr>
          <w:sz w:val="24"/>
        </w:rPr>
        <w:t xml:space="preserve">PHAs that access UIV data through HUD’s Enterprise Income Verification (EIV) system are required to adopt and follow specific security procedures to ensure that all EIV data is protected in accordance with federal laws, regardless of the media on which the data is recorded (e.g. electronic, paper). These requirements are contained in the HUD-issued document, </w:t>
      </w:r>
      <w:r>
        <w:rPr>
          <w:i/>
          <w:sz w:val="24"/>
        </w:rPr>
        <w:t>Enterprise Income Verification (EIV) System, Security Procedures for Upfront Income Verification data.</w:t>
      </w:r>
    </w:p>
    <w:p w:rsidR="004E13A5" w:rsidRDefault="00681463">
      <w:pPr>
        <w:pStyle w:val="BodyText"/>
        <w:spacing w:before="120"/>
        <w:ind w:left="820"/>
      </w:pPr>
      <w:r>
        <w:rPr>
          <w:u w:val="single"/>
        </w:rPr>
        <w:t>PHA Policy</w:t>
      </w:r>
    </w:p>
    <w:p w:rsidR="004E13A5" w:rsidRDefault="00681463">
      <w:pPr>
        <w:pStyle w:val="BodyText"/>
        <w:spacing w:before="120"/>
        <w:ind w:left="820" w:right="661"/>
      </w:pPr>
      <w:r>
        <w:t>Prior to utilizing HUD’s EIV system, the PHA will adopt and implement EIV security procedures required by HUD.</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09"/>
      </w:pPr>
      <w:bookmarkStart w:id="310" w:name="_TOC_250120"/>
      <w:bookmarkEnd w:id="310"/>
      <w:r>
        <w:t>Criminal Records</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right="436"/>
        <w:jc w:val="both"/>
      </w:pPr>
      <w:r>
        <w:lastRenderedPageBreak/>
        <w:t>The PHA may only disclose the criminal conviction records which the PHA receives from a</w:t>
      </w:r>
      <w:r>
        <w:rPr>
          <w:spacing w:val="-12"/>
        </w:rPr>
        <w:t xml:space="preserve"> </w:t>
      </w:r>
      <w:r>
        <w:t>law enforcement agency to officers or employees of the PHA, or to authorized representatives of the PHA who have a job-related need to have access to the information [24 CFR</w:t>
      </w:r>
      <w:r>
        <w:rPr>
          <w:spacing w:val="-13"/>
        </w:rPr>
        <w:t xml:space="preserve"> </w:t>
      </w:r>
      <w:r>
        <w:t>5.903(e)].</w:t>
      </w:r>
    </w:p>
    <w:p w:rsidR="004E13A5" w:rsidRDefault="00681463">
      <w:pPr>
        <w:pStyle w:val="BodyText"/>
        <w:spacing w:before="120"/>
        <w:ind w:right="155"/>
      </w:pPr>
      <w:r>
        <w:t>The PHA must establish and implement a system of records management that ensures that any criminal record received by the PHA from a law enforcement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[24 CFR 5.903(g)].</w:t>
      </w:r>
    </w:p>
    <w:p w:rsidR="004E13A5" w:rsidRDefault="00681463">
      <w:pPr>
        <w:pStyle w:val="BodyText"/>
        <w:spacing w:before="120"/>
        <w:ind w:right="162"/>
      </w:pPr>
      <w:r>
        <w:t>The PHA must establish and implement a system of records management that ensures that any sex offender registration information received by the PHA from a State or local agency is maintained confidentially, not misused or improperly disseminated, and destroyed, once the purpose for which the record was requested has been accomplished, including expiration of the period for filing a challenge to the PHA action without institution of a challenge or final disposition of any such litigation. However, a record of the screening, including the type of screening and the date performed must be retained [Notice PIH 2012-28]. This requirement does not apply to information that is public information, or is obtained by a PHA other than under 24 CFR 5.905.</w:t>
      </w:r>
    </w:p>
    <w:p w:rsidR="004E13A5" w:rsidRDefault="00681463">
      <w:pPr>
        <w:pStyle w:val="Heading4"/>
        <w:spacing w:before="120"/>
      </w:pPr>
      <w:bookmarkStart w:id="311" w:name="_TOC_250119"/>
      <w:bookmarkEnd w:id="311"/>
      <w:r>
        <w:t>Medical/Disability Records</w:t>
      </w:r>
    </w:p>
    <w:p w:rsidR="004E13A5" w:rsidRDefault="00681463">
      <w:pPr>
        <w:pStyle w:val="BodyText"/>
        <w:spacing w:before="120"/>
        <w:ind w:right="135"/>
      </w:pPr>
      <w:r>
        <w:t>PHAs are not permitted to inquire about the nature or extent of a person’s disability. The PHA may not inquire about a person’s diagnosis or details of treatment for a disability or medical condition. If the PHA receives a verification document that provides such information, the PHA should not place this information in the tenant file. The PHA should destroy the document.</w:t>
      </w:r>
    </w:p>
    <w:p w:rsidR="004E13A5" w:rsidRDefault="00681463">
      <w:pPr>
        <w:pStyle w:val="Heading4"/>
        <w:spacing w:before="120"/>
      </w:pPr>
      <w:r>
        <w:t>Documentation of Domestic Violence, Dating Violence, Sexual Assault, or Stalking</w:t>
      </w:r>
    </w:p>
    <w:p w:rsidR="004E13A5" w:rsidRDefault="00681463">
      <w:pPr>
        <w:pStyle w:val="BodyText"/>
        <w:spacing w:before="120"/>
      </w:pPr>
      <w:r>
        <w:t>For requirements and PHA policies related to management of documentation obtained from victims of domestic violence, dating violence, sexual assault, or stalking, see section 16-IX.E.</w:t>
      </w:r>
    </w:p>
    <w:p w:rsidR="004E13A5" w:rsidRDefault="004E13A5">
      <w:pPr>
        <w:pStyle w:val="BodyText"/>
        <w:spacing w:before="0"/>
        <w:ind w:left="0"/>
        <w:rPr>
          <w:sz w:val="26"/>
        </w:rPr>
      </w:pPr>
    </w:p>
    <w:p w:rsidR="004E13A5" w:rsidRDefault="00681463">
      <w:pPr>
        <w:pStyle w:val="Heading4"/>
        <w:spacing w:before="217"/>
        <w:ind w:left="3667" w:right="84" w:hanging="3546"/>
      </w:pPr>
      <w:r>
        <w:t>PART VII: REPORTING AND RECORD KEEPING FOR CHILDREN WITH ELEVATED BLOOD LEAD LEVEL</w:t>
      </w:r>
    </w:p>
    <w:p w:rsidR="004E13A5" w:rsidRDefault="004E13A5">
      <w:pPr>
        <w:pStyle w:val="BodyText"/>
        <w:spacing w:before="0"/>
        <w:ind w:left="0"/>
        <w:rPr>
          <w:b/>
          <w:sz w:val="13"/>
        </w:rPr>
      </w:pPr>
    </w:p>
    <w:p w:rsidR="004E13A5" w:rsidRDefault="00681463">
      <w:pPr>
        <w:pStyle w:val="Heading4"/>
        <w:spacing w:before="90"/>
      </w:pPr>
      <w:bookmarkStart w:id="312" w:name="_TOC_250118"/>
      <w:bookmarkEnd w:id="312"/>
      <w:r>
        <w:t>16-VII.A. OVERVIEW</w:t>
      </w:r>
    </w:p>
    <w:p w:rsidR="004E13A5" w:rsidRDefault="00681463">
      <w:pPr>
        <w:pStyle w:val="BodyText"/>
        <w:ind w:right="463"/>
      </w:pPr>
      <w:r>
        <w:t>The PHA has certain responsibilities relative to children with elevated blood lead levels that are receiving HCV assistance. The notification, verification, and hazard reduction requirements are discussed in Chapter 8. This part deals with the reporting requirements, and data collection and record keeping responsibilities that the PHA is subject to.</w:t>
      </w:r>
    </w:p>
    <w:p w:rsidR="004E13A5" w:rsidRDefault="004E13A5">
      <w:pPr>
        <w:pStyle w:val="BodyText"/>
        <w:spacing w:before="9"/>
        <w:ind w:left="0"/>
        <w:rPr>
          <w:sz w:val="20"/>
        </w:rPr>
      </w:pPr>
    </w:p>
    <w:p w:rsidR="004E13A5" w:rsidRDefault="00681463">
      <w:pPr>
        <w:pStyle w:val="Heading4"/>
      </w:pPr>
      <w:r>
        <w:t>16-VII.B. REPORTING REQUIREMENT [24 CFR 35.1225(e); Notice PIH 2017-13]</w:t>
      </w:r>
    </w:p>
    <w:p w:rsidR="004E13A5" w:rsidRDefault="00681463">
      <w:pPr>
        <w:pStyle w:val="BodyText"/>
        <w:spacing w:before="139"/>
        <w:ind w:right="216"/>
      </w:pPr>
      <w:r>
        <w:t>The owner must report the name and address of a child identified as having an elevated blood lead level to the public health department within 5 business days of being so notified by any other medical health care professional. The owner must also notify the HUD field office and the HUD Office of Lead Hazard Control and Healthy Homes (OLHCHH) of the child’s address within five business days. The PHA may collaborate with the owner on the notification process, such as by agreeing with the owner to provide the required notifications on the owner’s behalf.</w:t>
      </w:r>
    </w:p>
    <w:p w:rsidR="004E13A5" w:rsidRDefault="00681463">
      <w:pPr>
        <w:pStyle w:val="BodyText"/>
        <w:spacing w:before="139"/>
        <w:ind w:left="820"/>
      </w:pPr>
      <w:r>
        <w:rPr>
          <w:u w:val="single"/>
        </w:rPr>
        <w:t>PHA Policy</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right="96"/>
      </w:pPr>
      <w:r>
        <w:lastRenderedPageBreak/>
        <w:t>Upon notification by the owner, the PHA will provide the public health department written notice of the name and address of any child identified as having an elevated blood lead level within five business days.</w:t>
      </w:r>
    </w:p>
    <w:p w:rsidR="004E13A5" w:rsidRDefault="00681463">
      <w:pPr>
        <w:pStyle w:val="BodyText"/>
        <w:spacing w:before="120"/>
        <w:ind w:left="820" w:right="535"/>
      </w:pPr>
      <w:r>
        <w:t>Upon notification by the owner, the PHA will notify the HUD field office and the HUD Office of Lead Hazard Control and Healthy Homes (OLHCHH) of the child’s address within five business days.</w:t>
      </w:r>
    </w:p>
    <w:p w:rsidR="004E13A5" w:rsidRDefault="004E13A5">
      <w:pPr>
        <w:pStyle w:val="BodyText"/>
        <w:spacing w:before="10"/>
        <w:ind w:left="0"/>
        <w:rPr>
          <w:sz w:val="20"/>
        </w:rPr>
      </w:pPr>
    </w:p>
    <w:p w:rsidR="004E13A5" w:rsidRDefault="00681463">
      <w:pPr>
        <w:pStyle w:val="Heading4"/>
      </w:pPr>
      <w:bookmarkStart w:id="313" w:name="_TOC_250117"/>
      <w:bookmarkEnd w:id="313"/>
      <w:r>
        <w:t>16-VII.C. DATA COLLECTION AND RECORD KEEPING [24 CFR 35.1225(f)]</w:t>
      </w:r>
    </w:p>
    <w:p w:rsidR="004E13A5" w:rsidRDefault="00681463">
      <w:pPr>
        <w:pStyle w:val="BodyText"/>
        <w:spacing w:before="120"/>
      </w:pPr>
      <w:r>
        <w:t>At least quarterly, the PHA must attempt to obtain from the public health department(s) with a similar area of jurisdiction, the names and/or addresses of children less than 6 years old with an identified elevated blood lead level.</w:t>
      </w:r>
    </w:p>
    <w:p w:rsidR="004E13A5" w:rsidRDefault="00681463">
      <w:pPr>
        <w:pStyle w:val="BodyText"/>
        <w:spacing w:before="120"/>
        <w:ind w:right="170"/>
      </w:pPr>
      <w:r>
        <w:t>If the PHA obtains names and addresses of elevated blood lead level children from the public health department(s), the PHA must match this information with the names and addresses of families receiving HCV assistance, unless the public health department performs such a procedure. If a match occurs, the PHA must carry out the notification, verification, and hazard reduction requirements discussed in Chapter 8, and the reporting requirement discussed above.</w:t>
      </w:r>
    </w:p>
    <w:p w:rsidR="004E13A5" w:rsidRDefault="00681463">
      <w:pPr>
        <w:pStyle w:val="BodyText"/>
        <w:spacing w:before="120"/>
        <w:ind w:right="89"/>
      </w:pPr>
      <w:r>
        <w:t>At least quarterly, the PHA must also report an updated list of the addresses of units receiving assistance under the HCV program to the same public health department(s), unless the public health department(s) states that it does not wish to receive such a report.</w:t>
      </w:r>
    </w:p>
    <w:p w:rsidR="004E13A5" w:rsidRDefault="00681463">
      <w:pPr>
        <w:pStyle w:val="BodyText"/>
        <w:spacing w:before="120"/>
        <w:ind w:left="820"/>
      </w:pPr>
      <w:r>
        <w:rPr>
          <w:u w:val="single"/>
        </w:rPr>
        <w:t>PHA Policy</w:t>
      </w:r>
    </w:p>
    <w:p w:rsidR="004E13A5" w:rsidRDefault="00681463">
      <w:pPr>
        <w:pStyle w:val="BodyText"/>
        <w:spacing w:before="120"/>
        <w:ind w:left="820" w:right="183"/>
      </w:pPr>
      <w:r>
        <w:t xml:space="preserve">The public health department(s) has stated they </w:t>
      </w:r>
      <w:r>
        <w:rPr>
          <w:b/>
        </w:rPr>
        <w:t xml:space="preserve">do not </w:t>
      </w:r>
      <w:r>
        <w:t>wish to receive a report of an updated list of the addresses of units receiving assistance under the HCV program, on a quarterly basis. Therefore, the PHA is not providing such a report.</w:t>
      </w:r>
    </w:p>
    <w:p w:rsidR="004E13A5" w:rsidRDefault="00681463">
      <w:pPr>
        <w:pStyle w:val="Heading4"/>
        <w:spacing w:before="6" w:line="510" w:lineRule="atLeast"/>
        <w:ind w:right="1477" w:firstLine="1415"/>
      </w:pPr>
      <w:r>
        <w:t>PART VIII: DETERMINATION OF INSUFFICIENT FUNDING 16-VIII.A. OVERVIEW</w:t>
      </w:r>
    </w:p>
    <w:p w:rsidR="004E13A5" w:rsidRDefault="00681463">
      <w:pPr>
        <w:pStyle w:val="BodyText"/>
        <w:ind w:right="174"/>
      </w:pPr>
      <w:r>
        <w:t>The HCV regulations allow PHAs to deny families permission to move and to terminate Housing Assistance Payments (HAP) contracts if funding under the consolidated ACC is insufficient to support continued assistance [24 CFR 982.314(e)(1) and 982.454]. If a PHA denies a family a portability move based on insufficient funding, the PHA is required to notify the local HUD office within 10 business days [24 CFR 982.354]. Insufficient funding may also impact the PHA’s ability to issue vouchers to families on the waiting list. This part discusses the methodology the PHA will use to determine whether or not the PHA has sufficient funding to issue vouchers, approve moves, and to continue subsidizing all families currently under a HAP contract.</w:t>
      </w:r>
    </w:p>
    <w:p w:rsidR="004E13A5" w:rsidRDefault="004E13A5">
      <w:pPr>
        <w:pStyle w:val="BodyText"/>
        <w:spacing w:before="9"/>
        <w:ind w:left="0"/>
        <w:rPr>
          <w:sz w:val="20"/>
        </w:rPr>
      </w:pPr>
    </w:p>
    <w:p w:rsidR="004E13A5" w:rsidRDefault="00681463">
      <w:pPr>
        <w:pStyle w:val="Heading4"/>
      </w:pPr>
      <w:bookmarkStart w:id="314" w:name="_TOC_250116"/>
      <w:bookmarkEnd w:id="314"/>
      <w:r>
        <w:t>16-VIII.B. METHODOLOGY</w:t>
      </w:r>
    </w:p>
    <w:p w:rsidR="004E13A5" w:rsidRDefault="00681463">
      <w:pPr>
        <w:pStyle w:val="BodyText"/>
        <w:spacing w:before="120"/>
        <w:ind w:left="820"/>
      </w:pPr>
      <w:r>
        <w:rPr>
          <w:u w:val="single"/>
        </w:rPr>
        <w:t>PHA Policy</w:t>
      </w:r>
    </w:p>
    <w:p w:rsidR="004E13A5" w:rsidRDefault="00681463">
      <w:pPr>
        <w:pStyle w:val="BodyText"/>
        <w:spacing w:before="120"/>
        <w:ind w:left="820" w:right="100"/>
      </w:pPr>
      <w:r>
        <w:t>The PHA will determine whether there is adequate funding to issue vouchers, approve moves to higher cost units and areas, and continue subsidizing all current participants by comparing the PHA’s annual budget authority to the annual total HAP needs on a monthly basis. The total HAP needs for the calendar year will be projected by establishing the actual HAP costs year to date. To that figure, the PHA will add anticipated HAP expenditures for the remainder of the calendar year. Projected HAP expenditures will be calculated by multiplying the projected number of units leased per remaining months by the most current</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1180" w:right="29"/>
      </w:pPr>
      <w:r>
        <w:lastRenderedPageBreak/>
        <w:t>month’s average HAP. The projected number of units leased per month will take into account the average monthly turnover of participant families. If the total annual HAP needs equal or exceed the annual budget authority and funding reserves, or if the PHA cannot support the cost of the proposed subsidy commitment (voucher issuance or move) based on the funding analysis, the PHA will be considered to have insufficient funding.</w:t>
      </w:r>
    </w:p>
    <w:p w:rsidR="004E13A5" w:rsidRDefault="004E13A5">
      <w:pPr>
        <w:pStyle w:val="BodyText"/>
        <w:spacing w:before="9"/>
        <w:ind w:left="0"/>
        <w:rPr>
          <w:sz w:val="20"/>
        </w:rPr>
      </w:pPr>
    </w:p>
    <w:p w:rsidR="004E13A5" w:rsidRDefault="00681463">
      <w:pPr>
        <w:pStyle w:val="Heading4"/>
        <w:spacing w:before="1"/>
        <w:ind w:left="2946" w:right="760" w:hanging="1767"/>
      </w:pPr>
      <w:bookmarkStart w:id="315" w:name="_TOC_250115"/>
      <w:bookmarkEnd w:id="315"/>
      <w:r>
        <w:t>PART IX: VIOLENCE AGAINST WOMEN ACT (VAWA): NOTIFICATION, DOCUMENTATION, CONFIDENTIALITY</w:t>
      </w:r>
    </w:p>
    <w:p w:rsidR="004E13A5" w:rsidRDefault="004E13A5">
      <w:pPr>
        <w:pStyle w:val="BodyText"/>
        <w:spacing w:before="0"/>
        <w:ind w:left="0"/>
        <w:rPr>
          <w:b/>
          <w:sz w:val="13"/>
        </w:rPr>
      </w:pPr>
    </w:p>
    <w:p w:rsidR="004E13A5" w:rsidRDefault="00681463">
      <w:pPr>
        <w:pStyle w:val="Heading4"/>
        <w:spacing w:before="90"/>
        <w:ind w:left="460"/>
      </w:pPr>
      <w:bookmarkStart w:id="316" w:name="_TOC_250114"/>
      <w:bookmarkEnd w:id="316"/>
      <w:r>
        <w:t>16-IX.A. OVERVIEW</w:t>
      </w:r>
    </w:p>
    <w:p w:rsidR="004E13A5" w:rsidRDefault="00681463">
      <w:pPr>
        <w:pStyle w:val="BodyText"/>
        <w:ind w:left="460" w:right="356"/>
      </w:pPr>
      <w:r>
        <w:t>The Violence against Women Act of 2013 (VAWA) provides special protections for victims of domestic violence, dating violence, sexual assault and stalking who are applying for or receiving assistance under the housing choice voucher (HCV) program. If your state or local laws provide greater protection for such victims, those laws apply in conjunction with VAWA.</w:t>
      </w:r>
    </w:p>
    <w:p w:rsidR="004E13A5" w:rsidRDefault="00681463">
      <w:pPr>
        <w:pStyle w:val="BodyText"/>
        <w:spacing w:before="120"/>
        <w:ind w:left="460" w:right="135"/>
      </w:pPr>
      <w:r>
        <w:t>In addition to definitions of key terms used in VAWA, this part contains general VAWA requirements and PHA policies in three areas: notification, documentation, and confidentiality. Specific VAWA requirements and PHA policies are located primarily in the following sections: 3- I.C, “Family Breakup and Remaining Member of Tenant Family”; 3-III.G, “Prohibition against Denial of Assistance to Victims of Domestic Violence, Dating Violence, and Stalking”; 10-I.A, “Allowable Moves”; 10-I.B, “Restrictions on Moves”; 12-II.E, “Terminations Related to Domestic Violence, Dating Violence, or Stalking”; and 12-II.F, “Termination Notice.”</w:t>
      </w:r>
    </w:p>
    <w:p w:rsidR="004E13A5" w:rsidRDefault="004E13A5">
      <w:pPr>
        <w:pStyle w:val="BodyText"/>
        <w:spacing w:before="9"/>
        <w:ind w:left="0"/>
        <w:rPr>
          <w:sz w:val="20"/>
        </w:rPr>
      </w:pPr>
    </w:p>
    <w:p w:rsidR="004E13A5" w:rsidRDefault="00681463">
      <w:pPr>
        <w:pStyle w:val="Heading4"/>
        <w:spacing w:before="1"/>
        <w:ind w:left="460"/>
      </w:pPr>
      <w:r>
        <w:t>16-IX.B. DEFINITIONS [24 CFR 5.2003, 42 USC 13925]</w:t>
      </w:r>
    </w:p>
    <w:p w:rsidR="004E13A5" w:rsidRDefault="00681463">
      <w:pPr>
        <w:pStyle w:val="BodyText"/>
        <w:spacing w:before="120"/>
        <w:ind w:left="460"/>
      </w:pPr>
      <w:r>
        <w:t>As used in VAWA:</w:t>
      </w:r>
    </w:p>
    <w:p w:rsidR="004E13A5" w:rsidRDefault="00681463">
      <w:pPr>
        <w:pStyle w:val="ListParagraph"/>
        <w:numPr>
          <w:ilvl w:val="0"/>
          <w:numId w:val="93"/>
        </w:numPr>
        <w:tabs>
          <w:tab w:val="left" w:pos="820"/>
          <w:tab w:val="left" w:pos="821"/>
        </w:tabs>
        <w:ind w:left="820" w:right="217" w:hanging="720"/>
        <w:rPr>
          <w:rFonts w:ascii="Symbol" w:hAnsi="Symbol"/>
          <w:sz w:val="24"/>
        </w:rPr>
      </w:pPr>
      <w:r>
        <w:rPr>
          <w:sz w:val="24"/>
        </w:rPr>
        <w:t xml:space="preserve">The term </w:t>
      </w:r>
      <w:r>
        <w:rPr>
          <w:i/>
          <w:sz w:val="24"/>
        </w:rPr>
        <w:t xml:space="preserve">bifurcate </w:t>
      </w:r>
      <w:r>
        <w:rPr>
          <w:sz w:val="24"/>
        </w:rPr>
        <w:t>means, with respect to a public housing or Section 8 lease, to divide a</w:t>
      </w:r>
      <w:r>
        <w:rPr>
          <w:spacing w:val="-17"/>
          <w:sz w:val="24"/>
        </w:rPr>
        <w:t xml:space="preserve"> </w:t>
      </w:r>
      <w:r>
        <w:rPr>
          <w:sz w:val="24"/>
        </w:rPr>
        <w:t>lease as a matter of law such that certain tenants can be evicted or removed while the remaining family members’ lease and occupancy rights are allowed to remain</w:t>
      </w:r>
      <w:r>
        <w:rPr>
          <w:spacing w:val="-15"/>
          <w:sz w:val="24"/>
        </w:rPr>
        <w:t xml:space="preserve"> </w:t>
      </w:r>
      <w:r>
        <w:rPr>
          <w:sz w:val="24"/>
        </w:rPr>
        <w:t>intact.</w:t>
      </w:r>
    </w:p>
    <w:p w:rsidR="004E13A5" w:rsidRDefault="00681463">
      <w:pPr>
        <w:pStyle w:val="ListParagraph"/>
        <w:numPr>
          <w:ilvl w:val="0"/>
          <w:numId w:val="93"/>
        </w:numPr>
        <w:tabs>
          <w:tab w:val="left" w:pos="821"/>
        </w:tabs>
        <w:ind w:left="820" w:right="197" w:hanging="720"/>
        <w:jc w:val="both"/>
        <w:rPr>
          <w:rFonts w:ascii="Symbol"/>
          <w:sz w:val="24"/>
        </w:rPr>
      </w:pPr>
      <w:r>
        <w:rPr>
          <w:sz w:val="24"/>
        </w:rPr>
        <w:t xml:space="preserve">The term </w:t>
      </w:r>
      <w:r>
        <w:rPr>
          <w:i/>
          <w:sz w:val="24"/>
        </w:rPr>
        <w:t xml:space="preserve">dating violence </w:t>
      </w:r>
      <w:r>
        <w:rPr>
          <w:sz w:val="24"/>
        </w:rPr>
        <w:t>means violence committed by a person who is or has been in a social relationship of a romantic or intimate nature with the victim; and where the existence of such</w:t>
      </w:r>
      <w:r>
        <w:rPr>
          <w:spacing w:val="-14"/>
          <w:sz w:val="24"/>
        </w:rPr>
        <w:t xml:space="preserve"> </w:t>
      </w:r>
      <w:r>
        <w:rPr>
          <w:sz w:val="24"/>
        </w:rPr>
        <w:t>a relationship shall be determined based on a consideration of the following</w:t>
      </w:r>
      <w:r>
        <w:rPr>
          <w:spacing w:val="-16"/>
          <w:sz w:val="24"/>
        </w:rPr>
        <w:t xml:space="preserve"> </w:t>
      </w:r>
      <w:r>
        <w:rPr>
          <w:sz w:val="24"/>
        </w:rPr>
        <w:t>factors:</w:t>
      </w:r>
    </w:p>
    <w:p w:rsidR="004E13A5" w:rsidRDefault="00681463">
      <w:pPr>
        <w:pStyle w:val="ListParagraph"/>
        <w:numPr>
          <w:ilvl w:val="1"/>
          <w:numId w:val="93"/>
        </w:numPr>
        <w:tabs>
          <w:tab w:val="left" w:pos="1900"/>
          <w:tab w:val="left" w:pos="1901"/>
        </w:tabs>
        <w:spacing w:before="118"/>
        <w:ind w:left="1900"/>
        <w:rPr>
          <w:sz w:val="24"/>
        </w:rPr>
      </w:pPr>
      <w:r>
        <w:rPr>
          <w:sz w:val="24"/>
        </w:rPr>
        <w:t>The length of the</w:t>
      </w:r>
      <w:r>
        <w:rPr>
          <w:spacing w:val="-6"/>
          <w:sz w:val="24"/>
        </w:rPr>
        <w:t xml:space="preserve"> </w:t>
      </w:r>
      <w:r>
        <w:rPr>
          <w:sz w:val="24"/>
        </w:rPr>
        <w:t>relationship</w:t>
      </w:r>
    </w:p>
    <w:p w:rsidR="004E13A5" w:rsidRDefault="00681463">
      <w:pPr>
        <w:pStyle w:val="ListParagraph"/>
        <w:numPr>
          <w:ilvl w:val="1"/>
          <w:numId w:val="93"/>
        </w:numPr>
        <w:tabs>
          <w:tab w:val="left" w:pos="1900"/>
          <w:tab w:val="left" w:pos="1901"/>
        </w:tabs>
        <w:spacing w:before="120"/>
        <w:ind w:left="1900"/>
        <w:rPr>
          <w:sz w:val="24"/>
        </w:rPr>
      </w:pPr>
      <w:r>
        <w:rPr>
          <w:sz w:val="24"/>
        </w:rPr>
        <w:t>The type of</w:t>
      </w:r>
      <w:r>
        <w:rPr>
          <w:spacing w:val="-6"/>
          <w:sz w:val="24"/>
        </w:rPr>
        <w:t xml:space="preserve"> </w:t>
      </w:r>
      <w:r>
        <w:rPr>
          <w:sz w:val="24"/>
        </w:rPr>
        <w:t>relationship</w:t>
      </w:r>
    </w:p>
    <w:p w:rsidR="004E13A5" w:rsidRDefault="00681463">
      <w:pPr>
        <w:pStyle w:val="ListParagraph"/>
        <w:numPr>
          <w:ilvl w:val="1"/>
          <w:numId w:val="93"/>
        </w:numPr>
        <w:tabs>
          <w:tab w:val="left" w:pos="1900"/>
          <w:tab w:val="left" w:pos="1901"/>
        </w:tabs>
        <w:spacing w:before="118"/>
        <w:ind w:left="1900"/>
        <w:rPr>
          <w:sz w:val="24"/>
        </w:rPr>
      </w:pPr>
      <w:r>
        <w:rPr>
          <w:sz w:val="24"/>
        </w:rPr>
        <w:t>The frequency of interaction between the persons involved in the</w:t>
      </w:r>
      <w:r>
        <w:rPr>
          <w:spacing w:val="-12"/>
          <w:sz w:val="24"/>
        </w:rPr>
        <w:t xml:space="preserve"> </w:t>
      </w:r>
      <w:r>
        <w:rPr>
          <w:sz w:val="24"/>
        </w:rPr>
        <w:t>relationship</w:t>
      </w:r>
    </w:p>
    <w:p w:rsidR="004E13A5" w:rsidRDefault="00681463">
      <w:pPr>
        <w:pStyle w:val="ListParagraph"/>
        <w:numPr>
          <w:ilvl w:val="0"/>
          <w:numId w:val="93"/>
        </w:numPr>
        <w:tabs>
          <w:tab w:val="left" w:pos="820"/>
          <w:tab w:val="left" w:pos="821"/>
        </w:tabs>
        <w:ind w:left="820" w:right="100" w:hanging="720"/>
        <w:rPr>
          <w:rFonts w:ascii="Symbol" w:hAnsi="Symbol"/>
          <w:sz w:val="24"/>
        </w:rPr>
      </w:pPr>
      <w:r>
        <w:rPr>
          <w:sz w:val="24"/>
        </w:rPr>
        <w:t xml:space="preserve">The term </w:t>
      </w:r>
      <w:r>
        <w:rPr>
          <w:i/>
          <w:sz w:val="24"/>
        </w:rPr>
        <w:t xml:space="preserve">domestic violence </w:t>
      </w:r>
      <w:r>
        <w:rPr>
          <w:sz w:val="24"/>
        </w:rPr>
        <w:t>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w:t>
      </w:r>
      <w:r>
        <w:rPr>
          <w:spacing w:val="-10"/>
          <w:sz w:val="24"/>
        </w:rPr>
        <w:t xml:space="preserve"> </w:t>
      </w:r>
      <w:r>
        <w:rPr>
          <w:sz w:val="24"/>
        </w:rPr>
        <w:t>jurisdiction.</w:t>
      </w:r>
    </w:p>
    <w:p w:rsidR="004E13A5" w:rsidRDefault="00681463">
      <w:pPr>
        <w:pStyle w:val="ListParagraph"/>
        <w:numPr>
          <w:ilvl w:val="0"/>
          <w:numId w:val="93"/>
        </w:numPr>
        <w:tabs>
          <w:tab w:val="left" w:pos="820"/>
          <w:tab w:val="left" w:pos="821"/>
        </w:tabs>
        <w:ind w:left="820" w:hanging="720"/>
        <w:rPr>
          <w:rFonts w:ascii="Symbol"/>
          <w:sz w:val="24"/>
        </w:rPr>
      </w:pPr>
      <w:r>
        <w:rPr>
          <w:sz w:val="24"/>
        </w:rPr>
        <w:t xml:space="preserve">The term </w:t>
      </w:r>
      <w:r>
        <w:rPr>
          <w:i/>
          <w:sz w:val="24"/>
        </w:rPr>
        <w:t xml:space="preserve">affiliated individual  </w:t>
      </w:r>
      <w:r>
        <w:rPr>
          <w:sz w:val="24"/>
        </w:rPr>
        <w:t>means, with respect to a</w:t>
      </w:r>
      <w:r>
        <w:rPr>
          <w:spacing w:val="-10"/>
          <w:sz w:val="24"/>
        </w:rPr>
        <w:t xml:space="preserve"> </w:t>
      </w:r>
      <w:r>
        <w:rPr>
          <w:sz w:val="24"/>
        </w:rPr>
        <w:t>person:</w:t>
      </w:r>
    </w:p>
    <w:p w:rsidR="004E13A5" w:rsidRDefault="00681463">
      <w:pPr>
        <w:pStyle w:val="ListParagraph"/>
        <w:numPr>
          <w:ilvl w:val="1"/>
          <w:numId w:val="93"/>
        </w:numPr>
        <w:tabs>
          <w:tab w:val="left" w:pos="1900"/>
          <w:tab w:val="left" w:pos="1901"/>
        </w:tabs>
        <w:spacing w:before="120"/>
        <w:ind w:left="1900" w:right="511"/>
        <w:rPr>
          <w:sz w:val="24"/>
        </w:rPr>
      </w:pPr>
      <w:r>
        <w:rPr>
          <w:sz w:val="24"/>
        </w:rPr>
        <w:t>A spouse, parent, brother or sister, or child of that individual, or an individual to whom that individual stands in the position or place of a parent;</w:t>
      </w:r>
      <w:r>
        <w:rPr>
          <w:spacing w:val="-6"/>
          <w:sz w:val="24"/>
        </w:rPr>
        <w:t xml:space="preserve"> </w:t>
      </w:r>
      <w:r>
        <w:rPr>
          <w:sz w:val="24"/>
        </w:rPr>
        <w:t>or</w:t>
      </w:r>
    </w:p>
    <w:p w:rsidR="004E13A5" w:rsidRDefault="004E13A5">
      <w:pPr>
        <w:rPr>
          <w:sz w:val="24"/>
        </w:rPr>
        <w:sectPr w:rsidR="004E13A5">
          <w:pgSz w:w="12240" w:h="15840"/>
          <w:pgMar w:top="1000" w:right="1260" w:bottom="1240" w:left="860" w:header="0" w:footer="998" w:gutter="0"/>
          <w:cols w:space="720"/>
        </w:sectPr>
      </w:pPr>
    </w:p>
    <w:p w:rsidR="004E13A5" w:rsidRDefault="00681463">
      <w:pPr>
        <w:pStyle w:val="ListParagraph"/>
        <w:numPr>
          <w:ilvl w:val="1"/>
          <w:numId w:val="93"/>
        </w:numPr>
        <w:tabs>
          <w:tab w:val="left" w:pos="1900"/>
          <w:tab w:val="left" w:pos="1901"/>
        </w:tabs>
        <w:spacing w:before="78"/>
        <w:ind w:left="1900" w:right="117"/>
        <w:rPr>
          <w:sz w:val="24"/>
        </w:rPr>
      </w:pPr>
      <w:r>
        <w:rPr>
          <w:sz w:val="24"/>
        </w:rPr>
        <w:lastRenderedPageBreak/>
        <w:t>Any other individual, tenant or lawful occupant living in the household of the victim of domestic violence, dating violence, sexual assault, or</w:t>
      </w:r>
      <w:r>
        <w:rPr>
          <w:spacing w:val="-7"/>
          <w:sz w:val="24"/>
        </w:rPr>
        <w:t xml:space="preserve"> </w:t>
      </w:r>
      <w:r>
        <w:rPr>
          <w:sz w:val="24"/>
        </w:rPr>
        <w:t>stalking.</w:t>
      </w:r>
    </w:p>
    <w:p w:rsidR="004E13A5" w:rsidRDefault="00681463">
      <w:pPr>
        <w:pStyle w:val="ListParagraph"/>
        <w:numPr>
          <w:ilvl w:val="0"/>
          <w:numId w:val="93"/>
        </w:numPr>
        <w:tabs>
          <w:tab w:val="left" w:pos="820"/>
          <w:tab w:val="left" w:pos="821"/>
        </w:tabs>
        <w:spacing w:before="120"/>
        <w:ind w:left="820" w:hanging="720"/>
        <w:rPr>
          <w:rFonts w:ascii="Symbol"/>
          <w:sz w:val="24"/>
        </w:rPr>
      </w:pPr>
      <w:r>
        <w:rPr>
          <w:sz w:val="24"/>
        </w:rPr>
        <w:t xml:space="preserve">The term </w:t>
      </w:r>
      <w:r>
        <w:rPr>
          <w:i/>
          <w:sz w:val="24"/>
        </w:rPr>
        <w:t>sexual assault</w:t>
      </w:r>
      <w:r>
        <w:rPr>
          <w:i/>
          <w:spacing w:val="-5"/>
          <w:sz w:val="24"/>
        </w:rPr>
        <w:t xml:space="preserve"> </w:t>
      </w:r>
      <w:r>
        <w:rPr>
          <w:sz w:val="24"/>
        </w:rPr>
        <w:t>means:</w:t>
      </w:r>
    </w:p>
    <w:p w:rsidR="004E13A5" w:rsidRDefault="00681463">
      <w:pPr>
        <w:pStyle w:val="ListParagraph"/>
        <w:numPr>
          <w:ilvl w:val="1"/>
          <w:numId w:val="93"/>
        </w:numPr>
        <w:tabs>
          <w:tab w:val="left" w:pos="1900"/>
          <w:tab w:val="left" w:pos="1901"/>
        </w:tabs>
        <w:spacing w:before="120"/>
        <w:ind w:left="1900" w:right="362"/>
        <w:rPr>
          <w:sz w:val="24"/>
        </w:rPr>
      </w:pPr>
      <w:r>
        <w:rPr>
          <w:sz w:val="24"/>
        </w:rPr>
        <w:t>Any nonconsensual sexual act proscribed by federal, tribal, or state law,</w:t>
      </w:r>
      <w:r>
        <w:rPr>
          <w:spacing w:val="-13"/>
          <w:sz w:val="24"/>
        </w:rPr>
        <w:t xml:space="preserve"> </w:t>
      </w:r>
      <w:r>
        <w:rPr>
          <w:sz w:val="24"/>
        </w:rPr>
        <w:t>including when the victim lacks the capacity to</w:t>
      </w:r>
      <w:r>
        <w:rPr>
          <w:spacing w:val="-9"/>
          <w:sz w:val="24"/>
        </w:rPr>
        <w:t xml:space="preserve"> </w:t>
      </w:r>
      <w:r>
        <w:rPr>
          <w:sz w:val="24"/>
        </w:rPr>
        <w:t>consent</w:t>
      </w:r>
    </w:p>
    <w:p w:rsidR="004E13A5" w:rsidRDefault="00681463">
      <w:pPr>
        <w:pStyle w:val="ListParagraph"/>
        <w:numPr>
          <w:ilvl w:val="0"/>
          <w:numId w:val="93"/>
        </w:numPr>
        <w:tabs>
          <w:tab w:val="left" w:pos="820"/>
          <w:tab w:val="left" w:pos="821"/>
        </w:tabs>
        <w:ind w:left="820" w:hanging="720"/>
        <w:rPr>
          <w:rFonts w:ascii="Symbol"/>
          <w:sz w:val="24"/>
        </w:rPr>
      </w:pPr>
      <w:r>
        <w:rPr>
          <w:sz w:val="24"/>
        </w:rPr>
        <w:t xml:space="preserve">The term </w:t>
      </w:r>
      <w:r>
        <w:rPr>
          <w:i/>
          <w:sz w:val="24"/>
        </w:rPr>
        <w:t>stalking</w:t>
      </w:r>
      <w:r>
        <w:rPr>
          <w:i/>
          <w:spacing w:val="-6"/>
          <w:sz w:val="24"/>
        </w:rPr>
        <w:t xml:space="preserve"> </w:t>
      </w:r>
      <w:r>
        <w:rPr>
          <w:sz w:val="24"/>
        </w:rPr>
        <w:t>means:</w:t>
      </w:r>
    </w:p>
    <w:p w:rsidR="004E13A5" w:rsidRDefault="00681463">
      <w:pPr>
        <w:pStyle w:val="ListParagraph"/>
        <w:numPr>
          <w:ilvl w:val="1"/>
          <w:numId w:val="93"/>
        </w:numPr>
        <w:tabs>
          <w:tab w:val="left" w:pos="1900"/>
          <w:tab w:val="left" w:pos="1901"/>
        </w:tabs>
        <w:spacing w:before="238"/>
        <w:ind w:left="1900" w:right="182"/>
        <w:rPr>
          <w:sz w:val="24"/>
        </w:rPr>
      </w:pPr>
      <w:r>
        <w:rPr>
          <w:sz w:val="24"/>
        </w:rPr>
        <w:t>To engage in a course of conduct directed at a specific person that would cause a reasonable person to fear for their safety or the safety of others, or suffer</w:t>
      </w:r>
      <w:r>
        <w:rPr>
          <w:spacing w:val="-15"/>
          <w:sz w:val="24"/>
        </w:rPr>
        <w:t xml:space="preserve"> </w:t>
      </w:r>
      <w:r>
        <w:rPr>
          <w:sz w:val="24"/>
        </w:rPr>
        <w:t>substantial emotional</w:t>
      </w:r>
      <w:r>
        <w:rPr>
          <w:spacing w:val="-5"/>
          <w:sz w:val="24"/>
        </w:rPr>
        <w:t xml:space="preserve"> </w:t>
      </w:r>
      <w:r>
        <w:rPr>
          <w:sz w:val="24"/>
        </w:rPr>
        <w:t>distress.</w:t>
      </w:r>
    </w:p>
    <w:p w:rsidR="004E13A5" w:rsidRDefault="004E13A5">
      <w:pPr>
        <w:pStyle w:val="BodyText"/>
        <w:spacing w:before="9"/>
        <w:ind w:left="0"/>
        <w:rPr>
          <w:sz w:val="20"/>
        </w:rPr>
      </w:pPr>
    </w:p>
    <w:p w:rsidR="004E13A5" w:rsidRDefault="00681463">
      <w:pPr>
        <w:pStyle w:val="Heading4"/>
        <w:spacing w:before="1"/>
        <w:ind w:left="460"/>
      </w:pPr>
      <w:r>
        <w:t>6-IX.C. NOTIFICATION [24 CFR 5.2005(a)]</w:t>
      </w:r>
    </w:p>
    <w:p w:rsidR="004E13A5" w:rsidRDefault="00681463">
      <w:pPr>
        <w:pStyle w:val="Heading4"/>
        <w:spacing w:before="120"/>
        <w:ind w:left="460"/>
      </w:pPr>
      <w:bookmarkStart w:id="317" w:name="_TOC_250113"/>
      <w:bookmarkEnd w:id="317"/>
      <w:r>
        <w:t>Notification to Public</w:t>
      </w:r>
    </w:p>
    <w:p w:rsidR="004E13A5" w:rsidRDefault="00681463">
      <w:pPr>
        <w:pStyle w:val="BodyText"/>
        <w:spacing w:before="120"/>
        <w:ind w:left="460" w:right="155"/>
      </w:pPr>
      <w:r>
        <w:t>The PHA adopts the following policy to help ensure that all actual and potential beneficiaries of its HCV program are aware of their rights under VAWA.</w:t>
      </w:r>
    </w:p>
    <w:p w:rsidR="004E13A5" w:rsidRDefault="00681463">
      <w:pPr>
        <w:pStyle w:val="BodyText"/>
        <w:ind w:left="1180"/>
      </w:pPr>
      <w:r>
        <w:rPr>
          <w:u w:val="single"/>
        </w:rPr>
        <w:t>PHA Policy</w:t>
      </w:r>
    </w:p>
    <w:p w:rsidR="004E13A5" w:rsidRDefault="00681463">
      <w:pPr>
        <w:pStyle w:val="BodyText"/>
        <w:ind w:left="1180"/>
      </w:pPr>
      <w:r>
        <w:t>The PHA will post the following information regarding VAWA in its offices and on its website. It will also make the information readily available to anyone who requests it.</w:t>
      </w:r>
    </w:p>
    <w:p w:rsidR="004E13A5" w:rsidRDefault="00681463">
      <w:pPr>
        <w:pStyle w:val="BodyText"/>
        <w:ind w:left="1900" w:right="249"/>
      </w:pPr>
      <w:r>
        <w:t>A copy of the notice of occupancy rights under VAWA to housing choice voucher program applicants and participants who are or have been victims of domestic violence, dating violence, sexual assault, or stalking (Form HUD-5380, see Exhibit 16-1)</w:t>
      </w:r>
    </w:p>
    <w:p w:rsidR="004E13A5" w:rsidRDefault="00681463">
      <w:pPr>
        <w:pStyle w:val="BodyText"/>
        <w:ind w:left="1900"/>
      </w:pPr>
      <w:r>
        <w:t>A copy of form HUD-5382, Certification of Domestic Violence, Dating Violence, Sexual Assault, or Stalking and Alternate Documentation (see Exhibit 16-2)</w:t>
      </w:r>
    </w:p>
    <w:p w:rsidR="004E13A5" w:rsidRDefault="00681463">
      <w:pPr>
        <w:pStyle w:val="BodyText"/>
        <w:ind w:left="1900"/>
      </w:pPr>
      <w:r>
        <w:t>A copy of the PHA’s emergency transfer plan (Exhibit 16-3)</w:t>
      </w:r>
    </w:p>
    <w:p w:rsidR="004E13A5" w:rsidRDefault="00681463">
      <w:pPr>
        <w:pStyle w:val="BodyText"/>
        <w:ind w:left="1900" w:right="250"/>
      </w:pPr>
      <w:r>
        <w:t>A copy of HUD’s Emergency Transfer Request for Certain Victims of Domestic Violence, Dating, Violence, Sexual Assault, or Stalking, Form HUD-5383 (Exhibit 16-4)</w:t>
      </w:r>
    </w:p>
    <w:p w:rsidR="004E13A5" w:rsidRDefault="00681463">
      <w:pPr>
        <w:pStyle w:val="BodyText"/>
        <w:ind w:left="1900" w:right="1400"/>
      </w:pPr>
      <w:r>
        <w:t>The National Domestic Violence Hot Line: 1-800-799-SAFE (7233) or 1-800-787-3224 (TTY) (included in Exhibits 16-1 and 16-2)</w:t>
      </w:r>
    </w:p>
    <w:p w:rsidR="004E13A5" w:rsidRDefault="00681463">
      <w:pPr>
        <w:pStyle w:val="BodyText"/>
        <w:ind w:left="1900"/>
      </w:pPr>
      <w:r>
        <w:t>Contact information for local victim advocacy groups or service providers</w:t>
      </w:r>
    </w:p>
    <w:p w:rsidR="004E13A5" w:rsidRDefault="00681463">
      <w:pPr>
        <w:pStyle w:val="Heading4"/>
        <w:spacing w:before="119"/>
        <w:ind w:left="460"/>
      </w:pPr>
      <w:r>
        <w:t>Notification to Program Applicants and Participants [24 CFR 5.2005(a)(1)]</w:t>
      </w:r>
    </w:p>
    <w:p w:rsidR="004E13A5" w:rsidRDefault="00681463">
      <w:pPr>
        <w:pStyle w:val="BodyText"/>
        <w:ind w:left="460" w:right="56"/>
      </w:pPr>
      <w:r>
        <w:t>PHAs are required to inform program applicants and participants of their rights under VAWA, including their right to confidentiality and the limits thereof, when they are denied assistance, when they are admitted to the program, and when they are notified of an eviction or termination of housing benefits.</w:t>
      </w:r>
    </w:p>
    <w:p w:rsidR="004E13A5" w:rsidRDefault="004E13A5">
      <w:pPr>
        <w:pStyle w:val="BodyText"/>
        <w:spacing w:before="0"/>
        <w:ind w:left="0"/>
        <w:rPr>
          <w:sz w:val="26"/>
        </w:rPr>
      </w:pPr>
    </w:p>
    <w:p w:rsidR="004E13A5" w:rsidRDefault="00681463">
      <w:pPr>
        <w:pStyle w:val="BodyText"/>
        <w:spacing w:before="216"/>
        <w:ind w:left="1180"/>
      </w:pPr>
      <w:r>
        <w:rPr>
          <w:u w:val="single"/>
        </w:rPr>
        <w:t>PHA Policy</w:t>
      </w:r>
    </w:p>
    <w:p w:rsidR="004E13A5" w:rsidRDefault="00681463">
      <w:pPr>
        <w:pStyle w:val="BodyText"/>
        <w:ind w:left="1180" w:right="88"/>
      </w:pPr>
      <w:r>
        <w:t>The PHA will provide all applicants with information about VAWA at the time they request an application for housing assistance, as part of the written briefing packet, and at the time</w:t>
      </w:r>
    </w:p>
    <w:p w:rsidR="004E13A5" w:rsidRDefault="004E13A5">
      <w:pPr>
        <w:sectPr w:rsidR="004E13A5">
          <w:pgSz w:w="12240" w:h="15840"/>
          <w:pgMar w:top="1000" w:right="1240" w:bottom="1240" w:left="860" w:header="0" w:footer="998" w:gutter="0"/>
          <w:cols w:space="720"/>
        </w:sectPr>
      </w:pPr>
    </w:p>
    <w:p w:rsidR="004E13A5" w:rsidRDefault="00681463">
      <w:pPr>
        <w:pStyle w:val="BodyText"/>
        <w:spacing w:before="79"/>
        <w:ind w:left="820" w:right="115"/>
      </w:pPr>
      <w:r>
        <w:lastRenderedPageBreak/>
        <w:t>the family is admitted to the program. The PHA will also include information about VAWA in all notices of denial of assistance (see section 3-III.G).</w:t>
      </w:r>
    </w:p>
    <w:p w:rsidR="004E13A5" w:rsidRDefault="00681463">
      <w:pPr>
        <w:pStyle w:val="BodyText"/>
        <w:spacing w:before="120"/>
        <w:ind w:left="820" w:right="135"/>
      </w:pPr>
      <w:r>
        <w:t>The PHA will provide all participants with information about VAWA at the time of admission (see section 5-I.B) and at annual reexamination. The PHA will also include information about VAWA in notices of termination of assistance, as provided in section 12- II.F.</w:t>
      </w:r>
    </w:p>
    <w:p w:rsidR="004E13A5" w:rsidRDefault="00681463">
      <w:pPr>
        <w:pStyle w:val="BodyText"/>
        <w:ind w:left="820" w:right="142"/>
      </w:pPr>
      <w:r>
        <w:t>The VAWA information provided to applicants and participants will consist of the notice in Exhibits 16-1 and 16-2</w:t>
      </w:r>
    </w:p>
    <w:p w:rsidR="004E13A5" w:rsidRDefault="00681463">
      <w:pPr>
        <w:pStyle w:val="BodyText"/>
        <w:ind w:right="109"/>
      </w:pPr>
      <w:r>
        <w:t>The PHA is not limited to providing VAWA information at the times specified in the above policy. If the PHA decides to provide VAWA information to a participant following an incident of domestic violence, Notice PIH 2017-08 cautions against sending the information by mail, since the abuser may be monitoring the mail. The notice recommends that in such cases the PHA make alternative delivery arrangements that will not put the victim at risk.</w:t>
      </w:r>
    </w:p>
    <w:p w:rsidR="004E13A5" w:rsidRDefault="00681463">
      <w:pPr>
        <w:pStyle w:val="BodyText"/>
        <w:spacing w:before="120"/>
        <w:ind w:left="820"/>
      </w:pPr>
      <w:r>
        <w:rPr>
          <w:u w:val="single"/>
        </w:rPr>
        <w:t>PHA Policy</w:t>
      </w:r>
    </w:p>
    <w:p w:rsidR="004E13A5" w:rsidRDefault="00681463">
      <w:pPr>
        <w:pStyle w:val="BodyText"/>
        <w:ind w:left="820" w:right="109"/>
      </w:pPr>
      <w:r>
        <w:t>Whenever the PHA has reason to suspect that providing information about VAWA to a participant might place a victim of domestic violence at risk, it will attempt to deliver the information by hand directly to the victim or by having the victim come to an office or</w:t>
      </w:r>
      <w:r>
        <w:rPr>
          <w:spacing w:val="-13"/>
        </w:rPr>
        <w:t xml:space="preserve"> </w:t>
      </w:r>
      <w:r>
        <w:t>other space that may be safer for the individual, making reasonable accommodations as necessary. For example, the PHA may decide not to send mail regarding</w:t>
      </w:r>
      <w:r>
        <w:rPr>
          <w:spacing w:val="-13"/>
        </w:rPr>
        <w:t xml:space="preserve"> </w:t>
      </w:r>
      <w:r>
        <w:t>VAWA</w:t>
      </w:r>
      <w:r>
        <w:rPr>
          <w:spacing w:val="-1"/>
        </w:rPr>
        <w:t xml:space="preserve"> </w:t>
      </w:r>
      <w:r>
        <w:t>protections to the victim’s unit if the PHA believes the perpetrator may have access to the victim’s mail, unless requested by the</w:t>
      </w:r>
      <w:r>
        <w:rPr>
          <w:spacing w:val="-7"/>
        </w:rPr>
        <w:t xml:space="preserve"> </w:t>
      </w:r>
      <w:r>
        <w:t>victim.</w:t>
      </w:r>
    </w:p>
    <w:p w:rsidR="004E13A5" w:rsidRDefault="00681463">
      <w:pPr>
        <w:pStyle w:val="BodyText"/>
        <w:ind w:left="820" w:right="223"/>
      </w:pPr>
      <w:r>
        <w:t>When discussing VAWA with the victim, the PHA will take reasonable precautions to ensure that no one can overhear the conversation, such as having conversations in a private room.</w:t>
      </w:r>
    </w:p>
    <w:p w:rsidR="004E13A5" w:rsidRDefault="00681463">
      <w:pPr>
        <w:pStyle w:val="BodyText"/>
        <w:spacing w:before="120"/>
        <w:ind w:left="820"/>
      </w:pPr>
      <w:r>
        <w:t>The victim may, but is not required to, designate an attorney, advocate, or other secure contact for communications regarding VAWA protections.</w:t>
      </w:r>
    </w:p>
    <w:p w:rsidR="004E13A5" w:rsidRDefault="00681463">
      <w:pPr>
        <w:pStyle w:val="BodyText"/>
        <w:spacing w:before="120"/>
        <w:ind w:right="135"/>
      </w:pPr>
      <w:r>
        <w:rPr>
          <w:b/>
        </w:rPr>
        <w:t xml:space="preserve">Notification to Owners and Managers </w:t>
      </w:r>
      <w:r>
        <w:t>While PHAs are no longer required by regulation to notify owners and managers participating in the HCV program of their rights and obligations under VAWA, the PHA may still choose to inform them.</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provide owners and managers with information about their rights and obligations under VAWA when they begin their participation in the program and at least annually thereafter.</w:t>
      </w:r>
    </w:p>
    <w:p w:rsidR="004E13A5" w:rsidRDefault="00681463">
      <w:pPr>
        <w:pStyle w:val="BodyText"/>
        <w:spacing w:before="120"/>
        <w:ind w:left="820" w:right="168"/>
      </w:pPr>
      <w:r>
        <w:t>The VAWA information provided to owners will consist of the notice in Exhibit 16-5 and a copy of form HUD-5382, Certification of Domestic Violence, Dating Violence,</w:t>
      </w:r>
    </w:p>
    <w:p w:rsidR="004E13A5" w:rsidRDefault="00681463">
      <w:pPr>
        <w:pStyle w:val="BodyText"/>
        <w:spacing w:before="0"/>
        <w:ind w:firstLine="719"/>
      </w:pPr>
      <w:r>
        <w:t>and Stalking and Alternate Documentation.</w:t>
      </w:r>
    </w:p>
    <w:p w:rsidR="004E13A5" w:rsidRDefault="004E13A5">
      <w:pPr>
        <w:pStyle w:val="BodyText"/>
        <w:spacing w:before="10"/>
        <w:ind w:left="0"/>
        <w:rPr>
          <w:sz w:val="20"/>
        </w:rPr>
      </w:pPr>
    </w:p>
    <w:p w:rsidR="004E13A5" w:rsidRDefault="00681463">
      <w:pPr>
        <w:pStyle w:val="Heading4"/>
      </w:pPr>
      <w:bookmarkStart w:id="318" w:name="_TOC_250112"/>
      <w:bookmarkEnd w:id="318"/>
      <w:r>
        <w:t>16-IX.D. DOCUMENTATION [24 CFR 5.2007]</w:t>
      </w:r>
    </w:p>
    <w:p w:rsidR="004E13A5" w:rsidRDefault="00681463">
      <w:pPr>
        <w:pStyle w:val="BodyText"/>
        <w:spacing w:before="120"/>
        <w:ind w:right="181"/>
      </w:pPr>
      <w:r>
        <w:t>A PHA presented with a claim for initial or continued assistance based on status as a victim of domestic violence, dating violence, sexual assault, stalking, or criminal activity related to any of these forms of abuse may—but is not required to—request that the individual making the claim document the abuse. Any request for documentation must be in writing, and the individual must be</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82"/>
      </w:pPr>
      <w:r>
        <w:lastRenderedPageBreak/>
        <w:t>allowed at least 14 business days after receipt of the request to submit the documentation. The PHA may extend this time period at its discretion. [24 CFR 5.2007(a)]</w:t>
      </w:r>
    </w:p>
    <w:p w:rsidR="004E13A5" w:rsidRDefault="00681463">
      <w:pPr>
        <w:pStyle w:val="BodyText"/>
        <w:spacing w:before="120"/>
        <w:ind w:right="141"/>
      </w:pPr>
      <w:r>
        <w:t>The individual may satisfy the PHA’s request by providing any one of the following three forms of documentation [24 CFR 5.2007(b)]:</w:t>
      </w:r>
    </w:p>
    <w:p w:rsidR="004E13A5" w:rsidRDefault="00681463">
      <w:pPr>
        <w:pStyle w:val="ListParagraph"/>
        <w:numPr>
          <w:ilvl w:val="0"/>
          <w:numId w:val="31"/>
        </w:numPr>
        <w:tabs>
          <w:tab w:val="left" w:pos="461"/>
        </w:tabs>
        <w:ind w:right="426"/>
        <w:rPr>
          <w:sz w:val="24"/>
        </w:rPr>
      </w:pPr>
      <w:r>
        <w:rPr>
          <w:sz w:val="24"/>
        </w:rPr>
        <w:t>A completed and signed HUD-approved certification form (HUD-5382, Certification of Domestic Violence, Dating Violence, Sexual Assault, or Stalking), which must include the name of the perpetrator only if the name of the perpetrator is safe to provide and is known to the victim. The form may be filled out and submitted on behalf of the</w:t>
      </w:r>
      <w:r>
        <w:rPr>
          <w:spacing w:val="-10"/>
          <w:sz w:val="24"/>
        </w:rPr>
        <w:t xml:space="preserve"> </w:t>
      </w:r>
      <w:r>
        <w:rPr>
          <w:sz w:val="24"/>
        </w:rPr>
        <w:t>victim.</w:t>
      </w:r>
    </w:p>
    <w:p w:rsidR="004E13A5" w:rsidRDefault="00681463">
      <w:pPr>
        <w:pStyle w:val="ListParagraph"/>
        <w:numPr>
          <w:ilvl w:val="0"/>
          <w:numId w:val="31"/>
        </w:numPr>
        <w:tabs>
          <w:tab w:val="left" w:pos="461"/>
        </w:tabs>
        <w:ind w:right="554"/>
        <w:rPr>
          <w:sz w:val="24"/>
        </w:rPr>
      </w:pPr>
      <w:r>
        <w:rPr>
          <w:sz w:val="24"/>
        </w:rPr>
        <w:t>A federal, state, tribal, territorial, or local police report or court record, or an administrative record.</w:t>
      </w:r>
    </w:p>
    <w:p w:rsidR="004E13A5" w:rsidRDefault="00681463">
      <w:pPr>
        <w:pStyle w:val="ListParagraph"/>
        <w:numPr>
          <w:ilvl w:val="0"/>
          <w:numId w:val="31"/>
        </w:numPr>
        <w:tabs>
          <w:tab w:val="left" w:pos="461"/>
        </w:tabs>
        <w:ind w:right="108"/>
        <w:rPr>
          <w:sz w:val="24"/>
        </w:rPr>
      </w:pPr>
      <w:r>
        <w:rPr>
          <w:sz w:val="24"/>
        </w:rPr>
        <w:t>Documentation signed by a person who has assisted the victim in addressing domestic</w:t>
      </w:r>
      <w:r>
        <w:rPr>
          <w:spacing w:val="-13"/>
          <w:sz w:val="24"/>
        </w:rPr>
        <w:t xml:space="preserve"> </w:t>
      </w:r>
      <w:r>
        <w:rPr>
          <w:sz w:val="24"/>
        </w:rPr>
        <w:t>violence, dating violence, sexual assault or stalking, or the effects of such abuse. This person may be an employee, agent, or volunteer of a victim service provider; an attorney; a mental health professional; or a medical professional.  The person signing the documentation must attest under penalty of perjury to the person’s belief that the incidents in question are bona fide incidents of abuse. The victim must also sign the</w:t>
      </w:r>
      <w:r>
        <w:rPr>
          <w:spacing w:val="-8"/>
          <w:sz w:val="24"/>
        </w:rPr>
        <w:t xml:space="preserve"> </w:t>
      </w:r>
      <w:r>
        <w:rPr>
          <w:sz w:val="24"/>
        </w:rPr>
        <w:t>documentation.</w:t>
      </w:r>
    </w:p>
    <w:p w:rsidR="004E13A5" w:rsidRDefault="00681463">
      <w:pPr>
        <w:pStyle w:val="BodyText"/>
        <w:ind w:right="489"/>
      </w:pPr>
      <w:r>
        <w:t>The PHA may not require third-party documentation (forms 2 and 3) in addition to certification (form 1), except as specified below under “Conflicting Documentation,” nor may it require certification in addition to third-party documentation [VAWA final rule].</w:t>
      </w:r>
    </w:p>
    <w:p w:rsidR="004E13A5" w:rsidRDefault="00681463">
      <w:pPr>
        <w:pStyle w:val="BodyText"/>
        <w:ind w:left="820"/>
      </w:pPr>
      <w:r>
        <w:rPr>
          <w:u w:val="single"/>
        </w:rPr>
        <w:t>PHA Policy</w:t>
      </w:r>
    </w:p>
    <w:p w:rsidR="004E13A5" w:rsidRDefault="00681463">
      <w:pPr>
        <w:pStyle w:val="BodyText"/>
        <w:ind w:left="820" w:right="143"/>
      </w:pPr>
      <w:r>
        <w:t>Any request for documentation of domestic violence, dating violence, sexual assault or stalking will be in writing, will specify a deadline of 14 business days following receipt of the request, will describe the three forms of acceptable documentation, will provide explicit instructions on where and to whom the documentation must be submitted, and will state the consequences for failure to submit the documentation or request an extension in writing by the deadline.</w:t>
      </w:r>
    </w:p>
    <w:p w:rsidR="004E13A5" w:rsidRDefault="00681463">
      <w:pPr>
        <w:pStyle w:val="BodyText"/>
        <w:ind w:left="820" w:right="321"/>
      </w:pPr>
      <w:r>
        <w:t>The PHA may, in its discretion, extend the deadline for 10 business days. In determining whether to extend the deadline, the PHA will consider factors that may contribute to the victim’s inability to provide documentation in a timely manner, including cognitive limitations, disabilities, limited English proficiency, absence from the unit, administrative delays, the danger of further violence, and the victim’s need to address health or safety issues.  Any extension granted by the PHA will be in writing.</w:t>
      </w:r>
    </w:p>
    <w:p w:rsidR="004E13A5" w:rsidRDefault="00681463">
      <w:pPr>
        <w:pStyle w:val="BodyText"/>
        <w:ind w:left="820" w:right="995"/>
      </w:pPr>
      <w:r>
        <w:t>Once the victim provides documentation, the PHA will acknowledge receipt of the documentation within 10 business days.</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37"/>
        </w:rPr>
      </w:pPr>
    </w:p>
    <w:p w:rsidR="004E13A5" w:rsidRDefault="00681463">
      <w:pPr>
        <w:pStyle w:val="Heading4"/>
        <w:spacing w:before="1"/>
      </w:pPr>
      <w:bookmarkStart w:id="319" w:name="_TOC_250111"/>
      <w:bookmarkEnd w:id="319"/>
      <w:r>
        <w:t>Conflicting Documentation [24 CFR 5.2007(e)]</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right="136"/>
      </w:pPr>
      <w:r>
        <w:lastRenderedPageBreak/>
        <w:t>In cases where the PHA receives conflicting certification documents from two or more members of a household, each claiming to be a victim and naming one or more of the other petitioning household members as the perpetrator, the PHA may determine which is the true victim by requiring each to provide acceptable third-party documentation, as described above (forms 2 and 3) The PHA may also request third-party documentation when submitted documentation contains information that conflicts with existing information already available to the PHA. Individuals have 30 calendar days to return third-party verification to the PHA. If the PHA does not receive third- party documentation, and the PHA will deny or terminate assistance as a result, the PHA must hold separate hearings for the tenants [Notice PIH 2017-08].</w:t>
      </w:r>
    </w:p>
    <w:p w:rsidR="004E13A5" w:rsidRDefault="00681463">
      <w:pPr>
        <w:pStyle w:val="BodyText"/>
        <w:spacing w:before="139"/>
        <w:ind w:right="275"/>
      </w:pPr>
      <w:r>
        <w:t>The PHA must honor any court orders issued to protect the victim or to address the distribution of property.</w:t>
      </w:r>
    </w:p>
    <w:p w:rsidR="004E13A5" w:rsidRDefault="00681463">
      <w:pPr>
        <w:pStyle w:val="BodyText"/>
        <w:spacing w:before="120"/>
        <w:ind w:left="820"/>
      </w:pPr>
      <w:r>
        <w:rPr>
          <w:u w:val="single"/>
        </w:rPr>
        <w:t>PHA Policy</w:t>
      </w:r>
    </w:p>
    <w:p w:rsidR="004E13A5" w:rsidRDefault="00681463">
      <w:pPr>
        <w:pStyle w:val="BodyText"/>
        <w:spacing w:before="120"/>
        <w:ind w:left="820"/>
      </w:pPr>
      <w:r>
        <w:t>If presented with conflicting certification documents from members of the same household, the PHA will attempt to determine which is the true victim by requiring each of them to provide third-party documentation in accordance with 24 CFR 5.2007(e) and by following any HUD guidance on how such determinations should be made.</w:t>
      </w:r>
    </w:p>
    <w:p w:rsidR="004E13A5" w:rsidRDefault="00681463">
      <w:pPr>
        <w:pStyle w:val="BodyText"/>
        <w:spacing w:before="120"/>
        <w:ind w:left="820" w:right="149"/>
        <w:jc w:val="both"/>
      </w:pPr>
      <w:r>
        <w:t>When requesting third-party documents, the PHA will provide contact information for local domestic violence and legal aid offices. In such cases, applicants or tenants will be given 30 calendar days from the date of the request to provide such documentation.</w:t>
      </w:r>
    </w:p>
    <w:p w:rsidR="004E13A5" w:rsidRDefault="00681463">
      <w:pPr>
        <w:pStyle w:val="BodyText"/>
        <w:spacing w:before="120"/>
        <w:ind w:left="820" w:right="183"/>
      </w:pPr>
      <w:r>
        <w:t>If the PHA does not receive third-party documentation within the required timeframe (and any extensions) the PHA will deny VAWA protections and will notify the applicant or tenant in writing of the denial. If, as a result, the applicant or tenant is denied or terminated from the program, the PHA will hold separate hearings for the applicants or tenants.</w:t>
      </w:r>
    </w:p>
    <w:p w:rsidR="004E13A5" w:rsidRDefault="004E13A5">
      <w:pPr>
        <w:pStyle w:val="BodyText"/>
        <w:spacing w:before="9"/>
        <w:ind w:left="0"/>
        <w:rPr>
          <w:sz w:val="20"/>
        </w:rPr>
      </w:pPr>
    </w:p>
    <w:p w:rsidR="004E13A5" w:rsidRDefault="00681463">
      <w:pPr>
        <w:pStyle w:val="Heading4"/>
        <w:spacing w:before="1"/>
      </w:pPr>
      <w:r>
        <w:t>Discretion to Require No Formal Documentation [24 CFR 5.2007(d)]</w:t>
      </w:r>
    </w:p>
    <w:p w:rsidR="004E13A5" w:rsidRDefault="00681463">
      <w:pPr>
        <w:pStyle w:val="BodyText"/>
        <w:spacing w:before="120"/>
        <w:ind w:right="242"/>
      </w:pPr>
      <w:r>
        <w:t>The PHA has the discretion to provide benefits to an individual based solely on the individual’s statement or other corroborating evidence—i.e., without requiring formal documentation of abuse in accordance with 24 CFR 5.2007(b). HUD recommends documentation in a confidential manner when a verbal statement or other evidence is accepted.</w:t>
      </w:r>
    </w:p>
    <w:p w:rsidR="004E13A5" w:rsidRDefault="00681463">
      <w:pPr>
        <w:pStyle w:val="BodyText"/>
        <w:ind w:left="820"/>
      </w:pPr>
      <w:r>
        <w:rPr>
          <w:u w:val="single"/>
        </w:rPr>
        <w:t>PHA Policy</w:t>
      </w:r>
    </w:p>
    <w:p w:rsidR="004E13A5" w:rsidRDefault="00681463">
      <w:pPr>
        <w:pStyle w:val="BodyText"/>
        <w:ind w:left="820" w:right="115"/>
      </w:pPr>
      <w:r>
        <w:t>If the PHA accepts an individual’s statement or other corroborating evidence (as</w:t>
      </w:r>
      <w:r>
        <w:rPr>
          <w:spacing w:val="-13"/>
        </w:rPr>
        <w:t xml:space="preserve"> </w:t>
      </w:r>
      <w:r>
        <w:t>determined by the victim) of domestic violence, dating violence, sexual assault or stalking, the PHA will document acceptance of the statement or evidence in the individual’s</w:t>
      </w:r>
      <w:r>
        <w:rPr>
          <w:spacing w:val="-7"/>
        </w:rPr>
        <w:t xml:space="preserve"> </w:t>
      </w:r>
      <w:r>
        <w:t>file.</w:t>
      </w:r>
    </w:p>
    <w:p w:rsidR="004E13A5" w:rsidRDefault="004E13A5">
      <w:pPr>
        <w:pStyle w:val="BodyText"/>
        <w:spacing w:before="9"/>
        <w:ind w:left="0"/>
        <w:rPr>
          <w:sz w:val="20"/>
        </w:rPr>
      </w:pPr>
    </w:p>
    <w:p w:rsidR="004E13A5" w:rsidRDefault="00681463">
      <w:pPr>
        <w:pStyle w:val="Heading4"/>
      </w:pPr>
      <w:bookmarkStart w:id="320" w:name="_TOC_250110"/>
      <w:bookmarkEnd w:id="320"/>
      <w:r>
        <w:t>Failure to Provide Documentation [24 CFR 5.2007(c)]</w:t>
      </w:r>
    </w:p>
    <w:p w:rsidR="004E13A5" w:rsidRDefault="00681463">
      <w:pPr>
        <w:pStyle w:val="BodyText"/>
        <w:ind w:right="255"/>
      </w:pPr>
      <w:r>
        <w:t>In order to deny relief for protection under VAWA, a PHA must provide the individual requesting relief with a written request for documentation of abuse. If the individual fails to provide the documentation within 14 business days from the date of receipt, or such longer time as the PHA may allow, the PHA may deny relief for protection under VAWA.</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8"/>
        <w:ind w:left="0"/>
        <w:rPr>
          <w:sz w:val="37"/>
        </w:rPr>
      </w:pPr>
    </w:p>
    <w:p w:rsidR="004E13A5" w:rsidRDefault="00681463">
      <w:pPr>
        <w:pStyle w:val="Heading4"/>
      </w:pPr>
      <w:bookmarkStart w:id="321" w:name="_TOC_250109"/>
      <w:bookmarkEnd w:id="321"/>
      <w:r>
        <w:t>16-IX.E. CONFIDENTIALITY [24 CFR 5.2007(b)(4)]</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105"/>
      </w:pPr>
      <w:r>
        <w:lastRenderedPageBreak/>
        <w:t>All information provided to the PHA regarding domestic violence, dating violence, sexual assault or stalking, including the fact that an individual is a victim of such violence or stalking, must be retained in confidence. This means that the PHA (1) may not enter the information into any shared database, (2) may not allow employees or others to access the information unless they are explicitly authorized to do so and have a need to know the information for purposes of their work, and (3) may not provide the information to any other entity or individual, except to the extent that the disclosure is (a) requested or consented to by the individual in writing, (b) required for use in an eviction proceeding, or (c) otherwise required by applicable</w:t>
      </w:r>
      <w:r>
        <w:rPr>
          <w:spacing w:val="-13"/>
        </w:rPr>
        <w:t xml:space="preserve"> </w:t>
      </w:r>
      <w:r>
        <w:t>law.</w:t>
      </w:r>
    </w:p>
    <w:p w:rsidR="004E13A5" w:rsidRDefault="004E13A5">
      <w:pPr>
        <w:pStyle w:val="BodyText"/>
        <w:spacing w:before="0"/>
        <w:ind w:left="0"/>
        <w:rPr>
          <w:sz w:val="26"/>
        </w:rPr>
      </w:pPr>
    </w:p>
    <w:p w:rsidR="004E13A5" w:rsidRDefault="00681463">
      <w:pPr>
        <w:pStyle w:val="BodyText"/>
        <w:spacing w:before="217"/>
        <w:ind w:left="820"/>
      </w:pPr>
      <w:r>
        <w:rPr>
          <w:u w:val="single"/>
        </w:rPr>
        <w:t>PHA Policy</w:t>
      </w:r>
    </w:p>
    <w:p w:rsidR="004E13A5" w:rsidRDefault="00681463">
      <w:pPr>
        <w:pStyle w:val="BodyText"/>
        <w:spacing w:before="120"/>
        <w:ind w:left="820"/>
      </w:pPr>
      <w:r>
        <w:t>If disclosure is required for use in an eviction proceeding or is otherwise required by applicable law, the PHA will inform the victim before disclosure occurs so that safety risks can be identified and addressed.</w:t>
      </w:r>
    </w:p>
    <w:p w:rsidR="004E13A5" w:rsidRDefault="004E13A5">
      <w:pPr>
        <w:sectPr w:rsidR="004E13A5">
          <w:pgSz w:w="12240" w:h="15840"/>
          <w:pgMar w:top="1000" w:right="1240" w:bottom="1240" w:left="1220" w:header="0" w:footer="998" w:gutter="0"/>
          <w:cols w:space="720"/>
        </w:sectPr>
      </w:pPr>
    </w:p>
    <w:p w:rsidR="004E13A5" w:rsidRDefault="004E13A5">
      <w:pPr>
        <w:pStyle w:val="BodyText"/>
        <w:spacing w:before="3"/>
        <w:ind w:left="0"/>
        <w:rPr>
          <w:sz w:val="8"/>
        </w:rPr>
      </w:pPr>
    </w:p>
    <w:p w:rsidR="004E13A5" w:rsidRDefault="00681463">
      <w:pPr>
        <w:ind w:left="102"/>
        <w:rPr>
          <w:sz w:val="20"/>
        </w:rPr>
      </w:pPr>
      <w:r>
        <w:rPr>
          <w:spacing w:val="-49"/>
          <w:sz w:val="20"/>
        </w:rPr>
        <w:t xml:space="preserve"> </w:t>
      </w:r>
      <w:r w:rsidR="003263D1">
        <w:rPr>
          <w:noProof/>
          <w:spacing w:val="-49"/>
          <w:sz w:val="20"/>
        </w:rPr>
        <mc:AlternateContent>
          <mc:Choice Requires="wps">
            <w:drawing>
              <wp:inline distT="0" distB="0" distL="0" distR="0">
                <wp:extent cx="6240780" cy="382905"/>
                <wp:effectExtent l="9525" t="9525" r="7620" b="7620"/>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2638" w:right="157" w:hanging="2475"/>
                              <w:rPr>
                                <w:b/>
                                <w:sz w:val="24"/>
                              </w:rPr>
                            </w:pPr>
                            <w:r>
                              <w:rPr>
                                <w:b/>
                                <w:sz w:val="24"/>
                              </w:rPr>
                              <w:t>EXHIBIT 16-1: SAMPLE NOTICE OF OCCUPANCY RIGHTS UNDER THE VIOLENCE AGAIST WOMEN ACT, FORM HUD-5380</w:t>
                            </w:r>
                          </w:p>
                        </w:txbxContent>
                      </wps:txbx>
                      <wps:bodyPr rot="0" vert="horz" wrap="square" lIns="0" tIns="0" rIns="0" bIns="0" anchor="t" anchorCtr="0" upright="1">
                        <a:noAutofit/>
                      </wps:bodyPr>
                    </wps:wsp>
                  </a:graphicData>
                </a:graphic>
              </wp:inline>
            </w:drawing>
          </mc:Choice>
          <mc:Fallback>
            <w:pict>
              <v:shape id="Text Box 90" o:spid="_x0000_s1043" type="#_x0000_t202" style="width:491.4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e2fwIAAAk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" filled="f" strokeweight=".48pt">
                <v:textbox inset="0,0,0,0">
                  <w:txbxContent>
                    <w:p w:rsidR="00BA59C9" w:rsidRDefault="00BA59C9">
                      <w:pPr>
                        <w:spacing w:before="18"/>
                        <w:ind w:left="2638" w:right="157" w:hanging="2475"/>
                        <w:rPr>
                          <w:b/>
                          <w:sz w:val="24"/>
                        </w:rPr>
                      </w:pPr>
                      <w:r>
                        <w:rPr>
                          <w:b/>
                          <w:sz w:val="24"/>
                        </w:rPr>
                        <w:t>EXHIBIT 16-1: SAMPLE NOTICE OF OCCUPANCY RIGHTS UNDER THE VIOLENCE AGAIST WOMEN ACT, FORM HUD-5380</w:t>
                      </w:r>
                    </w:p>
                  </w:txbxContent>
                </v:textbox>
                <w10:anchorlock/>
              </v:shape>
            </w:pict>
          </mc:Fallback>
        </mc:AlternateContent>
      </w:r>
    </w:p>
    <w:p w:rsidR="004E13A5" w:rsidRDefault="004E13A5">
      <w:pPr>
        <w:pStyle w:val="BodyText"/>
        <w:spacing w:before="10"/>
        <w:ind w:left="0"/>
        <w:rPr>
          <w:sz w:val="9"/>
        </w:rPr>
      </w:pPr>
    </w:p>
    <w:p w:rsidR="004E13A5" w:rsidRDefault="00681463">
      <w:pPr>
        <w:pStyle w:val="Heading4"/>
        <w:spacing w:before="93"/>
        <w:ind w:left="3134"/>
      </w:pPr>
      <w:r>
        <w:t>[Insert Name of Housing Provider</w:t>
      </w:r>
      <w:r>
        <w:rPr>
          <w:position w:val="8"/>
          <w:sz w:val="16"/>
        </w:rPr>
        <w:t>2</w:t>
      </w:r>
      <w:r>
        <w:t>]</w:t>
      </w:r>
    </w:p>
    <w:p w:rsidR="004E13A5" w:rsidRDefault="00681463">
      <w:pPr>
        <w:spacing w:before="121"/>
        <w:ind w:left="1439"/>
        <w:rPr>
          <w:sz w:val="16"/>
        </w:rPr>
      </w:pPr>
      <w:r>
        <w:rPr>
          <w:b/>
          <w:sz w:val="24"/>
        </w:rPr>
        <w:t>Notice of Occupancy Rights under the Violence Against Women Act</w:t>
      </w:r>
      <w:r>
        <w:rPr>
          <w:position w:val="9"/>
          <w:sz w:val="16"/>
        </w:rPr>
        <w:t>3</w:t>
      </w:r>
    </w:p>
    <w:p w:rsidR="004E13A5" w:rsidRDefault="004E13A5">
      <w:pPr>
        <w:pStyle w:val="BodyText"/>
        <w:spacing w:before="11"/>
        <w:ind w:left="0"/>
        <w:rPr>
          <w:sz w:val="32"/>
        </w:rPr>
      </w:pPr>
    </w:p>
    <w:p w:rsidR="004E13A5" w:rsidRDefault="00681463">
      <w:pPr>
        <w:ind w:left="220"/>
        <w:rPr>
          <w:b/>
          <w:sz w:val="24"/>
        </w:rPr>
      </w:pPr>
      <w:r>
        <w:rPr>
          <w:b/>
          <w:sz w:val="24"/>
        </w:rPr>
        <w:t>To all Tenants and Applicants</w:t>
      </w:r>
    </w:p>
    <w:p w:rsidR="004E13A5" w:rsidRDefault="00681463">
      <w:pPr>
        <w:pStyle w:val="BodyText"/>
        <w:spacing w:before="196" w:line="357" w:lineRule="auto"/>
        <w:ind w:left="220" w:right="262"/>
      </w:pPr>
      <w: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Pr>
          <w:position w:val="9"/>
          <w:sz w:val="16"/>
        </w:rPr>
        <w:t xml:space="preserve">4 </w:t>
      </w:r>
      <w:r>
        <w:t>The U.S. Department of Housing and Urban Development (HUD) is the federal agency that oversees that the housing choice voucher program is in compliance with VAWA. This notice explains your rights under VAWA. A HUD-approved certification form is attached to this notice. You can fill out this form to show that you are or have been a victim of domestic violence, dating violence, sexual assault, or stalking, and that you wish to use your rights under VAWA.”</w:t>
      </w:r>
    </w:p>
    <w:p w:rsidR="004E13A5" w:rsidRDefault="004E13A5">
      <w:pPr>
        <w:pStyle w:val="BodyText"/>
        <w:spacing w:before="4"/>
        <w:ind w:left="0"/>
        <w:rPr>
          <w:sz w:val="21"/>
        </w:rPr>
      </w:pPr>
    </w:p>
    <w:p w:rsidR="004E13A5" w:rsidRDefault="00681463">
      <w:pPr>
        <w:pStyle w:val="Heading4"/>
        <w:ind w:left="220"/>
      </w:pPr>
      <w:r>
        <w:t>Protections for Applicants</w:t>
      </w:r>
    </w:p>
    <w:p w:rsidR="004E13A5" w:rsidRDefault="004E13A5">
      <w:pPr>
        <w:pStyle w:val="BodyText"/>
        <w:spacing w:before="10"/>
        <w:ind w:left="0"/>
        <w:rPr>
          <w:b/>
          <w:sz w:val="32"/>
        </w:rPr>
      </w:pPr>
    </w:p>
    <w:p w:rsidR="004E13A5" w:rsidRDefault="00681463">
      <w:pPr>
        <w:pStyle w:val="BodyText"/>
        <w:spacing w:before="1" w:line="360" w:lineRule="auto"/>
        <w:ind w:left="220"/>
      </w:pPr>
      <w:r>
        <w:t>If you otherwise qualify for assistance under the housing choice voucher program</w:t>
      </w:r>
      <w:r>
        <w:rPr>
          <w:b/>
        </w:rPr>
        <w:t xml:space="preserve">, </w:t>
      </w:r>
      <w:r>
        <w:t>you cannot be denied admission or denied assistance because you are or have been a victim of domestic violence, dating violence, sexual assault, or stalking.</w:t>
      </w:r>
    </w:p>
    <w:p w:rsidR="004E13A5" w:rsidRDefault="004E13A5">
      <w:pPr>
        <w:pStyle w:val="BodyText"/>
        <w:spacing w:before="2"/>
        <w:ind w:left="0"/>
        <w:rPr>
          <w:sz w:val="21"/>
        </w:rPr>
      </w:pPr>
    </w:p>
    <w:p w:rsidR="004E13A5" w:rsidRDefault="00681463">
      <w:pPr>
        <w:pStyle w:val="Heading4"/>
        <w:ind w:left="220"/>
      </w:pPr>
      <w:r>
        <w:t>Protections for Tenants</w:t>
      </w:r>
    </w:p>
    <w:p w:rsidR="004E13A5" w:rsidRDefault="00681463">
      <w:pPr>
        <w:pStyle w:val="BodyText"/>
        <w:spacing w:before="198" w:line="360" w:lineRule="auto"/>
        <w:ind w:left="220"/>
      </w:pPr>
      <w:r>
        <w:t>If you are receiving assistance under housing choice voucher program</w:t>
      </w:r>
      <w:r>
        <w:rPr>
          <w:b/>
        </w:rPr>
        <w:t xml:space="preserve">, </w:t>
      </w:r>
      <w:r>
        <w:t>you may not be denied assistance, terminated from participation, or be evicted from your rental housing because you are or have been a victim of domestic violence, dating violence, sexual assault, or stalking.</w:t>
      </w:r>
    </w:p>
    <w:p w:rsidR="004E13A5" w:rsidRDefault="004E13A5">
      <w:pPr>
        <w:pStyle w:val="BodyText"/>
        <w:spacing w:before="0"/>
        <w:ind w:left="0"/>
        <w:rPr>
          <w:sz w:val="20"/>
        </w:rPr>
      </w:pPr>
    </w:p>
    <w:p w:rsidR="004E13A5" w:rsidRDefault="003263D1">
      <w:pPr>
        <w:pStyle w:val="BodyText"/>
        <w:spacing w:before="1"/>
        <w:ind w:left="0"/>
      </w:pPr>
      <w:r>
        <w:rPr>
          <w:noProof/>
        </w:rPr>
        <mc:AlternateContent>
          <mc:Choice Requires="wps">
            <w:drawing>
              <wp:anchor distT="0" distB="0" distL="0" distR="0" simplePos="0" relativeHeight="1720" behindDoc="0" locked="0" layoutInCell="1" allowOverlap="1">
                <wp:simplePos x="0" y="0"/>
                <wp:positionH relativeFrom="page">
                  <wp:posOffset>838200</wp:posOffset>
                </wp:positionH>
                <wp:positionV relativeFrom="paragraph">
                  <wp:posOffset>205105</wp:posOffset>
                </wp:positionV>
                <wp:extent cx="1829435" cy="0"/>
                <wp:effectExtent l="9525" t="5080" r="8890" b="13970"/>
                <wp:wrapTopAndBottom/>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4BD2" id="Line 43"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6.15pt" to="210.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u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" strokeweight=".6pt">
                <w10:wrap type="topAndBottom" anchorx="page"/>
              </v:line>
            </w:pict>
          </mc:Fallback>
        </mc:AlternateContent>
      </w: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1"/>
        <w:ind w:left="0"/>
        <w:rPr>
          <w:sz w:val="17"/>
        </w:rPr>
      </w:pPr>
    </w:p>
    <w:p w:rsidR="004E13A5" w:rsidRDefault="00681463">
      <w:pPr>
        <w:spacing w:before="95"/>
        <w:ind w:left="220"/>
        <w:rPr>
          <w:rFonts w:ascii="Arial"/>
          <w:sz w:val="13"/>
        </w:rPr>
      </w:pPr>
      <w:r>
        <w:rPr>
          <w:rFonts w:ascii="Arial"/>
          <w:w w:val="99"/>
          <w:sz w:val="13"/>
        </w:rPr>
        <w:t>2</w:t>
      </w:r>
    </w:p>
    <w:p w:rsidR="004E13A5" w:rsidRDefault="004E13A5">
      <w:pPr>
        <w:pStyle w:val="BodyText"/>
        <w:spacing w:before="10"/>
        <w:ind w:left="0"/>
        <w:rPr>
          <w:rFonts w:ascii="Arial"/>
          <w:sz w:val="16"/>
        </w:rPr>
      </w:pPr>
    </w:p>
    <w:p w:rsidR="004E13A5" w:rsidRDefault="00681463">
      <w:pPr>
        <w:ind w:left="220" w:right="575"/>
        <w:rPr>
          <w:rFonts w:ascii="Arial"/>
          <w:sz w:val="20"/>
        </w:rPr>
      </w:pPr>
      <w:r>
        <w:rPr>
          <w:rFonts w:ascii="Arial"/>
          <w:position w:val="6"/>
          <w:sz w:val="13"/>
        </w:rPr>
        <w:t xml:space="preserve">3 </w:t>
      </w:r>
      <w:r>
        <w:rPr>
          <w:rFonts w:ascii="Arial"/>
          <w:sz w:val="20"/>
        </w:rPr>
        <w:t>Despite the name of this law, VAWA protection is available regardless of sex, gender identity, or sexual orientation.</w:t>
      </w:r>
    </w:p>
    <w:p w:rsidR="004E13A5" w:rsidRDefault="00681463">
      <w:pPr>
        <w:spacing w:before="119"/>
        <w:ind w:left="220" w:right="260"/>
        <w:rPr>
          <w:rFonts w:ascii="Arial"/>
          <w:sz w:val="20"/>
        </w:rPr>
      </w:pPr>
      <w:r>
        <w:rPr>
          <w:rFonts w:ascii="Arial"/>
          <w:position w:val="6"/>
          <w:sz w:val="13"/>
        </w:rPr>
        <w:t xml:space="preserve">4 </w:t>
      </w:r>
      <w:r>
        <w:rPr>
          <w:rFonts w:ascii="Arial"/>
          <w:sz w:val="20"/>
        </w:rPr>
        <w:t>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rsidR="004E13A5" w:rsidRDefault="004E13A5">
      <w:pPr>
        <w:rPr>
          <w:rFonts w:ascii="Arial"/>
          <w:sz w:val="20"/>
        </w:rPr>
        <w:sectPr w:rsidR="004E13A5">
          <w:pgSz w:w="12240" w:h="15840"/>
          <w:pgMar w:top="1500" w:right="1100" w:bottom="1200" w:left="1100" w:header="0" w:footer="998" w:gutter="0"/>
          <w:cols w:space="720"/>
        </w:sectPr>
      </w:pPr>
    </w:p>
    <w:p w:rsidR="004E13A5" w:rsidRDefault="00681463">
      <w:pPr>
        <w:pStyle w:val="BodyText"/>
        <w:spacing w:before="79" w:line="360" w:lineRule="auto"/>
        <w:ind w:right="289"/>
      </w:pPr>
      <w:r>
        <w:lastRenderedPageBreak/>
        <w:t>Also, if you or an affiliated individual of yours is or has been the victim of domestic violence, dating violence, sexual assault, or stalking by a member of your household or any guest, you may not be denied rental assistance or occupancy rights under the housing choice voucher program solely on the basis of criminal activity directly relating to that domestic violence, dating violence, sexual assault, or stalking.</w:t>
      </w:r>
    </w:p>
    <w:p w:rsidR="004E13A5" w:rsidRDefault="00681463">
      <w:pPr>
        <w:pStyle w:val="BodyText"/>
        <w:spacing w:before="63" w:line="360" w:lineRule="auto"/>
      </w:pPr>
      <w:r>
        <w:t>Affiliated individual means your spouse, parent, brother, sister, or child, or a person to whom you stand in the place of a parent or guardian (for example, the affiliated individual is in your care, custody, or control); or any individual, tenant, or lawful occupant living in your household.</w:t>
      </w:r>
    </w:p>
    <w:p w:rsidR="004E13A5" w:rsidRDefault="004E13A5">
      <w:pPr>
        <w:pStyle w:val="BodyText"/>
        <w:spacing w:before="4"/>
        <w:ind w:left="0"/>
        <w:rPr>
          <w:sz w:val="21"/>
        </w:rPr>
      </w:pPr>
    </w:p>
    <w:p w:rsidR="004E13A5" w:rsidRDefault="00681463">
      <w:pPr>
        <w:pStyle w:val="Heading4"/>
      </w:pPr>
      <w:r>
        <w:t>Removing the Abuser or Perpetrator from the Household</w:t>
      </w:r>
    </w:p>
    <w:p w:rsidR="004E13A5" w:rsidRDefault="00681463">
      <w:pPr>
        <w:pStyle w:val="BodyText"/>
        <w:spacing w:before="197" w:line="360" w:lineRule="auto"/>
        <w:ind w:right="90"/>
      </w:pPr>
      <w:r>
        <w:t>The PHA may divide (bifurcate) your lease in order to evict the individual or terminate the assistance of the individual who has engaged in criminal activity (the abuser or perpetrator) directly relating to domestic violence, dating violence, sexual assault, or stalking.</w:t>
      </w:r>
    </w:p>
    <w:p w:rsidR="004E13A5" w:rsidRDefault="00681463">
      <w:pPr>
        <w:pStyle w:val="BodyText"/>
        <w:spacing w:before="66" w:line="360" w:lineRule="auto"/>
        <w:ind w:right="116"/>
      </w:pPr>
      <w:r>
        <w:t>If the PHA chooses to remove the abuser or perpetrator, the PHA may not take away the rights of eligible tenants to the unit or otherwise punish the remaining tenants. If the evicted abuser or perpetrator was the sole tenant to have established eligibility for assistance under the program, the PHA must allow the tenant who is or has been a victim and other household members to remain in the unit for a period of time, in order to establish eligibility under the program or under another HUD housing program covered by VAWA, or, find alternative housing.</w:t>
      </w:r>
    </w:p>
    <w:p w:rsidR="004E13A5" w:rsidRDefault="00681463">
      <w:pPr>
        <w:pStyle w:val="BodyText"/>
        <w:spacing w:before="66" w:line="360" w:lineRule="auto"/>
        <w:ind w:right="129"/>
      </w:pPr>
      <w:r>
        <w:t>In removing the abuser or perpetrator from the household, the PHA must follow Federal, State, and local eviction procedures. In order to divide a lease, the PHA may, but is not required to, ask you for documentation or certification of the incidences of domestic violence, dating violence, sexual assault, or stalking.</w:t>
      </w:r>
    </w:p>
    <w:p w:rsidR="004E13A5" w:rsidRDefault="00681463">
      <w:pPr>
        <w:pStyle w:val="Heading4"/>
        <w:spacing w:before="66"/>
      </w:pPr>
      <w:r>
        <w:t>Moving to Another Unit</w:t>
      </w:r>
    </w:p>
    <w:p w:rsidR="004E13A5" w:rsidRDefault="00681463">
      <w:pPr>
        <w:pStyle w:val="BodyText"/>
        <w:spacing w:before="197" w:line="360" w:lineRule="auto"/>
      </w:pPr>
      <w:r>
        <w:t>Upon your request, the PHA may permit you to move to another unit, subject to the availability of other units, and still keep your assistance. In order to approve a request, the PHA may ask you to provide documentation that you are requesting to move because of an incidence of domestic violence, dating violence, sexual assault, or stalking. If the request is a request for emergency transfer, the housing provider may ask you to submit a written request or fill out a form where you certify that you meet the criteria for an emergency transfer under VAWA.  The criteria are:</w:t>
      </w:r>
    </w:p>
    <w:p w:rsidR="004E13A5" w:rsidRDefault="004E13A5">
      <w:pPr>
        <w:spacing w:line="360" w:lineRule="auto"/>
        <w:sectPr w:rsidR="004E13A5">
          <w:pgSz w:w="12240" w:h="15840"/>
          <w:pgMar w:top="1000" w:right="1240" w:bottom="1240" w:left="1220" w:header="0" w:footer="998" w:gutter="0"/>
          <w:cols w:space="720"/>
        </w:sectPr>
      </w:pPr>
    </w:p>
    <w:p w:rsidR="004E13A5" w:rsidRDefault="00681463">
      <w:pPr>
        <w:pStyle w:val="ListParagraph"/>
        <w:numPr>
          <w:ilvl w:val="1"/>
          <w:numId w:val="31"/>
        </w:numPr>
        <w:tabs>
          <w:tab w:val="left" w:pos="821"/>
        </w:tabs>
        <w:spacing w:before="79" w:line="360" w:lineRule="auto"/>
        <w:ind w:right="531"/>
        <w:rPr>
          <w:sz w:val="24"/>
        </w:rPr>
      </w:pPr>
      <w:r>
        <w:rPr>
          <w:b/>
          <w:sz w:val="24"/>
        </w:rPr>
        <w:lastRenderedPageBreak/>
        <w:t xml:space="preserve">You are a victim of domestic violence, dating violence, sexual assault, or stalking. </w:t>
      </w:r>
      <w:r>
        <w:rPr>
          <w:sz w:val="24"/>
        </w:rPr>
        <w:t>If your housing provider does not already have documentation that you are a victim of domestic violence, dating violence, sexual assault, or stalking, your housing provider may ask you for such documentation, as described in the documentation section</w:t>
      </w:r>
      <w:r>
        <w:rPr>
          <w:spacing w:val="-14"/>
          <w:sz w:val="24"/>
        </w:rPr>
        <w:t xml:space="preserve"> </w:t>
      </w:r>
      <w:r>
        <w:rPr>
          <w:sz w:val="24"/>
        </w:rPr>
        <w:t>below.</w:t>
      </w:r>
    </w:p>
    <w:p w:rsidR="004E13A5" w:rsidRDefault="00681463">
      <w:pPr>
        <w:pStyle w:val="ListParagraph"/>
        <w:numPr>
          <w:ilvl w:val="1"/>
          <w:numId w:val="31"/>
        </w:numPr>
        <w:tabs>
          <w:tab w:val="left" w:pos="821"/>
        </w:tabs>
        <w:spacing w:before="66" w:line="360" w:lineRule="auto"/>
        <w:ind w:right="402"/>
        <w:rPr>
          <w:sz w:val="24"/>
        </w:rPr>
      </w:pPr>
      <w:r>
        <w:rPr>
          <w:b/>
          <w:sz w:val="24"/>
        </w:rPr>
        <w:t xml:space="preserve">You expressly request the emergency transfer. </w:t>
      </w:r>
      <w:r>
        <w:rPr>
          <w:sz w:val="24"/>
        </w:rPr>
        <w:t>Your housing provider may choose</w:t>
      </w:r>
      <w:r>
        <w:rPr>
          <w:spacing w:val="-18"/>
          <w:sz w:val="24"/>
        </w:rPr>
        <w:t xml:space="preserve"> </w:t>
      </w:r>
      <w:r>
        <w:rPr>
          <w:sz w:val="24"/>
        </w:rPr>
        <w:t>to require that you submit a form, or may accept another written or oral</w:t>
      </w:r>
      <w:r>
        <w:rPr>
          <w:spacing w:val="-10"/>
          <w:sz w:val="24"/>
        </w:rPr>
        <w:t xml:space="preserve"> </w:t>
      </w:r>
      <w:r>
        <w:rPr>
          <w:sz w:val="24"/>
        </w:rPr>
        <w:t>request.</w:t>
      </w:r>
    </w:p>
    <w:p w:rsidR="004E13A5" w:rsidRDefault="00681463">
      <w:pPr>
        <w:pStyle w:val="ListParagraph"/>
        <w:numPr>
          <w:ilvl w:val="1"/>
          <w:numId w:val="31"/>
        </w:numPr>
        <w:tabs>
          <w:tab w:val="left" w:pos="821"/>
        </w:tabs>
        <w:spacing w:before="66" w:line="360" w:lineRule="auto"/>
        <w:ind w:right="707"/>
        <w:rPr>
          <w:sz w:val="24"/>
        </w:rPr>
      </w:pPr>
      <w:r>
        <w:rPr>
          <w:b/>
          <w:sz w:val="24"/>
        </w:rPr>
        <w:t xml:space="preserve">You reasonably believe you are threatened with imminent harm from further violence if you remain in your current unit. </w:t>
      </w:r>
      <w:r>
        <w:rPr>
          <w:sz w:val="24"/>
        </w:rPr>
        <w:t>This means you have a reason to fear that if you do not receive a transfer you would suffer violence in the very near</w:t>
      </w:r>
      <w:r>
        <w:rPr>
          <w:spacing w:val="-12"/>
          <w:sz w:val="24"/>
        </w:rPr>
        <w:t xml:space="preserve"> </w:t>
      </w:r>
      <w:r>
        <w:rPr>
          <w:sz w:val="24"/>
        </w:rPr>
        <w:t>future.</w:t>
      </w:r>
    </w:p>
    <w:p w:rsidR="004E13A5" w:rsidRDefault="00681463">
      <w:pPr>
        <w:pStyle w:val="Heading4"/>
        <w:spacing w:before="64"/>
        <w:ind w:left="820"/>
        <w:jc w:val="both"/>
      </w:pPr>
      <w:r>
        <w:t>OR</w:t>
      </w:r>
    </w:p>
    <w:p w:rsidR="004E13A5" w:rsidRDefault="00681463">
      <w:pPr>
        <w:spacing w:before="199" w:line="360" w:lineRule="auto"/>
        <w:ind w:left="820" w:right="739"/>
        <w:jc w:val="both"/>
        <w:rPr>
          <w:sz w:val="24"/>
        </w:rPr>
      </w:pPr>
      <w:r>
        <w:rPr>
          <w:b/>
          <w:sz w:val="24"/>
        </w:rPr>
        <w:t xml:space="preserve">You are a victim of sexual assault and the assault occurred on the premises during the 90-calendar-day period before you request a transfer. </w:t>
      </w:r>
      <w:r>
        <w:rPr>
          <w:sz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w:t>
      </w:r>
    </w:p>
    <w:p w:rsidR="004E13A5" w:rsidRDefault="00681463">
      <w:pPr>
        <w:pStyle w:val="BodyText"/>
        <w:spacing w:before="66" w:line="360" w:lineRule="auto"/>
        <w:ind w:right="174"/>
        <w:jc w:val="both"/>
      </w:pPr>
      <w:r>
        <w:t>The PHA will keep confidential requests for emergency transfers by victims of domestic violence, dating violence, sexual assault, or stalking, and the location of any move by such victims and their families.</w:t>
      </w:r>
    </w:p>
    <w:p w:rsidR="004E13A5" w:rsidRDefault="00681463">
      <w:pPr>
        <w:pStyle w:val="BodyText"/>
        <w:spacing w:before="63" w:line="360" w:lineRule="auto"/>
        <w:ind w:right="223"/>
      </w:pPr>
      <w:r>
        <w:t>The PHA’s emergency transfer plan provides further information on emergency transfers, and the PHA must make a copy of its emergency transfer plan available to you if you ask to see it.</w:t>
      </w:r>
    </w:p>
    <w:p w:rsidR="004E13A5" w:rsidRDefault="004E13A5">
      <w:pPr>
        <w:pStyle w:val="BodyText"/>
        <w:spacing w:before="2"/>
        <w:ind w:left="0"/>
        <w:rPr>
          <w:sz w:val="21"/>
        </w:rPr>
      </w:pPr>
    </w:p>
    <w:p w:rsidR="004E13A5" w:rsidRDefault="00681463">
      <w:pPr>
        <w:pStyle w:val="Heading4"/>
        <w:spacing w:line="360" w:lineRule="auto"/>
      </w:pPr>
      <w:r>
        <w:t>Documenting You Are or Have Been a Victim of Domestic Violence, Dating Violence, Sexual Assault or Stalking</w:t>
      </w:r>
    </w:p>
    <w:p w:rsidR="004E13A5" w:rsidRDefault="00681463">
      <w:pPr>
        <w:pStyle w:val="BodyText"/>
        <w:spacing w:before="64" w:line="360" w:lineRule="auto"/>
      </w:pPr>
      <w:r>
        <w:t>The PHA can, but is not required to, ask you to provide documentation to “certify” that you are or have been a victim of domestic violence, dating violence, sexual assault, or stalking. Such request from the PHA must be in writing, and the PHA must give you at least 14 business days (Saturdays, Sundays, and Federal holidays do not count) from the day you receive the request to provide the documentation. The PHA may, but does not have to, extend the deadline for the submission of documentation upon your request.</w:t>
      </w:r>
    </w:p>
    <w:p w:rsidR="004E13A5" w:rsidRDefault="004E13A5">
      <w:pPr>
        <w:spacing w:line="360" w:lineRule="auto"/>
        <w:sectPr w:rsidR="004E13A5">
          <w:pgSz w:w="12240" w:h="15840"/>
          <w:pgMar w:top="1000" w:right="1300" w:bottom="1240" w:left="1220" w:header="0" w:footer="998" w:gutter="0"/>
          <w:cols w:space="720"/>
        </w:sectPr>
      </w:pPr>
    </w:p>
    <w:p w:rsidR="004E13A5" w:rsidRDefault="00681463">
      <w:pPr>
        <w:pStyle w:val="BodyText"/>
        <w:spacing w:before="79" w:line="360" w:lineRule="auto"/>
        <w:ind w:right="183"/>
      </w:pPr>
      <w:r>
        <w:lastRenderedPageBreak/>
        <w:t>You can provide one of the following to the PHA as documentation. It is your choice which of the following to submit if the PHA asks you to provide documentation that you are or have been a victim of domestic violence, dating violence, sexual assault, or stalking.</w:t>
      </w:r>
    </w:p>
    <w:p w:rsidR="004E13A5" w:rsidRDefault="00681463">
      <w:pPr>
        <w:pStyle w:val="ListParagraph"/>
        <w:numPr>
          <w:ilvl w:val="0"/>
          <w:numId w:val="30"/>
        </w:numPr>
        <w:tabs>
          <w:tab w:val="left" w:pos="820"/>
          <w:tab w:val="left" w:pos="821"/>
        </w:tabs>
        <w:spacing w:before="65" w:line="360" w:lineRule="auto"/>
        <w:ind w:right="99"/>
        <w:rPr>
          <w:sz w:val="24"/>
        </w:rPr>
      </w:pPr>
      <w:r>
        <w:rPr>
          <w:sz w:val="24"/>
        </w:rPr>
        <w:t>A complete HUD-approved certification form given to you by the PHA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w:t>
      </w:r>
      <w:r>
        <w:rPr>
          <w:spacing w:val="-10"/>
          <w:sz w:val="24"/>
        </w:rPr>
        <w:t xml:space="preserve"> </w:t>
      </w:r>
      <w:r>
        <w:rPr>
          <w:sz w:val="24"/>
        </w:rPr>
        <w:t>provide.</w:t>
      </w:r>
    </w:p>
    <w:p w:rsidR="004E13A5" w:rsidRDefault="00681463">
      <w:pPr>
        <w:pStyle w:val="ListParagraph"/>
        <w:numPr>
          <w:ilvl w:val="0"/>
          <w:numId w:val="30"/>
        </w:numPr>
        <w:tabs>
          <w:tab w:val="left" w:pos="820"/>
          <w:tab w:val="left" w:pos="821"/>
        </w:tabs>
        <w:spacing w:before="68" w:line="360" w:lineRule="auto"/>
        <w:ind w:right="450"/>
        <w:rPr>
          <w:sz w:val="24"/>
        </w:rPr>
      </w:pPr>
      <w:r>
        <w:rPr>
          <w:sz w:val="24"/>
        </w:rPr>
        <w:t>A record of a Federal, State, tribal, territorial, or local law enforcement agency, court, or administrative agency that documents the incident of domestic violence, dating</w:t>
      </w:r>
      <w:r>
        <w:rPr>
          <w:spacing w:val="-14"/>
          <w:sz w:val="24"/>
        </w:rPr>
        <w:t xml:space="preserve"> </w:t>
      </w:r>
      <w:r>
        <w:rPr>
          <w:sz w:val="24"/>
        </w:rPr>
        <w:t>violence, sexual assault, or stalking. Examples of such records include police reports, protective orders, and restraining orders, among</w:t>
      </w:r>
      <w:r>
        <w:rPr>
          <w:spacing w:val="-12"/>
          <w:sz w:val="24"/>
        </w:rPr>
        <w:t xml:space="preserve"> </w:t>
      </w:r>
      <w:r>
        <w:rPr>
          <w:sz w:val="24"/>
        </w:rPr>
        <w:t>others.</w:t>
      </w:r>
    </w:p>
    <w:p w:rsidR="004E13A5" w:rsidRDefault="00681463">
      <w:pPr>
        <w:pStyle w:val="ListParagraph"/>
        <w:numPr>
          <w:ilvl w:val="0"/>
          <w:numId w:val="30"/>
        </w:numPr>
        <w:tabs>
          <w:tab w:val="left" w:pos="820"/>
          <w:tab w:val="left" w:pos="821"/>
        </w:tabs>
        <w:spacing w:before="68" w:line="360" w:lineRule="auto"/>
        <w:ind w:right="103"/>
        <w:rPr>
          <w:sz w:val="24"/>
        </w:rPr>
      </w:pPr>
      <w:r>
        <w:rPr>
          <w:sz w:val="24"/>
        </w:rPr>
        <w:t>A statement, which you must sign, along with the signature of an employee, agent, or volunteer of a victim service provider, an attorney, a medical professional or a mental</w:t>
      </w:r>
      <w:r>
        <w:rPr>
          <w:spacing w:val="-16"/>
          <w:sz w:val="24"/>
        </w:rPr>
        <w:t xml:space="preserve"> </w:t>
      </w:r>
      <w:r>
        <w:rPr>
          <w:sz w:val="24"/>
        </w:rPr>
        <w:t>health professional (collectively, “professional”) from whom you sought assistance in addressing domestic violence, dating violence, sexual assault, or stalking, or the effects of abuse, and with the professional selected by you attesting under penalty of perjury that theythey believes that the incident or incidents of domestic violence, dating violence, sexual assault, or stalking are grounds for</w:t>
      </w:r>
      <w:r>
        <w:rPr>
          <w:spacing w:val="-9"/>
          <w:sz w:val="24"/>
        </w:rPr>
        <w:t xml:space="preserve"> </w:t>
      </w:r>
      <w:r>
        <w:rPr>
          <w:sz w:val="24"/>
        </w:rPr>
        <w:t>protection.</w:t>
      </w:r>
    </w:p>
    <w:p w:rsidR="004E13A5" w:rsidRDefault="00681463">
      <w:pPr>
        <w:pStyle w:val="ListParagraph"/>
        <w:numPr>
          <w:ilvl w:val="0"/>
          <w:numId w:val="30"/>
        </w:numPr>
        <w:tabs>
          <w:tab w:val="left" w:pos="820"/>
          <w:tab w:val="left" w:pos="821"/>
        </w:tabs>
        <w:spacing w:before="68"/>
        <w:rPr>
          <w:sz w:val="24"/>
        </w:rPr>
      </w:pPr>
      <w:r>
        <w:rPr>
          <w:sz w:val="24"/>
        </w:rPr>
        <w:t>Any other statement or evidence that the PHA has agreed to</w:t>
      </w:r>
      <w:r>
        <w:rPr>
          <w:spacing w:val="-10"/>
          <w:sz w:val="24"/>
        </w:rPr>
        <w:t xml:space="preserve"> </w:t>
      </w:r>
      <w:r>
        <w:rPr>
          <w:sz w:val="24"/>
        </w:rPr>
        <w:t>accept.</w:t>
      </w:r>
    </w:p>
    <w:p w:rsidR="004E13A5" w:rsidRDefault="00681463">
      <w:pPr>
        <w:pStyle w:val="BodyText"/>
        <w:spacing w:before="203" w:line="360" w:lineRule="auto"/>
        <w:ind w:right="301"/>
      </w:pPr>
      <w:r>
        <w:t>If you fail or refuse to provide one of these documents within the 14 business days, the PHA does not have to provide you with the protections contained in this notice.</w:t>
      </w:r>
    </w:p>
    <w:p w:rsidR="004E13A5" w:rsidRDefault="00681463">
      <w:pPr>
        <w:pStyle w:val="BodyText"/>
        <w:spacing w:before="64" w:line="360" w:lineRule="auto"/>
        <w:ind w:right="282"/>
      </w:pPr>
      <w:r>
        <w:t>If the PHA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the PHA has the right to request that you provide third-party documentation within thirty 30 calendar days in order to resolve the conflict. If you fail or refuse to provide third-party documentation where there is conflicting evidence, the PHA does not have to provide you with the protections contained in this notice.</w:t>
      </w:r>
    </w:p>
    <w:p w:rsidR="004E13A5" w:rsidRDefault="004E13A5">
      <w:pPr>
        <w:spacing w:line="360" w:lineRule="auto"/>
        <w:sectPr w:rsidR="004E13A5">
          <w:pgSz w:w="12240" w:h="15840"/>
          <w:pgMar w:top="1000" w:right="1220" w:bottom="1240" w:left="1220" w:header="0" w:footer="998" w:gutter="0"/>
          <w:cols w:space="720"/>
        </w:sectPr>
      </w:pPr>
    </w:p>
    <w:p w:rsidR="004E13A5" w:rsidRDefault="00681463">
      <w:pPr>
        <w:pStyle w:val="Heading4"/>
        <w:spacing w:before="79"/>
      </w:pPr>
      <w:r>
        <w:lastRenderedPageBreak/>
        <w:t>Confidentiality</w:t>
      </w:r>
    </w:p>
    <w:p w:rsidR="004E13A5" w:rsidRDefault="00681463">
      <w:pPr>
        <w:pStyle w:val="BodyText"/>
        <w:spacing w:before="197" w:line="360" w:lineRule="auto"/>
      </w:pPr>
      <w:r>
        <w:t>The PHA must keep confidential any information you provide related to the exercise of your rights under VAWA, including the fact that you are exercising your rights under VAWA.</w:t>
      </w:r>
    </w:p>
    <w:p w:rsidR="004E13A5" w:rsidRDefault="00681463">
      <w:pPr>
        <w:pStyle w:val="BodyText"/>
        <w:spacing w:before="64" w:line="360" w:lineRule="auto"/>
        <w:ind w:right="202"/>
      </w:pPr>
      <w:r>
        <w:t>The PHA must not allow any individual administering assistance or other services on behalf of the PHA (for example, employees and contractors) to have access to confidential information unless for reasons that specifically call for these individuals to have access to this information under applicable Federal, State, or local law.</w:t>
      </w:r>
    </w:p>
    <w:p w:rsidR="004E13A5" w:rsidRDefault="00681463">
      <w:pPr>
        <w:pStyle w:val="BodyText"/>
        <w:spacing w:before="64" w:line="360" w:lineRule="auto"/>
        <w:ind w:right="175"/>
      </w:pPr>
      <w:r>
        <w:t>The PHA must not enter your information into any shared database or disclose your information to any other entity or individual.  The PHA, however, may disclose the information provided if:</w:t>
      </w:r>
    </w:p>
    <w:p w:rsidR="004E13A5" w:rsidRDefault="00681463">
      <w:pPr>
        <w:pStyle w:val="ListParagraph"/>
        <w:numPr>
          <w:ilvl w:val="0"/>
          <w:numId w:val="30"/>
        </w:numPr>
        <w:tabs>
          <w:tab w:val="left" w:pos="820"/>
          <w:tab w:val="left" w:pos="821"/>
        </w:tabs>
        <w:spacing w:before="66"/>
        <w:rPr>
          <w:sz w:val="24"/>
        </w:rPr>
      </w:pPr>
      <w:r>
        <w:rPr>
          <w:sz w:val="24"/>
        </w:rPr>
        <w:t>You give written permission to the PHA to release the information on a time limited</w:t>
      </w:r>
      <w:r>
        <w:rPr>
          <w:spacing w:val="-15"/>
          <w:sz w:val="24"/>
        </w:rPr>
        <w:t xml:space="preserve"> </w:t>
      </w:r>
      <w:r>
        <w:rPr>
          <w:sz w:val="24"/>
        </w:rPr>
        <w:t>basis.</w:t>
      </w:r>
    </w:p>
    <w:p w:rsidR="004E13A5" w:rsidRDefault="00681463">
      <w:pPr>
        <w:pStyle w:val="ListParagraph"/>
        <w:numPr>
          <w:ilvl w:val="0"/>
          <w:numId w:val="30"/>
        </w:numPr>
        <w:tabs>
          <w:tab w:val="left" w:pos="820"/>
          <w:tab w:val="left" w:pos="821"/>
        </w:tabs>
        <w:spacing w:before="207" w:line="360" w:lineRule="auto"/>
        <w:ind w:right="113"/>
        <w:rPr>
          <w:sz w:val="24"/>
        </w:rPr>
      </w:pPr>
      <w:r>
        <w:rPr>
          <w:sz w:val="24"/>
        </w:rPr>
        <w:t>HP needs to use the information in an eviction or termination proceeding, such as to evict your abuser or perpetrator or terminate your abuser or perpetrator from assistance under this program.</w:t>
      </w:r>
    </w:p>
    <w:p w:rsidR="004E13A5" w:rsidRDefault="00681463">
      <w:pPr>
        <w:pStyle w:val="ListParagraph"/>
        <w:numPr>
          <w:ilvl w:val="0"/>
          <w:numId w:val="30"/>
        </w:numPr>
        <w:tabs>
          <w:tab w:val="left" w:pos="820"/>
          <w:tab w:val="left" w:pos="821"/>
        </w:tabs>
        <w:spacing w:before="68"/>
        <w:rPr>
          <w:sz w:val="24"/>
        </w:rPr>
      </w:pPr>
      <w:r>
        <w:rPr>
          <w:sz w:val="24"/>
        </w:rPr>
        <w:t>A law requires the PHA or your landlord to release the</w:t>
      </w:r>
      <w:r>
        <w:rPr>
          <w:spacing w:val="-11"/>
          <w:sz w:val="24"/>
        </w:rPr>
        <w:t xml:space="preserve"> </w:t>
      </w:r>
      <w:r>
        <w:rPr>
          <w:sz w:val="24"/>
        </w:rPr>
        <w:t>information.</w:t>
      </w:r>
    </w:p>
    <w:p w:rsidR="004E13A5" w:rsidRDefault="00681463">
      <w:pPr>
        <w:pStyle w:val="BodyText"/>
        <w:spacing w:before="205" w:line="360" w:lineRule="auto"/>
        <w:ind w:right="795"/>
        <w:jc w:val="both"/>
      </w:pPr>
      <w:r>
        <w:t>VAWA does not limit the PHA’s duty to honor court orders about access to or control of the property. This includes orders issued to protect a victim and orders dividing property among household members in cases where a family breaks up.</w:t>
      </w:r>
    </w:p>
    <w:p w:rsidR="004E13A5" w:rsidRDefault="004E13A5">
      <w:pPr>
        <w:pStyle w:val="BodyText"/>
        <w:spacing w:before="2"/>
        <w:ind w:left="0"/>
        <w:rPr>
          <w:sz w:val="21"/>
        </w:rPr>
      </w:pPr>
    </w:p>
    <w:p w:rsidR="004E13A5" w:rsidRDefault="00681463">
      <w:pPr>
        <w:pStyle w:val="Heading4"/>
        <w:spacing w:line="360" w:lineRule="auto"/>
      </w:pPr>
      <w:r>
        <w:t>Reasons a Tenant Eligible for Occupancy Rights under VAWA May Be Evicted or Assistance May Be Terminated</w:t>
      </w:r>
    </w:p>
    <w:p w:rsidR="004E13A5" w:rsidRDefault="00681463">
      <w:pPr>
        <w:pStyle w:val="BodyText"/>
        <w:spacing w:before="63" w:line="360" w:lineRule="auto"/>
        <w:ind w:right="162"/>
      </w:pPr>
      <w:r>
        <w:t>You can be evicted and your assistance can be terminated for serious or repeated lease violations that are not related to domestic violence, dating violence, sexual assault, or stalking committed against you. However, the PHA cannot hold tenants who have been victims of domestic violence, dating violence, sexual assault, or stalking to a more demanding set of rules than it applies to tenants who have not been victims of domestic violence, dating violence, sexual assault, or stalking.</w:t>
      </w:r>
    </w:p>
    <w:p w:rsidR="004E13A5" w:rsidRDefault="00681463">
      <w:pPr>
        <w:pStyle w:val="BodyText"/>
        <w:spacing w:before="65" w:line="360" w:lineRule="auto"/>
        <w:ind w:right="882"/>
        <w:jc w:val="both"/>
      </w:pPr>
      <w:r>
        <w:t>The protections described in this notice might not apply, and you could be evicted and your assistance terminated, if the PHA can demonstrate that not evicting you or terminating your assistance would present a real physical danger that:</w:t>
      </w:r>
    </w:p>
    <w:p w:rsidR="004E13A5" w:rsidRDefault="00681463">
      <w:pPr>
        <w:pStyle w:val="ListParagraph"/>
        <w:numPr>
          <w:ilvl w:val="0"/>
          <w:numId w:val="29"/>
        </w:numPr>
        <w:tabs>
          <w:tab w:val="left" w:pos="821"/>
        </w:tabs>
        <w:spacing w:before="63"/>
        <w:rPr>
          <w:sz w:val="24"/>
        </w:rPr>
      </w:pPr>
      <w:r>
        <w:rPr>
          <w:sz w:val="24"/>
        </w:rPr>
        <w:t>Would occur within an immediate time frame,</w:t>
      </w:r>
      <w:r>
        <w:rPr>
          <w:spacing w:val="-7"/>
          <w:sz w:val="24"/>
        </w:rPr>
        <w:t xml:space="preserve"> </w:t>
      </w:r>
      <w:r>
        <w:rPr>
          <w:sz w:val="24"/>
        </w:rPr>
        <w:t>and</w:t>
      </w:r>
    </w:p>
    <w:p w:rsidR="004E13A5" w:rsidRDefault="004E13A5">
      <w:pPr>
        <w:rPr>
          <w:sz w:val="24"/>
        </w:rPr>
        <w:sectPr w:rsidR="004E13A5">
          <w:pgSz w:w="12240" w:h="15840"/>
          <w:pgMar w:top="1000" w:right="1240" w:bottom="1240" w:left="1220" w:header="0" w:footer="998" w:gutter="0"/>
          <w:cols w:space="720"/>
        </w:sectPr>
      </w:pPr>
    </w:p>
    <w:p w:rsidR="004E13A5" w:rsidRDefault="00681463">
      <w:pPr>
        <w:pStyle w:val="ListParagraph"/>
        <w:numPr>
          <w:ilvl w:val="0"/>
          <w:numId w:val="29"/>
        </w:numPr>
        <w:tabs>
          <w:tab w:val="left" w:pos="821"/>
        </w:tabs>
        <w:spacing w:before="79" w:line="360" w:lineRule="auto"/>
        <w:ind w:right="679"/>
        <w:rPr>
          <w:sz w:val="24"/>
        </w:rPr>
      </w:pPr>
      <w:r>
        <w:rPr>
          <w:sz w:val="24"/>
        </w:rPr>
        <w:lastRenderedPageBreak/>
        <w:t>Could result in death or serious bodily harm to other tenants or those who work on the property.</w:t>
      </w:r>
    </w:p>
    <w:p w:rsidR="004E13A5" w:rsidRDefault="00681463">
      <w:pPr>
        <w:pStyle w:val="BodyText"/>
        <w:spacing w:before="66" w:line="360" w:lineRule="auto"/>
      </w:pPr>
      <w:r>
        <w:t>If the PHA can demonstrate the above, PHA should only terminate your assistance or evict you if there are no other actions that could be taken to reduce or eliminate the threat.</w:t>
      </w:r>
    </w:p>
    <w:p w:rsidR="004E13A5" w:rsidRDefault="00681463">
      <w:pPr>
        <w:pStyle w:val="Heading4"/>
        <w:spacing w:before="66"/>
      </w:pPr>
      <w:r>
        <w:t>Other Laws</w:t>
      </w:r>
    </w:p>
    <w:p w:rsidR="004E13A5" w:rsidRDefault="00681463">
      <w:pPr>
        <w:pStyle w:val="BodyText"/>
        <w:spacing w:before="196" w:line="360" w:lineRule="auto"/>
        <w:ind w:right="116"/>
      </w:pPr>
      <w:r>
        <w:t>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w:t>
      </w:r>
    </w:p>
    <w:p w:rsidR="004E13A5" w:rsidRDefault="004E13A5">
      <w:pPr>
        <w:pStyle w:val="BodyText"/>
        <w:spacing w:before="2"/>
        <w:ind w:left="0"/>
        <w:rPr>
          <w:sz w:val="21"/>
        </w:rPr>
      </w:pPr>
    </w:p>
    <w:p w:rsidR="004E13A5" w:rsidRDefault="00681463">
      <w:pPr>
        <w:pStyle w:val="Heading4"/>
      </w:pPr>
      <w:r>
        <w:t>Non-Compliance with The Requirements of This Notice</w:t>
      </w:r>
    </w:p>
    <w:p w:rsidR="004E13A5" w:rsidRDefault="00681463">
      <w:pPr>
        <w:pStyle w:val="ListParagraph"/>
        <w:numPr>
          <w:ilvl w:val="0"/>
          <w:numId w:val="93"/>
        </w:numPr>
        <w:tabs>
          <w:tab w:val="left" w:pos="532"/>
          <w:tab w:val="left" w:pos="533"/>
        </w:tabs>
        <w:spacing w:before="201" w:line="350" w:lineRule="auto"/>
        <w:ind w:left="100" w:right="538" w:firstLine="0"/>
        <w:rPr>
          <w:rFonts w:ascii="Symbol" w:hAnsi="Symbol"/>
          <w:sz w:val="24"/>
        </w:rPr>
      </w:pPr>
      <w:r>
        <w:rPr>
          <w:sz w:val="24"/>
        </w:rPr>
        <w:t>You may report a covered housing provider’s violations of these rights and seek</w:t>
      </w:r>
      <w:r>
        <w:rPr>
          <w:spacing w:val="-14"/>
          <w:sz w:val="24"/>
        </w:rPr>
        <w:t xml:space="preserve"> </w:t>
      </w:r>
      <w:r>
        <w:rPr>
          <w:sz w:val="24"/>
        </w:rPr>
        <w:t>additional assistance, if needed, by contacting or filing a complaint with the Portland HUD Field</w:t>
      </w:r>
      <w:r>
        <w:rPr>
          <w:spacing w:val="-17"/>
          <w:sz w:val="24"/>
        </w:rPr>
        <w:t xml:space="preserve"> </w:t>
      </w:r>
      <w:r>
        <w:rPr>
          <w:sz w:val="24"/>
        </w:rPr>
        <w:t>Office.</w:t>
      </w:r>
    </w:p>
    <w:p w:rsidR="004E13A5" w:rsidRDefault="004E13A5">
      <w:pPr>
        <w:pStyle w:val="BodyText"/>
        <w:spacing w:before="1"/>
        <w:ind w:left="0"/>
        <w:rPr>
          <w:sz w:val="22"/>
        </w:rPr>
      </w:pPr>
    </w:p>
    <w:p w:rsidR="004E13A5" w:rsidRDefault="00681463">
      <w:pPr>
        <w:pStyle w:val="Heading4"/>
      </w:pPr>
      <w:r>
        <w:t>For Additional Information</w:t>
      </w:r>
    </w:p>
    <w:p w:rsidR="004E13A5" w:rsidRDefault="00681463">
      <w:pPr>
        <w:pStyle w:val="BodyText"/>
        <w:spacing w:before="196"/>
        <w:ind w:right="176"/>
      </w:pPr>
      <w:r>
        <w:t xml:space="preserve">You may view a copy of HUD’s final VAWA rule at </w:t>
      </w:r>
      <w:hyperlink r:id="rId61">
        <w:r>
          <w:rPr>
            <w:color w:val="0000FF"/>
            <w:u w:val="single" w:color="0000FF"/>
          </w:rPr>
          <w:t>https://www.gpo.gov/fdsys/pkg/FR-2016-11-</w:t>
        </w:r>
      </w:hyperlink>
      <w:r>
        <w:rPr>
          <w:color w:val="0000FF"/>
          <w:u w:val="single" w:color="0000FF"/>
        </w:rPr>
        <w:t xml:space="preserve"> </w:t>
      </w:r>
      <w:hyperlink r:id="rId62">
        <w:r>
          <w:rPr>
            <w:color w:val="0000FF"/>
            <w:u w:val="single" w:color="0000FF"/>
          </w:rPr>
          <w:t>16/pdf/2016-25888.pdf</w:t>
        </w:r>
        <w:r>
          <w:t>.</w:t>
        </w:r>
      </w:hyperlink>
    </w:p>
    <w:p w:rsidR="004E13A5" w:rsidRDefault="00681463">
      <w:pPr>
        <w:pStyle w:val="BodyText"/>
        <w:spacing w:before="141" w:line="360" w:lineRule="auto"/>
        <w:ind w:firstLine="60"/>
      </w:pPr>
      <w:r>
        <w:t>Additionally, the PHA must make a copy of HUD’s VAWA regulations available to you if you ask to see them.</w:t>
      </w:r>
    </w:p>
    <w:p w:rsidR="004E13A5" w:rsidRDefault="00681463">
      <w:pPr>
        <w:pStyle w:val="BodyText"/>
        <w:spacing w:before="65"/>
        <w:rPr>
          <w:b/>
        </w:rPr>
      </w:pPr>
      <w:r>
        <w:t>For questions regarding VAWA, please contact Karley Tobey 541-741-2045</w:t>
      </w:r>
      <w:r>
        <w:rPr>
          <w:b/>
        </w:rPr>
        <w:t>.</w:t>
      </w:r>
    </w:p>
    <w:p w:rsidR="004E13A5" w:rsidRDefault="00681463">
      <w:pPr>
        <w:pStyle w:val="BodyText"/>
        <w:spacing w:before="196" w:line="360" w:lineRule="auto"/>
        <w:ind w:right="63"/>
      </w:pPr>
      <w:r>
        <w:t>For help regarding an abusive relationship, you may call the National Domestic Violence Hotline at 1-800-799-7233 or, for persons with hearing impairments, 1-800-787-3224 (TTY).</w:t>
      </w:r>
    </w:p>
    <w:p w:rsidR="004E13A5" w:rsidRDefault="00681463">
      <w:pPr>
        <w:spacing w:before="64" w:line="360" w:lineRule="auto"/>
        <w:ind w:left="100" w:right="115"/>
        <w:rPr>
          <w:sz w:val="24"/>
        </w:rPr>
      </w:pPr>
      <w:r>
        <w:rPr>
          <w:sz w:val="24"/>
        </w:rPr>
        <w:t xml:space="preserve">For tenants who are or have been victims of stalking seeking help may visit the National Center for Victims of Crime’s Stalking Resource Center at </w:t>
      </w:r>
      <w:hyperlink r:id="rId63">
        <w:r>
          <w:rPr>
            <w:b/>
            <w:color w:val="990000"/>
            <w:sz w:val="24"/>
            <w:u w:val="thick" w:color="990000"/>
          </w:rPr>
          <w:t>https://www.victimsofcrime.org/our-</w:t>
        </w:r>
      </w:hyperlink>
      <w:r>
        <w:rPr>
          <w:b/>
          <w:color w:val="990000"/>
          <w:sz w:val="24"/>
          <w:u w:val="thick" w:color="990000"/>
        </w:rPr>
        <w:t xml:space="preserve"> </w:t>
      </w:r>
      <w:hyperlink r:id="rId64">
        <w:r>
          <w:rPr>
            <w:b/>
            <w:color w:val="990000"/>
            <w:sz w:val="24"/>
            <w:u w:val="thick" w:color="990000"/>
          </w:rPr>
          <w:t>programs/stalking-resource-center</w:t>
        </w:r>
        <w:r>
          <w:rPr>
            <w:sz w:val="24"/>
          </w:rPr>
          <w:t>.</w:t>
        </w:r>
      </w:hyperlink>
    </w:p>
    <w:p w:rsidR="004E13A5" w:rsidRDefault="004E13A5">
      <w:pPr>
        <w:spacing w:line="360" w:lineRule="auto"/>
        <w:rPr>
          <w:sz w:val="24"/>
        </w:rPr>
        <w:sectPr w:rsidR="004E13A5">
          <w:pgSz w:w="12240" w:h="15840"/>
          <w:pgMar w:top="1000" w:right="1240" w:bottom="1240" w:left="1220" w:header="0" w:footer="998" w:gutter="0"/>
          <w:cols w:space="720"/>
        </w:sect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6"/>
        <w:ind w:left="0"/>
        <w:rPr>
          <w:sz w:val="21"/>
        </w:rPr>
      </w:pPr>
    </w:p>
    <w:p w:rsidR="004E13A5" w:rsidRDefault="00681463">
      <w:pPr>
        <w:ind w:left="220"/>
        <w:rPr>
          <w:sz w:val="24"/>
        </w:rPr>
      </w:pPr>
      <w:r>
        <w:rPr>
          <w:b/>
          <w:sz w:val="24"/>
        </w:rPr>
        <w:t xml:space="preserve">Attachment:  </w:t>
      </w:r>
      <w:r>
        <w:rPr>
          <w:sz w:val="24"/>
        </w:rPr>
        <w:t>Certification form HUD-5382</w:t>
      </w:r>
    </w:p>
    <w:p w:rsidR="004E13A5" w:rsidRDefault="003263D1">
      <w:pPr>
        <w:pStyle w:val="BodyText"/>
        <w:spacing w:before="11"/>
        <w:ind w:left="0"/>
        <w:rPr>
          <w:sz w:val="18"/>
        </w:rPr>
      </w:pPr>
      <w:r>
        <w:rPr>
          <w:noProof/>
        </w:rPr>
        <mc:AlternateContent>
          <mc:Choice Requires="wps">
            <w:drawing>
              <wp:anchor distT="0" distB="0" distL="0" distR="0" simplePos="0" relativeHeight="1744" behindDoc="0" locked="0" layoutInCell="1" allowOverlap="1">
                <wp:simplePos x="0" y="0"/>
                <wp:positionH relativeFrom="page">
                  <wp:posOffset>766445</wp:posOffset>
                </wp:positionH>
                <wp:positionV relativeFrom="paragraph">
                  <wp:posOffset>166370</wp:posOffset>
                </wp:positionV>
                <wp:extent cx="6240780" cy="558165"/>
                <wp:effectExtent l="13970" t="13970" r="12700" b="8890"/>
                <wp:wrapTopAndBottom/>
                <wp:docPr id="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305" w:right="307"/>
                              <w:jc w:val="center"/>
                              <w:rPr>
                                <w:b/>
                                <w:sz w:val="24"/>
                              </w:rPr>
                            </w:pPr>
                            <w:r>
                              <w:rPr>
                                <w:b/>
                                <w:sz w:val="24"/>
                              </w:rPr>
                              <w:t>EXHIBIT 16-2: CERTIFICATION OF DOMESTIC VIOLENCE, DATING VIOLENCE, SEXUAL ASSAULT, OR STALKING AND ALTERNATE DOCUMENTATON, FORM HUD-5382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60.35pt;margin-top:13.1pt;width:491.4pt;height:43.95pt;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" filled="f" strokeweight=".48pt">
                <v:textbox inset="0,0,0,0">
                  <w:txbxContent>
                    <w:p w:rsidR="00BA59C9" w:rsidRDefault="00BA59C9">
                      <w:pPr>
                        <w:spacing w:before="18"/>
                        <w:ind w:left="305" w:right="307"/>
                        <w:jc w:val="center"/>
                        <w:rPr>
                          <w:b/>
                          <w:sz w:val="24"/>
                        </w:rPr>
                      </w:pPr>
                      <w:r>
                        <w:rPr>
                          <w:b/>
                          <w:sz w:val="24"/>
                        </w:rPr>
                        <w:t>EXHIBIT 16-2: CERTIFICATION OF DOMESTIC VIOLENCE, DATING VIOLENCE, SEXUAL ASSAULT, OR STALKING AND ALTERNATE DOCUMENTATON, FORM HUD-5382</w:t>
                      </w:r>
                    </w:p>
                  </w:txbxContent>
                </v:textbox>
                <w10:wrap type="topAndBottom" anchorx="page"/>
              </v:shape>
            </w:pict>
          </mc:Fallback>
        </mc:AlternateContent>
      </w:r>
    </w:p>
    <w:p w:rsidR="004E13A5" w:rsidRDefault="00681463">
      <w:pPr>
        <w:tabs>
          <w:tab w:val="left" w:pos="3151"/>
          <w:tab w:val="left" w:pos="6910"/>
        </w:tabs>
        <w:spacing w:line="222" w:lineRule="exact"/>
        <w:ind w:left="220"/>
        <w:rPr>
          <w:sz w:val="20"/>
        </w:rPr>
      </w:pPr>
      <w:r>
        <w:rPr>
          <w:b/>
        </w:rPr>
        <w:t>CERTIFICATION</w:t>
      </w:r>
      <w:r>
        <w:rPr>
          <w:b/>
          <w:spacing w:val="-5"/>
        </w:rPr>
        <w:t xml:space="preserve"> </w:t>
      </w:r>
      <w:r>
        <w:rPr>
          <w:b/>
        </w:rPr>
        <w:t>OF</w:t>
      </w:r>
      <w:r>
        <w:rPr>
          <w:b/>
        </w:rPr>
        <w:tab/>
        <w:t>U.S. Department</w:t>
      </w:r>
      <w:r>
        <w:rPr>
          <w:b/>
          <w:spacing w:val="-4"/>
        </w:rPr>
        <w:t xml:space="preserve"> </w:t>
      </w:r>
      <w:r>
        <w:rPr>
          <w:b/>
        </w:rPr>
        <w:t>of</w:t>
      </w:r>
      <w:r>
        <w:rPr>
          <w:b/>
          <w:spacing w:val="-1"/>
        </w:rPr>
        <w:t xml:space="preserve"> </w:t>
      </w:r>
      <w:r>
        <w:rPr>
          <w:b/>
        </w:rPr>
        <w:t>Housing</w:t>
      </w:r>
      <w:r>
        <w:rPr>
          <w:b/>
        </w:rPr>
        <w:tab/>
      </w:r>
      <w:r>
        <w:rPr>
          <w:sz w:val="20"/>
        </w:rPr>
        <w:t>OMB Approval No.</w:t>
      </w:r>
      <w:r>
        <w:rPr>
          <w:spacing w:val="-7"/>
          <w:sz w:val="20"/>
        </w:rPr>
        <w:t xml:space="preserve"> </w:t>
      </w:r>
      <w:r>
        <w:rPr>
          <w:sz w:val="20"/>
        </w:rPr>
        <w:t>2577-0286</w:t>
      </w:r>
    </w:p>
    <w:p w:rsidR="004E13A5" w:rsidRDefault="00681463">
      <w:pPr>
        <w:tabs>
          <w:tab w:val="left" w:pos="3253"/>
          <w:tab w:val="left" w:pos="8095"/>
        </w:tabs>
        <w:spacing w:before="1" w:line="252" w:lineRule="exact"/>
        <w:ind w:left="220"/>
        <w:rPr>
          <w:sz w:val="20"/>
        </w:rPr>
      </w:pPr>
      <w:r>
        <w:rPr>
          <w:b/>
        </w:rPr>
        <w:t>DOMESTIC</w:t>
      </w:r>
      <w:r>
        <w:rPr>
          <w:b/>
          <w:spacing w:val="-2"/>
        </w:rPr>
        <w:t xml:space="preserve"> </w:t>
      </w:r>
      <w:r>
        <w:rPr>
          <w:b/>
        </w:rPr>
        <w:t>VIOLENCE,</w:t>
      </w:r>
      <w:r>
        <w:rPr>
          <w:b/>
        </w:rPr>
        <w:tab/>
        <w:t>and</w:t>
      </w:r>
      <w:r>
        <w:rPr>
          <w:b/>
          <w:spacing w:val="-2"/>
        </w:rPr>
        <w:t xml:space="preserve"> </w:t>
      </w:r>
      <w:r>
        <w:rPr>
          <w:b/>
        </w:rPr>
        <w:t>Urban</w:t>
      </w:r>
      <w:r>
        <w:rPr>
          <w:b/>
          <w:spacing w:val="-4"/>
        </w:rPr>
        <w:t xml:space="preserve"> </w:t>
      </w:r>
      <w:r>
        <w:rPr>
          <w:b/>
        </w:rPr>
        <w:t>Development</w:t>
      </w:r>
      <w:r>
        <w:rPr>
          <w:b/>
        </w:rPr>
        <w:tab/>
      </w:r>
      <w:r>
        <w:rPr>
          <w:sz w:val="20"/>
        </w:rPr>
        <w:t>Exp.</w:t>
      </w:r>
      <w:r>
        <w:rPr>
          <w:spacing w:val="-7"/>
          <w:sz w:val="20"/>
        </w:rPr>
        <w:t xml:space="preserve"> </w:t>
      </w:r>
      <w:r>
        <w:rPr>
          <w:sz w:val="20"/>
        </w:rPr>
        <w:t>06/30/2017</w:t>
      </w:r>
    </w:p>
    <w:p w:rsidR="004E13A5" w:rsidRDefault="00681463">
      <w:pPr>
        <w:spacing w:line="252" w:lineRule="exact"/>
        <w:ind w:left="220"/>
        <w:rPr>
          <w:b/>
        </w:rPr>
      </w:pPr>
      <w:r>
        <w:rPr>
          <w:b/>
        </w:rPr>
        <w:t>DATING VIOLENCE,</w:t>
      </w:r>
    </w:p>
    <w:p w:rsidR="004E13A5" w:rsidRDefault="00681463">
      <w:pPr>
        <w:spacing w:before="2"/>
        <w:ind w:left="220" w:right="5815"/>
        <w:rPr>
          <w:b/>
        </w:rPr>
      </w:pPr>
      <w:r>
        <w:rPr>
          <w:b/>
        </w:rPr>
        <w:t>SEXUAL ASSAULT, OR STALKING, AND ALTERNATE DOCUMENTATION</w:t>
      </w:r>
    </w:p>
    <w:p w:rsidR="004E13A5" w:rsidRDefault="00681463">
      <w:pPr>
        <w:spacing w:before="119"/>
        <w:ind w:left="220" w:right="260"/>
      </w:pPr>
      <w:r>
        <w:rPr>
          <w:b/>
        </w:rPr>
        <w:t xml:space="preserve">Purpose of Form: </w:t>
      </w:r>
      <w:r>
        <w:t>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Despite the name of this law, VAWA protection is available to victims of domestic violence, dating violence, sexual assault, and stalking, regardless of sex, gender identity, or sexual orientation.</w:t>
      </w:r>
    </w:p>
    <w:p w:rsidR="004E13A5" w:rsidRDefault="00681463">
      <w:pPr>
        <w:spacing w:before="120"/>
        <w:ind w:left="220" w:right="213"/>
      </w:pPr>
      <w:r>
        <w:rPr>
          <w:b/>
        </w:rPr>
        <w:t xml:space="preserve">Use of This Optional Form: </w:t>
      </w:r>
      <w:r>
        <w:t>If you are seeking VAWA protections from your housing provider, your housing provider may give you a written request that asks you to submit documentation about the incident or incidents of domestic violence, dating violence, sexual assault, or stalking.</w:t>
      </w:r>
    </w:p>
    <w:p w:rsidR="004E13A5" w:rsidRDefault="00681463">
      <w:pPr>
        <w:spacing w:before="120"/>
        <w:ind w:left="220" w:right="292"/>
      </w:pPr>
      <w:r>
        <w:t>In response to this request, you or someone on your behalf may complete this optional form and submit it to your housing provider, or you may submit one of the following types of third-party documentation:</w:t>
      </w:r>
    </w:p>
    <w:p w:rsidR="004E13A5" w:rsidRDefault="00681463">
      <w:pPr>
        <w:pStyle w:val="ListParagraph"/>
        <w:numPr>
          <w:ilvl w:val="0"/>
          <w:numId w:val="28"/>
        </w:numPr>
        <w:tabs>
          <w:tab w:val="left" w:pos="715"/>
        </w:tabs>
        <w:spacing w:before="120"/>
        <w:ind w:right="225" w:firstLine="0"/>
      </w:pPr>
      <w:r>
        <w:t>A document signed by you and an employee, agent, or volunteer of a victim service provider, an attorney, or medical professional, or a mental health professional (collectively, “professional”) from</w:t>
      </w:r>
      <w:r>
        <w:rPr>
          <w:spacing w:val="-31"/>
        </w:rPr>
        <w:t xml:space="preserve"> </w:t>
      </w:r>
      <w:r>
        <w:t>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w:t>
      </w:r>
      <w:r>
        <w:rPr>
          <w:spacing w:val="-6"/>
        </w:rPr>
        <w:t xml:space="preserve"> </w:t>
      </w:r>
      <w:r>
        <w:t>5.2003.</w:t>
      </w:r>
    </w:p>
    <w:p w:rsidR="004E13A5" w:rsidRDefault="00681463">
      <w:pPr>
        <w:pStyle w:val="ListParagraph"/>
        <w:numPr>
          <w:ilvl w:val="0"/>
          <w:numId w:val="28"/>
        </w:numPr>
        <w:tabs>
          <w:tab w:val="left" w:pos="715"/>
        </w:tabs>
        <w:spacing w:before="118"/>
        <w:ind w:right="288" w:firstLine="0"/>
      </w:pPr>
      <w:r>
        <w:t>A</w:t>
      </w:r>
      <w:r>
        <w:rPr>
          <w:spacing w:val="-6"/>
        </w:rPr>
        <w:t xml:space="preserve"> </w:t>
      </w:r>
      <w:r>
        <w:t>record</w:t>
      </w:r>
      <w:r>
        <w:rPr>
          <w:spacing w:val="-2"/>
        </w:rPr>
        <w:t xml:space="preserve"> </w:t>
      </w:r>
      <w:r>
        <w:t>of</w:t>
      </w:r>
      <w:r>
        <w:rPr>
          <w:spacing w:val="-2"/>
        </w:rPr>
        <w:t xml:space="preserve"> </w:t>
      </w:r>
      <w:r>
        <w:t>a</w:t>
      </w:r>
      <w:r>
        <w:rPr>
          <w:spacing w:val="-2"/>
        </w:rPr>
        <w:t xml:space="preserve"> </w:t>
      </w:r>
      <w:r>
        <w:t>Federal,</w:t>
      </w:r>
      <w:r>
        <w:rPr>
          <w:spacing w:val="-2"/>
        </w:rPr>
        <w:t xml:space="preserve"> </w:t>
      </w:r>
      <w:r>
        <w:t>State,</w:t>
      </w:r>
      <w:r>
        <w:rPr>
          <w:spacing w:val="-2"/>
        </w:rPr>
        <w:t xml:space="preserve"> </w:t>
      </w:r>
      <w:r>
        <w:t>tribal,</w:t>
      </w:r>
      <w:r>
        <w:rPr>
          <w:spacing w:val="-5"/>
        </w:rPr>
        <w:t xml:space="preserve"> </w:t>
      </w:r>
      <w:r>
        <w:t>territorial</w:t>
      </w:r>
      <w:r>
        <w:rPr>
          <w:spacing w:val="-4"/>
        </w:rPr>
        <w:t xml:space="preserve"> </w:t>
      </w:r>
      <w:r>
        <w:t>or</w:t>
      </w:r>
      <w:r>
        <w:rPr>
          <w:spacing w:val="-4"/>
        </w:rPr>
        <w:t xml:space="preserve"> </w:t>
      </w:r>
      <w:r>
        <w:t>local</w:t>
      </w:r>
      <w:r>
        <w:rPr>
          <w:spacing w:val="-2"/>
        </w:rPr>
        <w:t xml:space="preserve"> </w:t>
      </w:r>
      <w:r>
        <w:t>law</w:t>
      </w:r>
      <w:r>
        <w:rPr>
          <w:spacing w:val="-2"/>
        </w:rPr>
        <w:t xml:space="preserve"> </w:t>
      </w:r>
      <w:r>
        <w:t>enforcement</w:t>
      </w:r>
      <w:r>
        <w:rPr>
          <w:spacing w:val="-2"/>
        </w:rPr>
        <w:t xml:space="preserve"> </w:t>
      </w:r>
      <w:r>
        <w:t>agency,</w:t>
      </w:r>
      <w:r>
        <w:rPr>
          <w:spacing w:val="-2"/>
        </w:rPr>
        <w:t xml:space="preserve"> </w:t>
      </w:r>
      <w:r>
        <w:t>court,</w:t>
      </w:r>
      <w:r>
        <w:rPr>
          <w:spacing w:val="-2"/>
        </w:rPr>
        <w:t xml:space="preserve"> </w:t>
      </w:r>
      <w:r>
        <w:t>or</w:t>
      </w:r>
      <w:r>
        <w:rPr>
          <w:spacing w:val="-2"/>
        </w:rPr>
        <w:t xml:space="preserve"> </w:t>
      </w:r>
      <w:r>
        <w:t>administrative agency;</w:t>
      </w:r>
      <w:r>
        <w:rPr>
          <w:spacing w:val="-1"/>
        </w:rPr>
        <w:t xml:space="preserve"> </w:t>
      </w:r>
      <w:r>
        <w:t>or</w:t>
      </w:r>
    </w:p>
    <w:p w:rsidR="004E13A5" w:rsidRDefault="00681463">
      <w:pPr>
        <w:pStyle w:val="ListParagraph"/>
        <w:numPr>
          <w:ilvl w:val="0"/>
          <w:numId w:val="28"/>
        </w:numPr>
        <w:tabs>
          <w:tab w:val="left" w:pos="715"/>
        </w:tabs>
        <w:spacing w:before="118"/>
        <w:ind w:right="519" w:firstLine="0"/>
      </w:pPr>
      <w:r>
        <w:t>At the discretion of the housing provider, a statement or other evidence provided by the applicant or tenant.</w:t>
      </w:r>
    </w:p>
    <w:p w:rsidR="004E13A5" w:rsidRDefault="00681463">
      <w:pPr>
        <w:spacing w:before="118"/>
        <w:ind w:left="220" w:right="251"/>
      </w:pPr>
      <w:r>
        <w:rPr>
          <w:b/>
        </w:rPr>
        <w:t xml:space="preserve">Submission of Documentation:  </w:t>
      </w:r>
      <w:r>
        <w:t>The time period to submit documentation is 14 business days from the date that you receive a written request from your housing provider asking that you provide documentation</w:t>
      </w:r>
      <w:r>
        <w:rPr>
          <w:spacing w:val="-28"/>
        </w:rPr>
        <w:t xml:space="preserve"> </w:t>
      </w:r>
      <w:r>
        <w:t>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w:t>
      </w:r>
      <w:r>
        <w:rPr>
          <w:spacing w:val="-19"/>
        </w:rPr>
        <w:t xml:space="preserve"> </w:t>
      </w:r>
      <w:r>
        <w:t>certification.</w:t>
      </w:r>
    </w:p>
    <w:p w:rsidR="004E13A5" w:rsidRDefault="00681463">
      <w:pPr>
        <w:spacing w:before="118"/>
        <w:ind w:left="220" w:right="213"/>
      </w:pPr>
      <w:r>
        <w:rPr>
          <w:b/>
        </w:rPr>
        <w:t xml:space="preserve">Confidentiality: </w:t>
      </w:r>
      <w: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w:t>
      </w:r>
    </w:p>
    <w:p w:rsidR="004E13A5" w:rsidRDefault="004E13A5">
      <w:pPr>
        <w:sectPr w:rsidR="004E13A5">
          <w:pgSz w:w="12240" w:h="15840"/>
          <w:pgMar w:top="1500" w:right="1100" w:bottom="1240" w:left="1100" w:header="0" w:footer="998" w:gutter="0"/>
          <w:cols w:space="720"/>
        </w:sectPr>
      </w:pPr>
    </w:p>
    <w:p w:rsidR="004E13A5" w:rsidRDefault="00681463">
      <w:pPr>
        <w:spacing w:before="78"/>
        <w:ind w:left="100" w:right="151"/>
      </w:pPr>
      <w:r>
        <w:lastRenderedPageBreak/>
        <w:t>time-limited release; (ii) required for use in an eviction proceeding or hearing regarding termination of assistance; or (iii) otherwise required by applicable law.</w:t>
      </w:r>
    </w:p>
    <w:p w:rsidR="004E13A5" w:rsidRDefault="004E13A5">
      <w:pPr>
        <w:sectPr w:rsidR="004E13A5">
          <w:pgSz w:w="12240" w:h="15840"/>
          <w:pgMar w:top="1000" w:right="1720" w:bottom="1240" w:left="1220" w:header="0" w:footer="998" w:gutter="0"/>
          <w:cols w:space="720"/>
        </w:sectPr>
      </w:pPr>
    </w:p>
    <w:p w:rsidR="004E13A5" w:rsidRDefault="00681463">
      <w:pPr>
        <w:spacing w:before="78"/>
        <w:ind w:left="120" w:right="309"/>
        <w:rPr>
          <w:b/>
        </w:rPr>
      </w:pPr>
      <w:r>
        <w:rPr>
          <w:b/>
          <w:u w:val="thick"/>
        </w:rPr>
        <w:lastRenderedPageBreak/>
        <w:t>TO BE COMPLETED BY OR ON BEHALF OF THE VICTIM OF DOMESTIC VIOLENCE, DATING VIOLENCE, SEXUAL ASSAULT, OR STALKING</w:t>
      </w:r>
    </w:p>
    <w:p w:rsidR="004E13A5" w:rsidRDefault="00681463">
      <w:pPr>
        <w:pStyle w:val="ListParagraph"/>
        <w:numPr>
          <w:ilvl w:val="0"/>
          <w:numId w:val="27"/>
        </w:numPr>
        <w:tabs>
          <w:tab w:val="left" w:pos="397"/>
          <w:tab w:val="left" w:pos="9328"/>
        </w:tabs>
        <w:spacing w:before="123"/>
        <w:rPr>
          <w:b/>
        </w:rPr>
      </w:pPr>
      <w:r>
        <w:rPr>
          <w:b/>
        </w:rPr>
        <w:t>Date the written request is received by</w:t>
      </w:r>
      <w:r>
        <w:rPr>
          <w:b/>
          <w:spacing w:val="-15"/>
        </w:rPr>
        <w:t xml:space="preserve"> </w:t>
      </w:r>
      <w:r>
        <w:rPr>
          <w:b/>
        </w:rPr>
        <w:t xml:space="preserve">victim: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7"/>
        </w:numPr>
        <w:tabs>
          <w:tab w:val="left" w:pos="397"/>
          <w:tab w:val="left" w:pos="9375"/>
        </w:tabs>
        <w:spacing w:before="91"/>
        <w:rPr>
          <w:b/>
        </w:rPr>
      </w:pPr>
      <w:r>
        <w:rPr>
          <w:b/>
        </w:rPr>
        <w:t>Name of</w:t>
      </w:r>
      <w:r>
        <w:rPr>
          <w:b/>
          <w:spacing w:val="-6"/>
        </w:rPr>
        <w:t xml:space="preserve"> </w:t>
      </w:r>
      <w:r>
        <w:rPr>
          <w:b/>
        </w:rPr>
        <w:t xml:space="preserve">victim: </w:t>
      </w:r>
      <w:r>
        <w:rPr>
          <w:b/>
          <w:u w:val="single"/>
        </w:rPr>
        <w:t xml:space="preserve"> </w:t>
      </w:r>
      <w:r>
        <w:rPr>
          <w:b/>
          <w:u w:val="single"/>
        </w:rPr>
        <w:tab/>
      </w:r>
    </w:p>
    <w:p w:rsidR="004E13A5" w:rsidRDefault="004E13A5">
      <w:pPr>
        <w:pStyle w:val="BodyText"/>
        <w:spacing w:before="4"/>
        <w:ind w:left="0"/>
        <w:rPr>
          <w:b/>
          <w:sz w:val="13"/>
        </w:rPr>
      </w:pPr>
    </w:p>
    <w:p w:rsidR="004E13A5" w:rsidRDefault="00681463">
      <w:pPr>
        <w:pStyle w:val="ListParagraph"/>
        <w:numPr>
          <w:ilvl w:val="0"/>
          <w:numId w:val="27"/>
        </w:numPr>
        <w:tabs>
          <w:tab w:val="left" w:pos="397"/>
          <w:tab w:val="left" w:pos="9383"/>
        </w:tabs>
        <w:spacing w:before="92"/>
      </w:pPr>
      <w:r>
        <w:rPr>
          <w:b/>
        </w:rPr>
        <w:t>Your name (if different from</w:t>
      </w:r>
      <w:r>
        <w:rPr>
          <w:b/>
          <w:spacing w:val="-16"/>
        </w:rPr>
        <w:t xml:space="preserve"> </w:t>
      </w:r>
      <w:r>
        <w:rPr>
          <w:b/>
        </w:rPr>
        <w:t>victim’s):</w:t>
      </w:r>
      <w:r>
        <w:rPr>
          <w:u w:val="single"/>
        </w:rPr>
        <w:t xml:space="preserve"> </w:t>
      </w:r>
      <w:r>
        <w:rPr>
          <w:u w:val="single"/>
        </w:rPr>
        <w:tab/>
      </w:r>
    </w:p>
    <w:p w:rsidR="004E13A5" w:rsidRDefault="004E13A5">
      <w:pPr>
        <w:pStyle w:val="BodyText"/>
        <w:spacing w:before="5"/>
        <w:ind w:left="0"/>
        <w:rPr>
          <w:sz w:val="13"/>
        </w:rPr>
      </w:pPr>
    </w:p>
    <w:p w:rsidR="004E13A5" w:rsidRDefault="00681463">
      <w:pPr>
        <w:pStyle w:val="ListParagraph"/>
        <w:numPr>
          <w:ilvl w:val="0"/>
          <w:numId w:val="27"/>
        </w:numPr>
        <w:tabs>
          <w:tab w:val="left" w:pos="397"/>
          <w:tab w:val="left" w:pos="9425"/>
        </w:tabs>
        <w:spacing w:before="91"/>
        <w:rPr>
          <w:b/>
        </w:rPr>
      </w:pPr>
      <w:r>
        <w:rPr>
          <w:b/>
        </w:rPr>
        <w:t>Name(s) of other family member(s) listed on the</w:t>
      </w:r>
      <w:r>
        <w:rPr>
          <w:b/>
          <w:spacing w:val="-16"/>
        </w:rPr>
        <w:t xml:space="preserve"> </w:t>
      </w:r>
      <w:r>
        <w:rPr>
          <w:b/>
        </w:rPr>
        <w:t xml:space="preserve">lease: </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8"/>
        <w:ind w:left="0"/>
        <w:rPr>
          <w:b/>
          <w:sz w:val="18"/>
        </w:rPr>
      </w:pPr>
      <w:r>
        <w:rPr>
          <w:noProof/>
        </w:rPr>
        <mc:AlternateContent>
          <mc:Choice Requires="wps">
            <w:drawing>
              <wp:anchor distT="0" distB="0" distL="0" distR="0" simplePos="0" relativeHeight="1768" behindDoc="0" locked="0" layoutInCell="1" allowOverlap="1">
                <wp:simplePos x="0" y="0"/>
                <wp:positionH relativeFrom="page">
                  <wp:posOffset>838200</wp:posOffset>
                </wp:positionH>
                <wp:positionV relativeFrom="paragraph">
                  <wp:posOffset>166370</wp:posOffset>
                </wp:positionV>
                <wp:extent cx="5797550" cy="0"/>
                <wp:effectExtent l="9525" t="13970" r="12700" b="5080"/>
                <wp:wrapTopAndBottom/>
                <wp:docPr id="5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F997" id="Line 41"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pt" to="52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DFg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" strokeweight=".24536mm">
                <w10:wrap type="topAndBottom" anchorx="page"/>
              </v:line>
            </w:pict>
          </mc:Fallback>
        </mc:AlternateContent>
      </w:r>
    </w:p>
    <w:p w:rsidR="004E13A5" w:rsidRDefault="004E13A5">
      <w:pPr>
        <w:pStyle w:val="BodyText"/>
        <w:spacing w:before="10"/>
        <w:ind w:left="0"/>
        <w:rPr>
          <w:b/>
          <w:sz w:val="10"/>
        </w:rPr>
      </w:pPr>
    </w:p>
    <w:p w:rsidR="004E13A5" w:rsidRDefault="00681463">
      <w:pPr>
        <w:pStyle w:val="ListParagraph"/>
        <w:numPr>
          <w:ilvl w:val="0"/>
          <w:numId w:val="27"/>
        </w:numPr>
        <w:tabs>
          <w:tab w:val="left" w:pos="397"/>
          <w:tab w:val="left" w:pos="9432"/>
        </w:tabs>
        <w:spacing w:before="92"/>
        <w:rPr>
          <w:b/>
        </w:rPr>
      </w:pPr>
      <w:r>
        <w:rPr>
          <w:b/>
        </w:rPr>
        <w:t>Residence of</w:t>
      </w:r>
      <w:r>
        <w:rPr>
          <w:b/>
          <w:spacing w:val="-8"/>
        </w:rPr>
        <w:t xml:space="preserve"> </w:t>
      </w:r>
      <w:r>
        <w:rPr>
          <w:b/>
        </w:rPr>
        <w:t xml:space="preserve">victim: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7"/>
        </w:numPr>
        <w:tabs>
          <w:tab w:val="left" w:pos="397"/>
          <w:tab w:val="left" w:pos="9383"/>
        </w:tabs>
        <w:spacing w:before="91"/>
        <w:rPr>
          <w:b/>
        </w:rPr>
      </w:pPr>
      <w:r>
        <w:rPr>
          <w:b/>
        </w:rPr>
        <w:t>Name of the accused perpetrator (if known and can be safely</w:t>
      </w:r>
      <w:r>
        <w:rPr>
          <w:b/>
          <w:spacing w:val="-21"/>
        </w:rPr>
        <w:t xml:space="preserve"> </w:t>
      </w:r>
      <w:r>
        <w:rPr>
          <w:b/>
        </w:rPr>
        <w:t>disclosed):</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0"/>
        <w:ind w:left="0"/>
        <w:rPr>
          <w:b/>
          <w:sz w:val="19"/>
        </w:rPr>
      </w:pPr>
      <w:r>
        <w:rPr>
          <w:noProof/>
        </w:rPr>
        <mc:AlternateContent>
          <mc:Choice Requires="wps">
            <w:drawing>
              <wp:anchor distT="0" distB="0" distL="0" distR="0" simplePos="0" relativeHeight="1792" behindDoc="0" locked="0" layoutInCell="1" allowOverlap="1">
                <wp:simplePos x="0" y="0"/>
                <wp:positionH relativeFrom="page">
                  <wp:posOffset>838200</wp:posOffset>
                </wp:positionH>
                <wp:positionV relativeFrom="paragraph">
                  <wp:posOffset>168275</wp:posOffset>
                </wp:positionV>
                <wp:extent cx="5727065" cy="0"/>
                <wp:effectExtent l="9525" t="6350" r="6985" b="12700"/>
                <wp:wrapTopAndBottom/>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BE0FC" id="Line 40"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25pt" to="516.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JEFQIAACo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" strokeweight=".24536mm">
                <w10:wrap type="topAndBottom" anchorx="page"/>
              </v:line>
            </w:pict>
          </mc:Fallback>
        </mc:AlternateContent>
      </w:r>
    </w:p>
    <w:p w:rsidR="004E13A5" w:rsidRDefault="004E13A5">
      <w:pPr>
        <w:pStyle w:val="BodyText"/>
        <w:spacing w:before="10"/>
        <w:ind w:left="0"/>
        <w:rPr>
          <w:b/>
          <w:sz w:val="10"/>
        </w:rPr>
      </w:pPr>
    </w:p>
    <w:p w:rsidR="004E13A5" w:rsidRDefault="00681463">
      <w:pPr>
        <w:pStyle w:val="ListParagraph"/>
        <w:numPr>
          <w:ilvl w:val="0"/>
          <w:numId w:val="27"/>
        </w:numPr>
        <w:tabs>
          <w:tab w:val="left" w:pos="397"/>
          <w:tab w:val="left" w:pos="9370"/>
        </w:tabs>
        <w:spacing w:before="92"/>
        <w:rPr>
          <w:b/>
        </w:rPr>
      </w:pPr>
      <w:r>
        <w:rPr>
          <w:b/>
        </w:rPr>
        <w:t>Relationship of the accused perpetrator to the</w:t>
      </w:r>
      <w:r>
        <w:rPr>
          <w:b/>
          <w:spacing w:val="-13"/>
        </w:rPr>
        <w:t xml:space="preserve"> </w:t>
      </w:r>
      <w:r>
        <w:rPr>
          <w:b/>
        </w:rPr>
        <w:t>victim:</w:t>
      </w:r>
      <w:r>
        <w:rPr>
          <w:b/>
          <w:spacing w:val="-2"/>
        </w:rPr>
        <w:t xml:space="preserve">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7"/>
        </w:numPr>
        <w:tabs>
          <w:tab w:val="left" w:pos="397"/>
          <w:tab w:val="left" w:pos="9426"/>
        </w:tabs>
        <w:spacing w:before="91"/>
        <w:rPr>
          <w:b/>
        </w:rPr>
      </w:pPr>
      <w:r>
        <w:rPr>
          <w:b/>
        </w:rPr>
        <w:t>Date(s) and times(s) of incident(s) (if</w:t>
      </w:r>
      <w:r>
        <w:rPr>
          <w:b/>
          <w:spacing w:val="-18"/>
        </w:rPr>
        <w:t xml:space="preserve"> </w:t>
      </w:r>
      <w:r>
        <w:rPr>
          <w:b/>
        </w:rPr>
        <w:t>known):</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8"/>
        <w:ind w:left="0"/>
        <w:rPr>
          <w:b/>
          <w:sz w:val="18"/>
        </w:rPr>
      </w:pPr>
      <w:r>
        <w:rPr>
          <w:noProof/>
        </w:rPr>
        <mc:AlternateContent>
          <mc:Choice Requires="wps">
            <w:drawing>
              <wp:anchor distT="0" distB="0" distL="0" distR="0" simplePos="0" relativeHeight="1816" behindDoc="0" locked="0" layoutInCell="1" allowOverlap="1">
                <wp:simplePos x="0" y="0"/>
                <wp:positionH relativeFrom="page">
                  <wp:posOffset>838200</wp:posOffset>
                </wp:positionH>
                <wp:positionV relativeFrom="paragraph">
                  <wp:posOffset>166370</wp:posOffset>
                </wp:positionV>
                <wp:extent cx="4541520" cy="0"/>
                <wp:effectExtent l="9525" t="13970" r="11430" b="5080"/>
                <wp:wrapTopAndBottom/>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9A43" id="Line 39"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pt" to="42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Gt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" strokeweight=".24536mm">
                <w10:wrap type="topAndBottom" anchorx="page"/>
              </v:line>
            </w:pict>
          </mc:Fallback>
        </mc:AlternateContent>
      </w:r>
    </w:p>
    <w:p w:rsidR="004E13A5" w:rsidRDefault="004E13A5">
      <w:pPr>
        <w:pStyle w:val="BodyText"/>
        <w:spacing w:before="10"/>
        <w:ind w:left="0"/>
        <w:rPr>
          <w:b/>
          <w:sz w:val="10"/>
        </w:rPr>
      </w:pPr>
    </w:p>
    <w:p w:rsidR="004E13A5" w:rsidRDefault="003263D1">
      <w:pPr>
        <w:pStyle w:val="ListParagraph"/>
        <w:numPr>
          <w:ilvl w:val="0"/>
          <w:numId w:val="26"/>
        </w:numPr>
        <w:tabs>
          <w:tab w:val="left" w:pos="507"/>
          <w:tab w:val="left" w:pos="9454"/>
        </w:tabs>
        <w:spacing w:before="92"/>
        <w:ind w:hanging="386"/>
        <w:rPr>
          <w:b/>
        </w:rPr>
      </w:pPr>
      <w:r>
        <w:rPr>
          <w:noProof/>
        </w:rPr>
        <mc:AlternateContent>
          <mc:Choice Requires="wps">
            <w:drawing>
              <wp:anchor distT="0" distB="0" distL="114300" distR="114300" simplePos="0" relativeHeight="503039336" behindDoc="1" locked="0" layoutInCell="1" allowOverlap="1">
                <wp:simplePos x="0" y="0"/>
                <wp:positionH relativeFrom="page">
                  <wp:posOffset>934720</wp:posOffset>
                </wp:positionH>
                <wp:positionV relativeFrom="paragraph">
                  <wp:posOffset>903605</wp:posOffset>
                </wp:positionV>
                <wp:extent cx="6007100" cy="0"/>
                <wp:effectExtent l="10795" t="8255" r="11430" b="10795"/>
                <wp:wrapNone/>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D79E" id="Line 38" o:spid="_x0000_s1026" style="position:absolute;z-index:-277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pt,71.15pt" to="546.6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iB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" strokeweight=".15578mm">
                <w10:wrap anchorx="page"/>
              </v:line>
            </w:pict>
          </mc:Fallback>
        </mc:AlternateContent>
      </w:r>
      <w:r>
        <w:rPr>
          <w:noProof/>
        </w:rPr>
        <mc:AlternateContent>
          <mc:Choice Requires="wps">
            <w:drawing>
              <wp:anchor distT="0" distB="0" distL="114300" distR="114300" simplePos="0" relativeHeight="503039360" behindDoc="1" locked="0" layoutInCell="1" allowOverlap="1">
                <wp:simplePos x="0" y="0"/>
                <wp:positionH relativeFrom="page">
                  <wp:posOffset>934720</wp:posOffset>
                </wp:positionH>
                <wp:positionV relativeFrom="paragraph">
                  <wp:posOffset>1234440</wp:posOffset>
                </wp:positionV>
                <wp:extent cx="6007100" cy="0"/>
                <wp:effectExtent l="10795" t="5715" r="11430" b="13335"/>
                <wp:wrapNone/>
                <wp:docPr id="4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16D35" id="Line 37" o:spid="_x0000_s1026" style="position:absolute;z-index:-27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pt,97.2pt" to="546.6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1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" strokeweight=".15578mm">
                <w10:wrap anchorx="page"/>
              </v:line>
            </w:pict>
          </mc:Fallback>
        </mc:AlternateContent>
      </w:r>
      <w:r>
        <w:rPr>
          <w:noProof/>
        </w:rPr>
        <mc:AlternateContent>
          <mc:Choice Requires="wps">
            <w:drawing>
              <wp:anchor distT="0" distB="0" distL="114300" distR="114300" simplePos="0" relativeHeight="503039384" behindDoc="1" locked="0" layoutInCell="1" allowOverlap="1">
                <wp:simplePos x="0" y="0"/>
                <wp:positionH relativeFrom="page">
                  <wp:posOffset>934720</wp:posOffset>
                </wp:positionH>
                <wp:positionV relativeFrom="paragraph">
                  <wp:posOffset>1475105</wp:posOffset>
                </wp:positionV>
                <wp:extent cx="6007100" cy="0"/>
                <wp:effectExtent l="10795" t="8255" r="11430" b="10795"/>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D572" id="Line 36" o:spid="_x0000_s1026" style="position:absolute;z-index:-277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pt,116.15pt" to="546.6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1UFAIAACo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" strokeweight=".15578mm">
                <w10:wrap anchorx="page"/>
              </v:line>
            </w:pict>
          </mc:Fallback>
        </mc:AlternateContent>
      </w:r>
      <w:r w:rsidR="00681463">
        <w:rPr>
          <w:b/>
        </w:rPr>
        <w:t>Location of</w:t>
      </w:r>
      <w:r w:rsidR="00681463">
        <w:rPr>
          <w:b/>
          <w:spacing w:val="-8"/>
        </w:rPr>
        <w:t xml:space="preserve"> </w:t>
      </w:r>
      <w:r w:rsidR="00681463">
        <w:rPr>
          <w:b/>
        </w:rPr>
        <w:t>incident(s):</w:t>
      </w:r>
      <w:r w:rsidR="00681463">
        <w:rPr>
          <w:b/>
          <w:u w:val="single"/>
        </w:rPr>
        <w:t xml:space="preserve"> </w:t>
      </w:r>
      <w:r w:rsidR="00681463">
        <w:rPr>
          <w:b/>
          <w:u w:val="single"/>
        </w:rPr>
        <w:tab/>
      </w:r>
    </w:p>
    <w:p w:rsidR="004E13A5" w:rsidRDefault="003263D1">
      <w:pPr>
        <w:pStyle w:val="BodyText"/>
        <w:spacing w:before="6"/>
        <w:ind w:left="0"/>
        <w:rPr>
          <w:b/>
          <w:sz w:val="16"/>
        </w:rPr>
      </w:pPr>
      <w:r>
        <w:rPr>
          <w:noProof/>
        </w:rPr>
        <mc:AlternateContent>
          <mc:Choice Requires="wps">
            <w:drawing>
              <wp:anchor distT="0" distB="0" distL="0" distR="0" simplePos="0" relativeHeight="1840" behindDoc="0" locked="0" layoutInCell="1" allowOverlap="1">
                <wp:simplePos x="0" y="0"/>
                <wp:positionH relativeFrom="page">
                  <wp:posOffset>838200</wp:posOffset>
                </wp:positionH>
                <wp:positionV relativeFrom="paragraph">
                  <wp:posOffset>151130</wp:posOffset>
                </wp:positionV>
                <wp:extent cx="6210300" cy="1343660"/>
                <wp:effectExtent l="9525" t="8255" r="9525" b="10160"/>
                <wp:wrapTopAndBottom/>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pStyle w:val="BodyText"/>
                              <w:spacing w:before="6"/>
                              <w:ind w:left="0"/>
                              <w:rPr>
                                <w:b/>
                                <w:sz w:val="18"/>
                              </w:rPr>
                            </w:pPr>
                          </w:p>
                          <w:p w:rsidR="00BA59C9" w:rsidRDefault="00BA59C9">
                            <w:pPr>
                              <w:ind w:left="144"/>
                              <w:rPr>
                                <w:sz w:val="20"/>
                              </w:rPr>
                            </w:pPr>
                            <w:r>
                              <w:rPr>
                                <w:sz w:val="20"/>
                              </w:rPr>
                              <w:t>In your own words, briefly describe the incident(s):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66pt;margin-top:11.9pt;width:489pt;height:105.8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" filled="f">
                <v:textbox inset="0,0,0,0">
                  <w:txbxContent>
                    <w:p w:rsidR="00BA59C9" w:rsidRDefault="00BA59C9">
                      <w:pPr>
                        <w:pStyle w:val="BodyText"/>
                        <w:spacing w:before="6"/>
                        <w:ind w:left="0"/>
                        <w:rPr>
                          <w:b/>
                          <w:sz w:val="18"/>
                        </w:rPr>
                      </w:pPr>
                    </w:p>
                    <w:p w:rsidR="00BA59C9" w:rsidRDefault="00BA59C9">
                      <w:pPr>
                        <w:ind w:left="144"/>
                        <w:rPr>
                          <w:sz w:val="20"/>
                        </w:rPr>
                      </w:pPr>
                      <w:r>
                        <w:rPr>
                          <w:sz w:val="20"/>
                        </w:rPr>
                        <w:t>In your own words, briefly describe the incident(s):</w:t>
                      </w:r>
                    </w:p>
                  </w:txbxContent>
                </v:textbox>
                <w10:wrap type="topAndBottom" anchorx="page"/>
              </v:shape>
            </w:pict>
          </mc:Fallback>
        </mc:AlternateContent>
      </w:r>
    </w:p>
    <w:p w:rsidR="004E13A5" w:rsidRDefault="00681463">
      <w:pPr>
        <w:spacing w:before="92"/>
        <w:ind w:left="120" w:right="274"/>
        <w:jc w:val="both"/>
      </w:pPr>
      <w:r>
        <w:t>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submission of false information could jeopardize program eligibility and could be the basis for denial of admission, termination of assistance, or eviction.</w:t>
      </w:r>
    </w:p>
    <w:p w:rsidR="004E13A5" w:rsidRDefault="004E13A5">
      <w:pPr>
        <w:pStyle w:val="BodyText"/>
        <w:spacing w:before="0"/>
        <w:ind w:left="0"/>
      </w:pPr>
    </w:p>
    <w:p w:rsidR="004E13A5" w:rsidRDefault="004E13A5">
      <w:pPr>
        <w:pStyle w:val="BodyText"/>
        <w:spacing w:before="10"/>
        <w:ind w:left="0"/>
        <w:rPr>
          <w:sz w:val="18"/>
        </w:rPr>
      </w:pPr>
    </w:p>
    <w:p w:rsidR="004E13A5" w:rsidRDefault="00681463">
      <w:pPr>
        <w:tabs>
          <w:tab w:val="left" w:pos="4761"/>
          <w:tab w:val="left" w:pos="9337"/>
        </w:tabs>
        <w:ind w:left="120"/>
      </w:pPr>
      <w:r>
        <w:t>Signature</w:t>
      </w:r>
      <w:r>
        <w:rPr>
          <w:u w:val="single"/>
        </w:rPr>
        <w:t xml:space="preserve"> </w:t>
      </w:r>
      <w:r>
        <w:rPr>
          <w:u w:val="single"/>
        </w:rPr>
        <w:tab/>
      </w:r>
      <w:r>
        <w:t>Signed on</w:t>
      </w:r>
      <w:r>
        <w:rPr>
          <w:spacing w:val="-6"/>
        </w:rPr>
        <w:t xml:space="preserve"> </w:t>
      </w:r>
      <w:r>
        <w:t>(Date)</w:t>
      </w:r>
      <w:r>
        <w:rPr>
          <w:spacing w:val="1"/>
        </w:rPr>
        <w:t xml:space="preserve"> </w:t>
      </w:r>
      <w:r>
        <w:rPr>
          <w:u w:val="single"/>
        </w:rPr>
        <w:t xml:space="preserve"> </w:t>
      </w:r>
      <w:r>
        <w:rPr>
          <w:u w:val="single"/>
        </w:rPr>
        <w:tab/>
      </w:r>
    </w:p>
    <w:p w:rsidR="004E13A5" w:rsidRDefault="00681463">
      <w:pPr>
        <w:spacing w:before="118"/>
        <w:ind w:left="120" w:right="309"/>
      </w:pPr>
      <w:r>
        <w:rPr>
          <w:b/>
        </w:rPr>
        <w:t xml:space="preserve">Public Reporting Burden: </w:t>
      </w:r>
      <w:r>
        <w:t>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w:t>
      </w:r>
      <w:r>
        <w:rPr>
          <w:spacing w:val="-3"/>
        </w:rPr>
        <w:t xml:space="preserve"> </w:t>
      </w:r>
      <w:r>
        <w:t>number.</w:t>
      </w:r>
    </w:p>
    <w:p w:rsidR="004E13A5" w:rsidRDefault="004E13A5">
      <w:pPr>
        <w:sectPr w:rsidR="004E13A5">
          <w:pgSz w:w="12240" w:h="15840"/>
          <w:pgMar w:top="1120" w:right="1040" w:bottom="1240" w:left="1200" w:header="0" w:footer="998" w:gutter="0"/>
          <w:cols w:space="720"/>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240780" cy="558165"/>
                <wp:effectExtent l="9525" t="9525" r="7620" b="13335"/>
                <wp:docPr id="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305" w:right="303"/>
                              <w:jc w:val="center"/>
                              <w:rPr>
                                <w:b/>
                                <w:sz w:val="24"/>
                              </w:rPr>
                            </w:pPr>
                            <w:bookmarkStart w:id="322" w:name="_TOC_250108"/>
                            <w:bookmarkEnd w:id="322"/>
                            <w:r>
                              <w:rPr>
                                <w:b/>
                                <w:sz w:val="24"/>
                              </w:rPr>
                              <w:t>EXHIBIT 16-3: EMERGENCY TRANSFER PLAN FOR VICTIMS OF DOMESTIC VIOLENCE, DATING VIOLENCE, SEXUAL ASSAULT, OR STALKING</w:t>
                            </w:r>
                          </w:p>
                          <w:p w:rsidR="00BA59C9" w:rsidRDefault="00BA59C9">
                            <w:pPr>
                              <w:ind w:left="305" w:right="306"/>
                              <w:jc w:val="center"/>
                              <w:rPr>
                                <w:b/>
                                <w:sz w:val="24"/>
                              </w:rPr>
                            </w:pPr>
                            <w:r>
                              <w:rPr>
                                <w:b/>
                                <w:sz w:val="24"/>
                              </w:rPr>
                              <w:t>(HCV VERSION)</w:t>
                            </w:r>
                          </w:p>
                        </w:txbxContent>
                      </wps:txbx>
                      <wps:bodyPr rot="0" vert="horz" wrap="square" lIns="0" tIns="0" rIns="0" bIns="0" anchor="t" anchorCtr="0" upright="1">
                        <a:noAutofit/>
                      </wps:bodyPr>
                    </wps:wsp>
                  </a:graphicData>
                </a:graphic>
              </wp:inline>
            </w:drawing>
          </mc:Choice>
          <mc:Fallback>
            <w:pict>
              <v:shape id="Text Box 89" o:spid="_x0000_s1046" type="#_x0000_t202" style="width:491.4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" filled="f" strokeweight=".48pt">
                <v:textbox inset="0,0,0,0">
                  <w:txbxContent>
                    <w:p w:rsidR="00BA59C9" w:rsidRDefault="00BA59C9">
                      <w:pPr>
                        <w:spacing w:before="18"/>
                        <w:ind w:left="305" w:right="303"/>
                        <w:jc w:val="center"/>
                        <w:rPr>
                          <w:b/>
                          <w:sz w:val="24"/>
                        </w:rPr>
                      </w:pPr>
                      <w:bookmarkStart w:id="323" w:name="_TOC_250108"/>
                      <w:bookmarkEnd w:id="323"/>
                      <w:r>
                        <w:rPr>
                          <w:b/>
                          <w:sz w:val="24"/>
                        </w:rPr>
                        <w:t>EXHIBIT 16-3: EMERGENCY TRANSFER PLAN FOR VICTIMS OF DOMESTIC VIOLENCE, DATING VIOLENCE, SEXUAL ASSAULT, OR STALKING</w:t>
                      </w:r>
                    </w:p>
                    <w:p w:rsidR="00BA59C9" w:rsidRDefault="00BA59C9">
                      <w:pPr>
                        <w:ind w:left="305" w:right="306"/>
                        <w:jc w:val="center"/>
                        <w:rPr>
                          <w:b/>
                          <w:sz w:val="24"/>
                        </w:rPr>
                      </w:pPr>
                      <w:r>
                        <w:rPr>
                          <w:b/>
                          <w:sz w:val="24"/>
                        </w:rPr>
                        <w:t>(HCV VERSION)</w:t>
                      </w:r>
                    </w:p>
                  </w:txbxContent>
                </v:textbox>
                <w10:anchorlock/>
              </v:shape>
            </w:pict>
          </mc:Fallback>
        </mc:AlternateContent>
      </w:r>
    </w:p>
    <w:p w:rsidR="004E13A5" w:rsidRDefault="00681463">
      <w:pPr>
        <w:pStyle w:val="BodyText"/>
        <w:spacing w:before="22"/>
        <w:ind w:left="645" w:right="758"/>
        <w:jc w:val="center"/>
      </w:pPr>
      <w:r>
        <w:t>Attachment: Certification form HUD-5382</w:t>
      </w:r>
    </w:p>
    <w:p w:rsidR="004E13A5" w:rsidRDefault="004E13A5">
      <w:pPr>
        <w:pStyle w:val="BodyText"/>
        <w:spacing w:before="3"/>
        <w:ind w:left="0"/>
        <w:rPr>
          <w:sz w:val="22"/>
        </w:rPr>
      </w:pPr>
    </w:p>
    <w:p w:rsidR="004E13A5" w:rsidRDefault="00681463">
      <w:pPr>
        <w:pStyle w:val="Heading4"/>
        <w:ind w:left="647" w:right="684"/>
        <w:jc w:val="center"/>
      </w:pPr>
      <w:r>
        <w:t>Coos-Curry Housing Authority</w:t>
      </w:r>
    </w:p>
    <w:p w:rsidR="004E13A5" w:rsidRDefault="004E13A5">
      <w:pPr>
        <w:pStyle w:val="BodyText"/>
        <w:spacing w:before="10"/>
        <w:ind w:left="0"/>
        <w:rPr>
          <w:b/>
          <w:sz w:val="23"/>
        </w:rPr>
      </w:pPr>
    </w:p>
    <w:p w:rsidR="004E13A5" w:rsidRDefault="00681463">
      <w:pPr>
        <w:spacing w:before="1" w:line="360" w:lineRule="auto"/>
        <w:ind w:left="647" w:right="758"/>
        <w:jc w:val="center"/>
        <w:rPr>
          <w:b/>
          <w:sz w:val="24"/>
        </w:rPr>
      </w:pPr>
      <w:r>
        <w:rPr>
          <w:b/>
          <w:sz w:val="24"/>
        </w:rPr>
        <w:t>Emergency Transfer Plan for Victims of Domestic Violence, Dating Violence, Sexual Assault, or Stalking</w:t>
      </w:r>
    </w:p>
    <w:p w:rsidR="004E13A5" w:rsidRDefault="00681463">
      <w:pPr>
        <w:spacing w:before="4"/>
        <w:ind w:left="3192"/>
        <w:rPr>
          <w:b/>
          <w:sz w:val="24"/>
        </w:rPr>
      </w:pPr>
      <w:r>
        <w:rPr>
          <w:b/>
          <w:sz w:val="24"/>
        </w:rPr>
        <w:t>Housing Choice Voucher Program</w:t>
      </w:r>
    </w:p>
    <w:p w:rsidR="004E13A5" w:rsidRDefault="004E13A5">
      <w:pPr>
        <w:pStyle w:val="BodyText"/>
        <w:spacing w:before="11"/>
        <w:ind w:left="0"/>
        <w:rPr>
          <w:b/>
          <w:sz w:val="32"/>
        </w:rPr>
      </w:pPr>
    </w:p>
    <w:p w:rsidR="004E13A5" w:rsidRDefault="00681463">
      <w:pPr>
        <w:ind w:left="220"/>
        <w:rPr>
          <w:b/>
          <w:sz w:val="24"/>
        </w:rPr>
      </w:pPr>
      <w:r>
        <w:rPr>
          <w:b/>
          <w:sz w:val="24"/>
        </w:rPr>
        <w:t>Emergency Transfers</w:t>
      </w:r>
    </w:p>
    <w:p w:rsidR="004E13A5" w:rsidRDefault="00681463">
      <w:pPr>
        <w:pStyle w:val="BodyText"/>
        <w:spacing w:before="197" w:line="357" w:lineRule="auto"/>
        <w:ind w:left="220" w:right="295"/>
      </w:pPr>
      <w:r>
        <w:t>The PHA is concerned about the safety of its tenants, and such concern extends to tenants who are victims of domestic violence, dating violence, sexual assault, or stalking. In accordance with the Violence Against Women Act (VAWA),</w:t>
      </w:r>
      <w:r>
        <w:rPr>
          <w:position w:val="9"/>
          <w:sz w:val="16"/>
        </w:rPr>
        <w:t xml:space="preserve">5 </w:t>
      </w:r>
      <w:r>
        <w:t>the PHA allows tenants who are victims of domestic violence, dating violence, sexual assault, or stalking to request an emergency transfer from the tenant’s current unit to another unit. The ability to request a transfer is available regardless of sex, gender identity, or sexual orientation.</w:t>
      </w:r>
      <w:r>
        <w:rPr>
          <w:position w:val="9"/>
          <w:sz w:val="16"/>
        </w:rPr>
        <w:t xml:space="preserve">6 </w:t>
      </w:r>
      <w:r>
        <w:t>The ability of the PHA to honor such request for tenants currently receiving assistance, however, may depend upon a preliminary determination that the tenant is or has been a victim of domestic violence, dating violence, sexual assault, or stalking, and on whether the PHA has another dwelling unit that is available and is safe to offer the tenant for temporary or more permanent occupancy.</w:t>
      </w:r>
    </w:p>
    <w:p w:rsidR="004E13A5" w:rsidRDefault="00681463">
      <w:pPr>
        <w:pStyle w:val="BodyText"/>
        <w:spacing w:before="66" w:line="360" w:lineRule="auto"/>
        <w:ind w:left="220" w:right="336"/>
      </w:pPr>
      <w:r>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w:t>
      </w:r>
      <w:r>
        <w:rPr>
          <w:position w:val="1"/>
        </w:rPr>
        <w:t xml:space="preserve">transfer plan published by the U.S. Department of Housing and Urban Development </w:t>
      </w:r>
      <w:r>
        <w:t xml:space="preserve">(HUD), the federal agency that oversees that the </w:t>
      </w:r>
      <w:r>
        <w:rPr>
          <w:b/>
        </w:rPr>
        <w:t xml:space="preserve">public housing and housing choice voucher (HCV) programs </w:t>
      </w:r>
      <w:r>
        <w:t>are in compliance with VAWA.</w:t>
      </w:r>
    </w:p>
    <w:p w:rsidR="004E13A5" w:rsidRDefault="004E13A5">
      <w:pPr>
        <w:pStyle w:val="BodyText"/>
        <w:spacing w:before="0"/>
        <w:ind w:left="0"/>
        <w:rPr>
          <w:sz w:val="20"/>
        </w:rPr>
      </w:pPr>
    </w:p>
    <w:p w:rsidR="004E13A5" w:rsidRDefault="003263D1">
      <w:pPr>
        <w:pStyle w:val="BodyText"/>
        <w:spacing w:before="10"/>
        <w:ind w:left="0"/>
        <w:rPr>
          <w:sz w:val="11"/>
        </w:rPr>
      </w:pPr>
      <w:r>
        <w:rPr>
          <w:noProof/>
        </w:rPr>
        <mc:AlternateContent>
          <mc:Choice Requires="wps">
            <w:drawing>
              <wp:anchor distT="0" distB="0" distL="0" distR="0" simplePos="0" relativeHeight="1960" behindDoc="0" locked="0" layoutInCell="1" allowOverlap="1">
                <wp:simplePos x="0" y="0"/>
                <wp:positionH relativeFrom="page">
                  <wp:posOffset>838200</wp:posOffset>
                </wp:positionH>
                <wp:positionV relativeFrom="paragraph">
                  <wp:posOffset>115570</wp:posOffset>
                </wp:positionV>
                <wp:extent cx="1829435" cy="0"/>
                <wp:effectExtent l="9525" t="10795" r="8890" b="8255"/>
                <wp:wrapTopAndBottom/>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50E2" id="Line 33"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9.1pt" to="21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ek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" strokeweight=".21169mm">
                <w10:wrap type="topAndBottom" anchorx="page"/>
              </v:line>
            </w:pict>
          </mc:Fallback>
        </mc:AlternateContent>
      </w: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17"/>
        </w:rPr>
      </w:pPr>
    </w:p>
    <w:p w:rsidR="004E13A5" w:rsidRDefault="00681463">
      <w:pPr>
        <w:spacing w:before="92"/>
        <w:ind w:left="220" w:right="260"/>
        <w:rPr>
          <w:rFonts w:ascii="Arial"/>
          <w:sz w:val="20"/>
        </w:rPr>
      </w:pPr>
      <w:r>
        <w:rPr>
          <w:rFonts w:ascii="Arial"/>
          <w:position w:val="6"/>
          <w:sz w:val="13"/>
        </w:rPr>
        <w:t>5</w:t>
      </w:r>
      <w:r>
        <w:rPr>
          <w:rFonts w:ascii="Arial"/>
          <w:sz w:val="20"/>
        </w:rPr>
        <w:t>Despite the name of this law, VAWA protection is available to all victims of domestic violence, dating violence, sexual assault, and stalking, regardless of sex, gender identity, or sexual orientation.</w:t>
      </w:r>
    </w:p>
    <w:p w:rsidR="004E13A5" w:rsidRDefault="00681463">
      <w:pPr>
        <w:spacing w:before="119"/>
        <w:ind w:left="220" w:right="306"/>
        <w:rPr>
          <w:rFonts w:ascii="Arial"/>
          <w:sz w:val="20"/>
        </w:rPr>
      </w:pPr>
      <w:r>
        <w:rPr>
          <w:rFonts w:ascii="Arial"/>
          <w:position w:val="6"/>
          <w:sz w:val="13"/>
        </w:rPr>
        <w:t>6</w:t>
      </w:r>
      <w:r>
        <w:rPr>
          <w:rFonts w:ascii="Arial"/>
          <w:sz w:val="20"/>
        </w:rPr>
        <w:t>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rsidR="004E13A5" w:rsidRDefault="004E13A5">
      <w:pPr>
        <w:rPr>
          <w:rFonts w:ascii="Arial"/>
          <w:sz w:val="20"/>
        </w:rPr>
        <w:sectPr w:rsidR="004E13A5">
          <w:pgSz w:w="12240" w:h="15840"/>
          <w:pgMar w:top="1200" w:right="1100" w:bottom="1200" w:left="1100" w:header="0" w:footer="998" w:gutter="0"/>
          <w:cols w:space="720"/>
        </w:sectPr>
      </w:pPr>
    </w:p>
    <w:p w:rsidR="004E13A5" w:rsidRDefault="00681463">
      <w:pPr>
        <w:pStyle w:val="Heading4"/>
        <w:spacing w:before="79"/>
      </w:pPr>
      <w:r>
        <w:lastRenderedPageBreak/>
        <w:t>Eligibility for Emergency Transfers</w:t>
      </w:r>
    </w:p>
    <w:p w:rsidR="004E13A5" w:rsidRDefault="00681463">
      <w:pPr>
        <w:pStyle w:val="BodyText"/>
        <w:spacing w:before="197" w:line="360" w:lineRule="auto"/>
        <w:ind w:right="229"/>
      </w:pPr>
      <w:r>
        <w:t>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may also be eligible to transfer if the sexual assault occurred on the premises within the 90-calendar- day period preceding a request for an emergency transfer.</w:t>
      </w:r>
    </w:p>
    <w:p w:rsidR="004E13A5" w:rsidRDefault="00681463">
      <w:pPr>
        <w:pStyle w:val="BodyText"/>
        <w:spacing w:before="64" w:line="360" w:lineRule="auto"/>
        <w:ind w:right="275"/>
      </w:pPr>
      <w:r>
        <w:t>A tenant requesting an emergency transfer must expressly request the transfer in accordance with the procedures described in this plan.</w:t>
      </w:r>
    </w:p>
    <w:p w:rsidR="004E13A5" w:rsidRDefault="00681463">
      <w:pPr>
        <w:pStyle w:val="BodyText"/>
        <w:spacing w:before="64" w:line="360" w:lineRule="auto"/>
        <w:ind w:right="689"/>
      </w:pPr>
      <w:r>
        <w:t>Tenants who are not in good standing may still request an emergency transfer if they meet the eligibility requirements in this section.</w:t>
      </w:r>
    </w:p>
    <w:p w:rsidR="004E13A5" w:rsidRDefault="004E13A5">
      <w:pPr>
        <w:pStyle w:val="BodyText"/>
        <w:spacing w:before="1"/>
        <w:ind w:left="0"/>
        <w:rPr>
          <w:sz w:val="21"/>
        </w:rPr>
      </w:pPr>
    </w:p>
    <w:p w:rsidR="004E13A5" w:rsidRDefault="00681463">
      <w:pPr>
        <w:pStyle w:val="Heading4"/>
      </w:pPr>
      <w:r>
        <w:t>Emergency Transfer Request Documentation</w:t>
      </w:r>
    </w:p>
    <w:p w:rsidR="004E13A5" w:rsidRDefault="00681463">
      <w:pPr>
        <w:pStyle w:val="BodyText"/>
        <w:spacing w:before="198" w:line="360" w:lineRule="auto"/>
        <w:ind w:right="189"/>
      </w:pPr>
      <w:r>
        <w:t xml:space="preserve">To request an emergency transfer, the tenant shall notify the PHA’s management office and submit </w:t>
      </w:r>
      <w:r>
        <w:rPr>
          <w:position w:val="1"/>
        </w:rPr>
        <w:t xml:space="preserve">a </w:t>
      </w:r>
      <w:r>
        <w:t xml:space="preserve">written request for a transfer to </w:t>
      </w:r>
      <w:r>
        <w:rPr>
          <w:b/>
        </w:rPr>
        <w:t>any PHA office</w:t>
      </w:r>
      <w:r>
        <w:t>. The PHA will provide reasonable accommodations to this policy for individuals with disabilities. The tenant’s written request for an emergency transfer should include either:</w:t>
      </w:r>
    </w:p>
    <w:p w:rsidR="004E13A5" w:rsidRDefault="00681463">
      <w:pPr>
        <w:pStyle w:val="ListParagraph"/>
        <w:numPr>
          <w:ilvl w:val="1"/>
          <w:numId w:val="26"/>
        </w:numPr>
        <w:tabs>
          <w:tab w:val="left" w:pos="922"/>
        </w:tabs>
        <w:spacing w:before="66" w:line="360" w:lineRule="auto"/>
        <w:ind w:right="550"/>
        <w:rPr>
          <w:sz w:val="24"/>
        </w:rPr>
      </w:pPr>
      <w:r>
        <w:rPr>
          <w:sz w:val="24"/>
        </w:rPr>
        <w:t>A statement expressing that the tenant reasonably believes that there is a threat of imminent harm from further violence if the tenant were to remain in the same dwelling unit assisted under the PHA’s program;</w:t>
      </w:r>
      <w:r>
        <w:rPr>
          <w:spacing w:val="-18"/>
          <w:sz w:val="24"/>
        </w:rPr>
        <w:t xml:space="preserve"> </w:t>
      </w:r>
      <w:r>
        <w:rPr>
          <w:sz w:val="24"/>
        </w:rPr>
        <w:t>OR</w:t>
      </w:r>
    </w:p>
    <w:p w:rsidR="004E13A5" w:rsidRDefault="00681463">
      <w:pPr>
        <w:pStyle w:val="ListParagraph"/>
        <w:numPr>
          <w:ilvl w:val="1"/>
          <w:numId w:val="26"/>
        </w:numPr>
        <w:tabs>
          <w:tab w:val="left" w:pos="922"/>
        </w:tabs>
        <w:spacing w:before="64" w:line="360" w:lineRule="auto"/>
        <w:ind w:right="981"/>
        <w:rPr>
          <w:sz w:val="24"/>
        </w:rPr>
      </w:pPr>
      <w:r>
        <w:rPr>
          <w:sz w:val="24"/>
        </w:rPr>
        <w:t>A statement that the tenant was a sexual assault victim and that the sexual assault occurred on the premises during the 90-calendar-day period preceding the</w:t>
      </w:r>
      <w:r>
        <w:rPr>
          <w:spacing w:val="-16"/>
          <w:sz w:val="24"/>
        </w:rPr>
        <w:t xml:space="preserve"> </w:t>
      </w:r>
      <w:r>
        <w:rPr>
          <w:sz w:val="24"/>
        </w:rPr>
        <w:t>tenant’s request for an emergency</w:t>
      </w:r>
      <w:r>
        <w:rPr>
          <w:spacing w:val="-14"/>
          <w:sz w:val="24"/>
        </w:rPr>
        <w:t xml:space="preserve"> </w:t>
      </w:r>
      <w:r>
        <w:rPr>
          <w:sz w:val="24"/>
        </w:rPr>
        <w:t>transfer.</w:t>
      </w:r>
    </w:p>
    <w:p w:rsidR="004E13A5" w:rsidRDefault="00681463">
      <w:pPr>
        <w:pStyle w:val="Heading4"/>
        <w:spacing w:before="66"/>
      </w:pPr>
      <w:r>
        <w:t>Confidentiality</w:t>
      </w:r>
    </w:p>
    <w:p w:rsidR="004E13A5" w:rsidRDefault="00681463">
      <w:pPr>
        <w:pStyle w:val="BodyText"/>
        <w:spacing w:before="196" w:line="360" w:lineRule="auto"/>
        <w:ind w:right="102"/>
      </w:pPr>
      <w:r>
        <w:t>The PHA will keep confidential any information that the tenant submits in requesting an emergency transfer, and information about the emergency transfer, unless the tenant gives the PHA written permission to release the information on a time-limited basis, or disclosure of the information is required by law or required for use in an eviction proceeding or hearing regarding termination of assistance from the covered program. This includes keeping confidential the new location of the dwelling unit of the tenant, if one is provided, from the person or persons that committed an act of domestic violence, dating violence, sexual assault, or stalking against the tenant. See the Notice of</w:t>
      </w:r>
    </w:p>
    <w:p w:rsidR="004E13A5" w:rsidRDefault="00681463">
      <w:pPr>
        <w:pStyle w:val="BodyText"/>
        <w:spacing w:before="5"/>
      </w:pPr>
      <w:r>
        <w:t>Occupancy Rights under the Violence against Women Act for All Tenants for more information</w:t>
      </w:r>
    </w:p>
    <w:p w:rsidR="004E13A5" w:rsidRDefault="004E13A5">
      <w:pPr>
        <w:sectPr w:rsidR="004E13A5">
          <w:pgSz w:w="12240" w:h="15840"/>
          <w:pgMar w:top="1000" w:right="1200" w:bottom="1240" w:left="1220" w:header="0" w:footer="998" w:gutter="0"/>
          <w:cols w:space="720"/>
        </w:sectPr>
      </w:pPr>
    </w:p>
    <w:p w:rsidR="004E13A5" w:rsidRDefault="00681463">
      <w:pPr>
        <w:pStyle w:val="BodyText"/>
        <w:spacing w:before="79" w:line="360" w:lineRule="auto"/>
        <w:ind w:right="95"/>
      </w:pPr>
      <w:r>
        <w:lastRenderedPageBreak/>
        <w:t>about the PHA’s responsibility to maintain the confidentiality of information related to incidents of domestic violence, dating violence, sexual assault, or stalking.</w:t>
      </w:r>
    </w:p>
    <w:p w:rsidR="004E13A5" w:rsidRDefault="004E13A5">
      <w:pPr>
        <w:pStyle w:val="BodyText"/>
        <w:spacing w:before="4"/>
        <w:ind w:left="0"/>
        <w:rPr>
          <w:sz w:val="21"/>
        </w:rPr>
      </w:pPr>
    </w:p>
    <w:p w:rsidR="004E13A5" w:rsidRDefault="00681463">
      <w:pPr>
        <w:pStyle w:val="Heading4"/>
      </w:pPr>
      <w:r>
        <w:t>Emergency Transfer Timing and Availability</w:t>
      </w:r>
    </w:p>
    <w:p w:rsidR="004E13A5" w:rsidRDefault="00681463">
      <w:pPr>
        <w:pStyle w:val="BodyText"/>
        <w:spacing w:before="196" w:line="360" w:lineRule="auto"/>
      </w:pPr>
      <w:r>
        <w:t>The PHA cannot guarantee that a transfer request will be approved or how long it will take to process a transfer request. The PHA 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unit. If a unit is available, the transferred tenant must agree to abide by the terms and conditions that govern occupancy in the unit to which the tenant has been transferred. The PHA may be unable to transfer a tenant to a particular unit if the tenant has not or cannot establish eligibility for that unit.</w:t>
      </w:r>
    </w:p>
    <w:p w:rsidR="004E13A5" w:rsidRDefault="00681463">
      <w:pPr>
        <w:pStyle w:val="BodyText"/>
        <w:spacing w:before="64" w:line="360" w:lineRule="auto"/>
        <w:ind w:right="269"/>
      </w:pPr>
      <w:r>
        <w:t>If the PHA has no safe and available units for which a tenant who needs an emergency transfer is eligible, the PHA will assist the tenant in identifying other housing providers who may have safe and available units to which the tenant could move. At the tenant’s request, the PHA will also assist tenants in contacting the local organizations offering assistance to victims of domestic violence, dating violence, sexual assault, or stalking that are attached to this plan.</w:t>
      </w:r>
    </w:p>
    <w:p w:rsidR="004E13A5" w:rsidRDefault="00681463">
      <w:pPr>
        <w:pStyle w:val="Heading4"/>
        <w:spacing w:before="66"/>
      </w:pPr>
      <w:r>
        <w:t>Emergency Transfers: Housing Choice Voucher (HCV) Program</w:t>
      </w:r>
    </w:p>
    <w:p w:rsidR="004E13A5" w:rsidRDefault="00681463">
      <w:pPr>
        <w:pStyle w:val="BodyText"/>
        <w:spacing w:before="196" w:line="360" w:lineRule="auto"/>
        <w:ind w:right="108"/>
      </w:pPr>
      <w:r>
        <w:t>Tenant-based assistance: If you are a participant in the tenant-based HCV program and request an emergency transfer as described in this plan, the PHA will assist you to move to a safe unit quickly using your existing voucher assistance. The PHA will make exceptions to program regulations restricting moves as required.</w:t>
      </w:r>
    </w:p>
    <w:p w:rsidR="004E13A5" w:rsidRDefault="00681463">
      <w:pPr>
        <w:pStyle w:val="BodyText"/>
        <w:spacing w:before="63"/>
      </w:pPr>
      <w:r>
        <w:t>At your request, the PHA will refer you to organizations that may be able to further assist you.</w:t>
      </w:r>
    </w:p>
    <w:p w:rsidR="004E13A5" w:rsidRDefault="00681463">
      <w:pPr>
        <w:pStyle w:val="BodyText"/>
        <w:spacing w:before="199" w:line="360" w:lineRule="auto"/>
        <w:ind w:right="110"/>
      </w:pPr>
      <w:r>
        <w:t>Project-based assistance: If you are assisted under the project-based voucher (PBV) program, you may request an emergency transfer under the following programs for which you are not required to apply:</w:t>
      </w:r>
    </w:p>
    <w:p w:rsidR="004E13A5" w:rsidRDefault="00681463">
      <w:pPr>
        <w:pStyle w:val="ListParagraph"/>
        <w:numPr>
          <w:ilvl w:val="0"/>
          <w:numId w:val="25"/>
        </w:numPr>
        <w:tabs>
          <w:tab w:val="left" w:pos="1180"/>
          <w:tab w:val="left" w:pos="1181"/>
        </w:tabs>
        <w:spacing w:before="6"/>
        <w:ind w:hanging="360"/>
        <w:rPr>
          <w:sz w:val="24"/>
        </w:rPr>
      </w:pPr>
      <w:r>
        <w:rPr>
          <w:sz w:val="24"/>
        </w:rPr>
        <w:t>Tenant-based voucher, if</w:t>
      </w:r>
      <w:r>
        <w:rPr>
          <w:spacing w:val="-6"/>
          <w:sz w:val="24"/>
        </w:rPr>
        <w:t xml:space="preserve"> </w:t>
      </w:r>
      <w:r>
        <w:rPr>
          <w:sz w:val="24"/>
        </w:rPr>
        <w:t>available</w:t>
      </w:r>
    </w:p>
    <w:p w:rsidR="004E13A5" w:rsidRDefault="00681463">
      <w:pPr>
        <w:pStyle w:val="ListParagraph"/>
        <w:numPr>
          <w:ilvl w:val="0"/>
          <w:numId w:val="25"/>
        </w:numPr>
        <w:tabs>
          <w:tab w:val="left" w:pos="1180"/>
          <w:tab w:val="left" w:pos="1181"/>
        </w:tabs>
        <w:spacing w:before="137" w:line="348" w:lineRule="auto"/>
        <w:ind w:right="810" w:hanging="360"/>
        <w:rPr>
          <w:sz w:val="24"/>
        </w:rPr>
      </w:pPr>
      <w:r>
        <w:rPr>
          <w:sz w:val="24"/>
        </w:rPr>
        <w:t>Project-based assistance in the same project (if a vacant unit is available and</w:t>
      </w:r>
      <w:r>
        <w:rPr>
          <w:spacing w:val="-17"/>
          <w:sz w:val="24"/>
        </w:rPr>
        <w:t xml:space="preserve"> </w:t>
      </w:r>
      <w:r>
        <w:rPr>
          <w:sz w:val="24"/>
        </w:rPr>
        <w:t>you determine that the vacant unit is</w:t>
      </w:r>
      <w:r>
        <w:rPr>
          <w:spacing w:val="-8"/>
          <w:sz w:val="24"/>
        </w:rPr>
        <w:t xml:space="preserve"> </w:t>
      </w:r>
      <w:r>
        <w:rPr>
          <w:sz w:val="24"/>
        </w:rPr>
        <w:t>safe)</w:t>
      </w:r>
    </w:p>
    <w:p w:rsidR="004E13A5" w:rsidRDefault="00681463">
      <w:pPr>
        <w:pStyle w:val="ListParagraph"/>
        <w:numPr>
          <w:ilvl w:val="0"/>
          <w:numId w:val="25"/>
        </w:numPr>
        <w:tabs>
          <w:tab w:val="left" w:pos="1180"/>
          <w:tab w:val="left" w:pos="1181"/>
        </w:tabs>
        <w:spacing w:before="21"/>
        <w:ind w:left="1180" w:hanging="619"/>
        <w:rPr>
          <w:sz w:val="24"/>
        </w:rPr>
      </w:pPr>
      <w:r>
        <w:rPr>
          <w:sz w:val="24"/>
        </w:rPr>
        <w:t>Project-based assistance in another development owned by the</w:t>
      </w:r>
      <w:r>
        <w:rPr>
          <w:spacing w:val="-13"/>
          <w:sz w:val="24"/>
        </w:rPr>
        <w:t xml:space="preserve"> </w:t>
      </w:r>
      <w:r>
        <w:rPr>
          <w:sz w:val="24"/>
        </w:rPr>
        <w:t>PHA</w:t>
      </w:r>
    </w:p>
    <w:p w:rsidR="004E13A5" w:rsidRDefault="00681463">
      <w:pPr>
        <w:pStyle w:val="BodyText"/>
        <w:spacing w:before="61" w:line="410" w:lineRule="atLeast"/>
      </w:pPr>
      <w:r>
        <w:t>Emergency transfers under VAWA will take priority over waiting list admissions for these types of assistance.</w:t>
      </w:r>
    </w:p>
    <w:p w:rsidR="004E13A5" w:rsidRDefault="004E13A5">
      <w:pPr>
        <w:spacing w:line="410" w:lineRule="atLeast"/>
        <w:sectPr w:rsidR="004E13A5">
          <w:pgSz w:w="12240" w:h="15840"/>
          <w:pgMar w:top="1000" w:right="1280" w:bottom="1240" w:left="1220" w:header="0" w:footer="998" w:gutter="0"/>
          <w:cols w:space="720"/>
        </w:sectPr>
      </w:pPr>
    </w:p>
    <w:p w:rsidR="004E13A5" w:rsidRDefault="00681463">
      <w:pPr>
        <w:pStyle w:val="BodyText"/>
        <w:spacing w:before="79" w:line="360" w:lineRule="auto"/>
        <w:ind w:right="623"/>
      </w:pPr>
      <w:r>
        <w:lastRenderedPageBreak/>
        <w:t>You may also request an emergency transfer under the following programs for which you are required to apply:</w:t>
      </w:r>
    </w:p>
    <w:p w:rsidR="004E13A5" w:rsidRDefault="00681463">
      <w:pPr>
        <w:pStyle w:val="ListParagraph"/>
        <w:numPr>
          <w:ilvl w:val="0"/>
          <w:numId w:val="24"/>
        </w:numPr>
        <w:tabs>
          <w:tab w:val="left" w:pos="1180"/>
          <w:tab w:val="left" w:pos="1181"/>
        </w:tabs>
        <w:spacing w:before="8"/>
        <w:rPr>
          <w:sz w:val="24"/>
        </w:rPr>
      </w:pPr>
      <w:r>
        <w:rPr>
          <w:sz w:val="24"/>
        </w:rPr>
        <w:t>Public housing</w:t>
      </w:r>
      <w:r>
        <w:rPr>
          <w:spacing w:val="-8"/>
          <w:sz w:val="24"/>
        </w:rPr>
        <w:t xml:space="preserve"> </w:t>
      </w:r>
      <w:r>
        <w:rPr>
          <w:sz w:val="24"/>
        </w:rPr>
        <w:t>program</w:t>
      </w:r>
    </w:p>
    <w:p w:rsidR="004E13A5" w:rsidRDefault="00681463">
      <w:pPr>
        <w:pStyle w:val="ListParagraph"/>
        <w:numPr>
          <w:ilvl w:val="0"/>
          <w:numId w:val="24"/>
        </w:numPr>
        <w:tabs>
          <w:tab w:val="left" w:pos="1180"/>
          <w:tab w:val="left" w:pos="1181"/>
        </w:tabs>
        <w:spacing w:before="138"/>
        <w:rPr>
          <w:sz w:val="24"/>
        </w:rPr>
      </w:pPr>
      <w:r>
        <w:rPr>
          <w:sz w:val="24"/>
        </w:rPr>
        <w:t>PBV assistance in another development not owned by the</w:t>
      </w:r>
      <w:r>
        <w:rPr>
          <w:spacing w:val="-12"/>
          <w:sz w:val="24"/>
        </w:rPr>
        <w:t xml:space="preserve"> </w:t>
      </w:r>
      <w:r>
        <w:rPr>
          <w:sz w:val="24"/>
        </w:rPr>
        <w:t>PHA</w:t>
      </w:r>
    </w:p>
    <w:p w:rsidR="004E13A5" w:rsidRDefault="00681463">
      <w:pPr>
        <w:pStyle w:val="Heading4"/>
        <w:numPr>
          <w:ilvl w:val="0"/>
          <w:numId w:val="24"/>
        </w:numPr>
        <w:tabs>
          <w:tab w:val="left" w:pos="1180"/>
          <w:tab w:val="left" w:pos="1181"/>
        </w:tabs>
        <w:spacing w:before="135"/>
      </w:pPr>
      <w:r>
        <w:t>[Insert other programs the PHA provides, such as LIHTC or</w:t>
      </w:r>
      <w:r>
        <w:rPr>
          <w:spacing w:val="-11"/>
        </w:rPr>
        <w:t xml:space="preserve"> </w:t>
      </w:r>
      <w:r>
        <w:t>HOME]</w:t>
      </w:r>
    </w:p>
    <w:p w:rsidR="004E13A5" w:rsidRDefault="00681463">
      <w:pPr>
        <w:pStyle w:val="BodyText"/>
        <w:spacing w:before="195" w:line="360" w:lineRule="auto"/>
      </w:pPr>
      <w:r>
        <w:t>Emergency transfers will not take priority over waiting list admissions for these programs. At your request, the PHA will refer you to organizations that may be able to further assist you.</w:t>
      </w:r>
    </w:p>
    <w:p w:rsidR="004E13A5" w:rsidRDefault="00681463">
      <w:pPr>
        <w:pStyle w:val="Heading4"/>
        <w:spacing w:before="66"/>
      </w:pPr>
      <w:r>
        <w:t>Safety and Security of Tenants</w:t>
      </w:r>
    </w:p>
    <w:p w:rsidR="004E13A5" w:rsidRDefault="00681463">
      <w:pPr>
        <w:pStyle w:val="BodyText"/>
        <w:spacing w:before="196" w:line="362" w:lineRule="auto"/>
        <w:ind w:right="109"/>
      </w:pPr>
      <w:r>
        <w:t>Pending processing of the transfer and the actual transfer, if it is approved and occurs, the tenant is urged to take all reasonable precautions to be safe.</w:t>
      </w:r>
    </w:p>
    <w:p w:rsidR="004E13A5" w:rsidRDefault="00681463">
      <w:pPr>
        <w:pStyle w:val="BodyText"/>
        <w:spacing w:before="60" w:line="360" w:lineRule="auto"/>
        <w:ind w:right="123"/>
      </w:pPr>
      <w:r>
        <w:t>Tenants who are or have been victims of domestic violence are encouraged to contact the National Domestic Violence Hotline at 1-800-799-7233, or a local domestic violence shelter, for assistance in creating a safety plan. For persons with hearing impairments, that hotline can be accessed by calling 1-800-787-3224 (TTY).</w:t>
      </w:r>
    </w:p>
    <w:p w:rsidR="004E13A5" w:rsidRDefault="00681463">
      <w:pPr>
        <w:pStyle w:val="BodyText"/>
        <w:spacing w:before="63" w:line="360" w:lineRule="auto"/>
      </w:pPr>
      <w:r>
        <w:t xml:space="preserve">Tenants who have been victims of sexual assault may call the Rape, Abuse, and Incest National Network’s National Sexual Assault Hotline at 1-800-656-HOPE, or visit the online hotline at </w:t>
      </w:r>
      <w:hyperlink r:id="rId65">
        <w:r>
          <w:rPr>
            <w:color w:val="0000FF"/>
            <w:u w:val="single" w:color="0000FF"/>
          </w:rPr>
          <w:t>https://ohl.rainn.org/online/</w:t>
        </w:r>
      </w:hyperlink>
      <w:r>
        <w:t>.</w:t>
      </w:r>
    </w:p>
    <w:p w:rsidR="004E13A5" w:rsidRDefault="00681463">
      <w:pPr>
        <w:pStyle w:val="BodyText"/>
        <w:spacing w:before="66" w:line="360" w:lineRule="auto"/>
        <w:ind w:right="388"/>
      </w:pPr>
      <w:r>
        <w:t xml:space="preserve">Tenants who are or have been victims of stalking seeking help may visit the National Center for Victims of Crime’s Stalking Resource Center at </w:t>
      </w:r>
      <w:hyperlink r:id="rId66">
        <w:r>
          <w:rPr>
            <w:color w:val="0000FF"/>
            <w:u w:val="single" w:color="0000FF"/>
          </w:rPr>
          <w:t>https://www.victimsofcrime.org/our-</w:t>
        </w:r>
      </w:hyperlink>
      <w:r>
        <w:rPr>
          <w:color w:val="0000FF"/>
          <w:u w:val="single" w:color="0000FF"/>
        </w:rPr>
        <w:t xml:space="preserve"> </w:t>
      </w:r>
      <w:hyperlink r:id="rId67">
        <w:r>
          <w:rPr>
            <w:color w:val="0000FF"/>
            <w:u w:val="single" w:color="0000FF"/>
          </w:rPr>
          <w:t>programs/stalking-resource-center</w:t>
        </w:r>
        <w:r>
          <w:t>.</w:t>
        </w:r>
      </w:hyperlink>
    </w:p>
    <w:p w:rsidR="004E13A5" w:rsidRDefault="00681463">
      <w:pPr>
        <w:spacing w:before="63" w:line="362" w:lineRule="auto"/>
        <w:ind w:left="100" w:right="328"/>
        <w:rPr>
          <w:sz w:val="23"/>
        </w:rPr>
      </w:pPr>
      <w:r>
        <w:rPr>
          <w:b/>
          <w:sz w:val="23"/>
        </w:rPr>
        <w:t xml:space="preserve">Attachment: </w:t>
      </w:r>
      <w:r>
        <w:rPr>
          <w:sz w:val="23"/>
        </w:rPr>
        <w:t>Local organizations offering assistance to victims of domestic violence, dating violence, sexual  assault, or stalking.</w:t>
      </w:r>
    </w:p>
    <w:p w:rsidR="004E13A5" w:rsidRDefault="004E13A5">
      <w:pPr>
        <w:spacing w:line="362" w:lineRule="auto"/>
        <w:rPr>
          <w:sz w:val="23"/>
        </w:rPr>
        <w:sectPr w:rsidR="004E13A5">
          <w:pgSz w:w="12240" w:h="15840"/>
          <w:pgMar w:top="1000" w:right="1320" w:bottom="1240" w:left="1220" w:header="0" w:footer="998" w:gutter="0"/>
          <w:cols w:space="720"/>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240780" cy="558165"/>
                <wp:effectExtent l="9525" t="9525" r="7620" b="13335"/>
                <wp:docPr id="4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08" w:right="504"/>
                              <w:rPr>
                                <w:b/>
                                <w:sz w:val="24"/>
                              </w:rPr>
                            </w:pPr>
                            <w:r>
                              <w:rPr>
                                <w:b/>
                                <w:sz w:val="24"/>
                              </w:rPr>
                              <w:t>EXHIBIT 16-4: EMERGENCY TRANSFER REQUEST FOR CERTAIN VICTIMS OF DOMESTIC VIOLENCE, DATING VIOLENCE, SEXUAL ASSAULT, OR STALKING, FORM HUD-5383</w:t>
                            </w:r>
                          </w:p>
                        </w:txbxContent>
                      </wps:txbx>
                      <wps:bodyPr rot="0" vert="horz" wrap="square" lIns="0" tIns="0" rIns="0" bIns="0" anchor="t" anchorCtr="0" upright="1">
                        <a:noAutofit/>
                      </wps:bodyPr>
                    </wps:wsp>
                  </a:graphicData>
                </a:graphic>
              </wp:inline>
            </w:drawing>
          </mc:Choice>
          <mc:Fallback>
            <w:pict>
              <v:shape id="Text Box 88" o:spid="_x0000_s1047" type="#_x0000_t202" style="width:491.4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" filled="f" strokeweight=".48pt">
                <v:textbox inset="0,0,0,0">
                  <w:txbxContent>
                    <w:p w:rsidR="00BA59C9" w:rsidRDefault="00BA59C9">
                      <w:pPr>
                        <w:spacing w:before="18"/>
                        <w:ind w:left="108" w:right="504"/>
                        <w:rPr>
                          <w:b/>
                          <w:sz w:val="24"/>
                        </w:rPr>
                      </w:pPr>
                      <w:r>
                        <w:rPr>
                          <w:b/>
                          <w:sz w:val="24"/>
                        </w:rPr>
                        <w:t>EXHIBIT 16-4: EMERGENCY TRANSFER REQUEST FOR CERTAIN VICTIMS OF DOMESTIC VIOLENCE, DATING VIOLENCE, SEXUAL ASSAULT, OR STALKING, FORM HUD-5383</w:t>
                      </w:r>
                    </w:p>
                  </w:txbxContent>
                </v:textbox>
                <w10:anchorlock/>
              </v:shape>
            </w:pict>
          </mc:Fallback>
        </mc:AlternateContent>
      </w:r>
    </w:p>
    <w:p w:rsidR="004E13A5" w:rsidRDefault="00681463">
      <w:pPr>
        <w:tabs>
          <w:tab w:val="left" w:pos="3523"/>
          <w:tab w:val="left" w:pos="3685"/>
          <w:tab w:val="left" w:pos="7008"/>
          <w:tab w:val="left" w:pos="8199"/>
        </w:tabs>
        <w:spacing w:before="21"/>
        <w:ind w:left="220" w:right="509"/>
        <w:jc w:val="both"/>
        <w:rPr>
          <w:b/>
        </w:rPr>
      </w:pPr>
      <w:r>
        <w:rPr>
          <w:b/>
        </w:rPr>
        <w:t>EMERGENCY</w:t>
      </w:r>
      <w:r>
        <w:rPr>
          <w:b/>
          <w:spacing w:val="-2"/>
        </w:rPr>
        <w:t xml:space="preserve"> </w:t>
      </w:r>
      <w:r>
        <w:rPr>
          <w:b/>
        </w:rPr>
        <w:t>TRANSFER</w:t>
      </w:r>
      <w:r>
        <w:rPr>
          <w:b/>
        </w:rPr>
        <w:tab/>
        <w:t>U.S. Department</w:t>
      </w:r>
      <w:r>
        <w:rPr>
          <w:b/>
          <w:spacing w:val="-4"/>
        </w:rPr>
        <w:t xml:space="preserve"> </w:t>
      </w:r>
      <w:r>
        <w:rPr>
          <w:b/>
        </w:rPr>
        <w:t>of</w:t>
      </w:r>
      <w:r>
        <w:rPr>
          <w:b/>
          <w:spacing w:val="-1"/>
        </w:rPr>
        <w:t xml:space="preserve"> </w:t>
      </w:r>
      <w:r>
        <w:rPr>
          <w:b/>
        </w:rPr>
        <w:t>Housing</w:t>
      </w:r>
      <w:r>
        <w:rPr>
          <w:b/>
        </w:rPr>
        <w:tab/>
      </w:r>
      <w:r>
        <w:rPr>
          <w:sz w:val="20"/>
        </w:rPr>
        <w:t>OMB Approval</w:t>
      </w:r>
      <w:r>
        <w:rPr>
          <w:spacing w:val="-7"/>
          <w:sz w:val="20"/>
        </w:rPr>
        <w:t xml:space="preserve"> </w:t>
      </w:r>
      <w:r>
        <w:rPr>
          <w:sz w:val="20"/>
        </w:rPr>
        <w:t>No.</w:t>
      </w:r>
      <w:r>
        <w:rPr>
          <w:spacing w:val="-4"/>
          <w:sz w:val="20"/>
        </w:rPr>
        <w:t xml:space="preserve"> </w:t>
      </w:r>
      <w:r>
        <w:rPr>
          <w:sz w:val="20"/>
        </w:rPr>
        <w:t>2577-0286</w:t>
      </w:r>
      <w:r>
        <w:rPr>
          <w:w w:val="99"/>
          <w:sz w:val="20"/>
        </w:rPr>
        <w:t xml:space="preserve"> </w:t>
      </w:r>
      <w:r>
        <w:rPr>
          <w:b/>
        </w:rPr>
        <w:t>REQUEST</w:t>
      </w:r>
      <w:r>
        <w:rPr>
          <w:b/>
          <w:spacing w:val="-4"/>
        </w:rPr>
        <w:t xml:space="preserve"> </w:t>
      </w:r>
      <w:r>
        <w:rPr>
          <w:b/>
        </w:rPr>
        <w:t>FOR</w:t>
      </w:r>
      <w:r>
        <w:rPr>
          <w:b/>
          <w:spacing w:val="-2"/>
        </w:rPr>
        <w:t xml:space="preserve"> </w:t>
      </w:r>
      <w:r>
        <w:rPr>
          <w:b/>
        </w:rPr>
        <w:t>CERTAIN</w:t>
      </w:r>
      <w:r>
        <w:rPr>
          <w:b/>
        </w:rPr>
        <w:tab/>
      </w:r>
      <w:r>
        <w:rPr>
          <w:b/>
        </w:rPr>
        <w:tab/>
        <w:t>and</w:t>
      </w:r>
      <w:r>
        <w:rPr>
          <w:b/>
          <w:spacing w:val="-2"/>
        </w:rPr>
        <w:t xml:space="preserve"> </w:t>
      </w:r>
      <w:r>
        <w:rPr>
          <w:b/>
        </w:rPr>
        <w:t>Urban</w:t>
      </w:r>
      <w:r>
        <w:rPr>
          <w:b/>
          <w:spacing w:val="-1"/>
        </w:rPr>
        <w:t xml:space="preserve"> </w:t>
      </w:r>
      <w:r>
        <w:rPr>
          <w:b/>
        </w:rPr>
        <w:t>Development</w:t>
      </w:r>
      <w:r>
        <w:rPr>
          <w:b/>
        </w:rPr>
        <w:tab/>
      </w:r>
      <w:r>
        <w:rPr>
          <w:b/>
        </w:rPr>
        <w:tab/>
      </w:r>
      <w:r>
        <w:rPr>
          <w:sz w:val="20"/>
        </w:rPr>
        <w:t>Exp.</w:t>
      </w:r>
      <w:r>
        <w:rPr>
          <w:spacing w:val="-9"/>
          <w:sz w:val="20"/>
        </w:rPr>
        <w:t xml:space="preserve"> </w:t>
      </w:r>
      <w:r>
        <w:rPr>
          <w:sz w:val="20"/>
        </w:rPr>
        <w:t>06/30/2017</w:t>
      </w:r>
      <w:r>
        <w:rPr>
          <w:w w:val="99"/>
          <w:sz w:val="20"/>
        </w:rPr>
        <w:t xml:space="preserve"> </w:t>
      </w:r>
      <w:r>
        <w:rPr>
          <w:b/>
        </w:rPr>
        <w:t>VICTIMS OF</w:t>
      </w:r>
      <w:r>
        <w:rPr>
          <w:b/>
          <w:spacing w:val="-4"/>
        </w:rPr>
        <w:t xml:space="preserve"> </w:t>
      </w:r>
      <w:r>
        <w:rPr>
          <w:b/>
        </w:rPr>
        <w:t>DOMESTIC</w:t>
      </w:r>
    </w:p>
    <w:p w:rsidR="004E13A5" w:rsidRDefault="00681463">
      <w:pPr>
        <w:ind w:left="220" w:right="6181"/>
        <w:rPr>
          <w:b/>
        </w:rPr>
      </w:pPr>
      <w:r>
        <w:rPr>
          <w:b/>
        </w:rPr>
        <w:t>VIOLENCE, DATING VIOLENCE, SEXUAL ASSAULT, OR STALKING</w:t>
      </w:r>
    </w:p>
    <w:p w:rsidR="004E13A5" w:rsidRDefault="00681463">
      <w:pPr>
        <w:spacing w:before="120"/>
        <w:ind w:left="220" w:right="312"/>
      </w:pPr>
      <w:r>
        <w:rPr>
          <w:b/>
        </w:rPr>
        <w:t xml:space="preserve">Purpose of Form: </w:t>
      </w:r>
      <w:r>
        <w:t>If you are 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w:t>
      </w:r>
    </w:p>
    <w:p w:rsidR="004E13A5" w:rsidRDefault="00681463">
      <w:pPr>
        <w:spacing w:before="121"/>
        <w:ind w:left="220"/>
        <w:rPr>
          <w:b/>
        </w:rPr>
      </w:pPr>
      <w:r>
        <w:rPr>
          <w:b/>
          <w:u w:val="thick"/>
        </w:rPr>
        <w:t>The requirements you must meet are:</w:t>
      </w:r>
    </w:p>
    <w:p w:rsidR="004E13A5" w:rsidRDefault="00681463">
      <w:pPr>
        <w:pStyle w:val="ListParagraph"/>
        <w:numPr>
          <w:ilvl w:val="2"/>
          <w:numId w:val="26"/>
        </w:numPr>
        <w:tabs>
          <w:tab w:val="left" w:pos="1253"/>
        </w:tabs>
        <w:ind w:right="935" w:firstLine="0"/>
        <w:jc w:val="both"/>
      </w:pPr>
      <w:r>
        <w:rPr>
          <w:b/>
        </w:rPr>
        <w:t xml:space="preserve">You are a victim of domestic violence, dating violence, sexual assault, or stalking. </w:t>
      </w:r>
      <w:r>
        <w:t>If your housing provider does not already have documentation that you are a victim of domestic violence, dating violence, sexual assault, or stalking, your housing provider may ask you for such documentation. In response, you may submit Form HUD-5382, or any one of the other types of documentation listed on that</w:t>
      </w:r>
      <w:r>
        <w:rPr>
          <w:spacing w:val="-18"/>
        </w:rPr>
        <w:t xml:space="preserve"> </w:t>
      </w:r>
      <w:r>
        <w:t>Form.</w:t>
      </w:r>
    </w:p>
    <w:p w:rsidR="004E13A5" w:rsidRDefault="00681463">
      <w:pPr>
        <w:pStyle w:val="ListParagraph"/>
        <w:numPr>
          <w:ilvl w:val="2"/>
          <w:numId w:val="26"/>
        </w:numPr>
        <w:tabs>
          <w:tab w:val="left" w:pos="1255"/>
        </w:tabs>
        <w:ind w:right="934" w:firstLine="0"/>
        <w:jc w:val="both"/>
      </w:pPr>
      <w:r>
        <w:rPr>
          <w:b/>
        </w:rPr>
        <w:t xml:space="preserve">You expressly request the emergency transfer. </w:t>
      </w:r>
      <w:r>
        <w:t>Submission of this form confirms that you have expressly requested a transfer. Your housing provider may choose to require that you submit this form, or may accept another written or oral request.  Please see your  housing provider’s emergency transfer plan for more</w:t>
      </w:r>
      <w:r>
        <w:rPr>
          <w:spacing w:val="-17"/>
        </w:rPr>
        <w:t xml:space="preserve"> </w:t>
      </w:r>
      <w:r>
        <w:t>details.</w:t>
      </w:r>
    </w:p>
    <w:p w:rsidR="004E13A5" w:rsidRDefault="00681463">
      <w:pPr>
        <w:pStyle w:val="ListParagraph"/>
        <w:numPr>
          <w:ilvl w:val="2"/>
          <w:numId w:val="26"/>
        </w:numPr>
        <w:tabs>
          <w:tab w:val="left" w:pos="1306"/>
        </w:tabs>
        <w:ind w:right="939" w:firstLine="0"/>
        <w:jc w:val="both"/>
      </w:pPr>
      <w:r>
        <w:rPr>
          <w:b/>
        </w:rPr>
        <w:t xml:space="preserve">You reasonably believe you are threatened with imminent harm from further violence if you remain in your current unit. </w:t>
      </w:r>
      <w:r>
        <w:t>This means you have a reason to fear that if you do not receive a transfer you would suffer violence in the very near</w:t>
      </w:r>
      <w:r>
        <w:rPr>
          <w:spacing w:val="-23"/>
        </w:rPr>
        <w:t xml:space="preserve"> </w:t>
      </w:r>
      <w:r>
        <w:t>future.</w:t>
      </w:r>
    </w:p>
    <w:p w:rsidR="004E13A5" w:rsidRDefault="00681463">
      <w:pPr>
        <w:spacing w:before="119"/>
        <w:ind w:left="940"/>
        <w:jc w:val="both"/>
        <w:rPr>
          <w:b/>
        </w:rPr>
      </w:pPr>
      <w:r>
        <w:rPr>
          <w:b/>
        </w:rPr>
        <w:t>OR</w:t>
      </w:r>
    </w:p>
    <w:p w:rsidR="004E13A5" w:rsidRDefault="00681463">
      <w:pPr>
        <w:spacing w:before="121"/>
        <w:ind w:left="940" w:right="937"/>
        <w:jc w:val="both"/>
      </w:pPr>
      <w:r>
        <w:rPr>
          <w:b/>
        </w:rPr>
        <w:t xml:space="preserve">You are a victim of sexual assault and the assault occurred on the premises during the 90-calendar-day period before you request a transfer. </w:t>
      </w:r>
      <w: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w:t>
      </w:r>
      <w:r>
        <w:rPr>
          <w:spacing w:val="-9"/>
        </w:rPr>
        <w:t xml:space="preserve"> </w:t>
      </w:r>
      <w:r>
        <w:t>transfer.</w:t>
      </w:r>
    </w:p>
    <w:p w:rsidR="004E13A5" w:rsidRDefault="00681463">
      <w:pPr>
        <w:spacing w:before="121"/>
        <w:ind w:left="220" w:right="260"/>
      </w:pPr>
      <w:r>
        <w:rPr>
          <w:b/>
        </w:rPr>
        <w:t xml:space="preserve">Submission of Documentation: </w:t>
      </w:r>
      <w:r>
        <w:t>If you have third-party documentation that demonstrates why you are eligible for an emergency transfer; you should submit that documentation to your housing provider if it is safe for you to do so. Examples of third party documentation include, but are not limited to: 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rsidR="004E13A5" w:rsidRDefault="004E13A5">
      <w:pPr>
        <w:sectPr w:rsidR="004E13A5">
          <w:pgSz w:w="12240" w:h="15840"/>
          <w:pgMar w:top="1200" w:right="1100" w:bottom="1240" w:left="1100" w:header="0" w:footer="998" w:gutter="0"/>
          <w:cols w:space="720"/>
        </w:sectPr>
      </w:pPr>
    </w:p>
    <w:p w:rsidR="004E13A5" w:rsidRDefault="00681463">
      <w:pPr>
        <w:spacing w:before="78"/>
        <w:ind w:left="120" w:right="98"/>
      </w:pPr>
      <w:r>
        <w:rPr>
          <w:b/>
        </w:rPr>
        <w:lastRenderedPageBreak/>
        <w:t xml:space="preserve">Confidentiality: </w:t>
      </w:r>
      <w:r>
        <w:t>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(i) consented to by you in writing in a time-limited release;</w:t>
      </w:r>
    </w:p>
    <w:p w:rsidR="004E13A5" w:rsidRDefault="00681463">
      <w:pPr>
        <w:ind w:left="120" w:right="881"/>
      </w:pPr>
      <w:r>
        <w:t>(ii) required for use in an eviction proceeding or hearing regarding termination of assistance; or (iii) otherwise required by applicable law.</w:t>
      </w:r>
    </w:p>
    <w:p w:rsidR="004E13A5" w:rsidRDefault="00681463">
      <w:pPr>
        <w:spacing w:before="120"/>
        <w:ind w:left="120"/>
        <w:rPr>
          <w:b/>
        </w:rPr>
      </w:pPr>
      <w:r>
        <w:rPr>
          <w:b/>
          <w:u w:val="thick"/>
        </w:rPr>
        <w:t>TO BE COMPLETED BY OR ON BEHALF OF THE PERSON REQUESTING A TRANSFER</w:t>
      </w:r>
    </w:p>
    <w:p w:rsidR="004E13A5" w:rsidRDefault="00681463">
      <w:pPr>
        <w:pStyle w:val="ListParagraph"/>
        <w:numPr>
          <w:ilvl w:val="0"/>
          <w:numId w:val="23"/>
        </w:numPr>
        <w:tabs>
          <w:tab w:val="left" w:pos="397"/>
          <w:tab w:val="left" w:pos="9400"/>
        </w:tabs>
        <w:spacing w:before="123"/>
        <w:ind w:firstLine="0"/>
        <w:rPr>
          <w:b/>
        </w:rPr>
      </w:pPr>
      <w:r>
        <w:rPr>
          <w:b/>
        </w:rPr>
        <w:t>Name of victim requesting an emergency</w:t>
      </w:r>
      <w:r>
        <w:rPr>
          <w:b/>
          <w:spacing w:val="-19"/>
        </w:rPr>
        <w:t xml:space="preserve"> </w:t>
      </w:r>
      <w:r>
        <w:rPr>
          <w:b/>
        </w:rPr>
        <w:t>transfer:</w:t>
      </w:r>
      <w:r>
        <w:rPr>
          <w:b/>
          <w:spacing w:val="1"/>
        </w:rPr>
        <w:t xml:space="preserve">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3"/>
        </w:numPr>
        <w:tabs>
          <w:tab w:val="left" w:pos="397"/>
          <w:tab w:val="left" w:pos="9478"/>
        </w:tabs>
        <w:spacing w:before="91"/>
        <w:ind w:left="396"/>
      </w:pPr>
      <w:r>
        <w:rPr>
          <w:b/>
        </w:rPr>
        <w:t>Your name (if different from</w:t>
      </w:r>
      <w:r>
        <w:rPr>
          <w:b/>
          <w:spacing w:val="-14"/>
        </w:rPr>
        <w:t xml:space="preserve"> </w:t>
      </w:r>
      <w:r>
        <w:rPr>
          <w:b/>
        </w:rPr>
        <w:t>victim’s)</w:t>
      </w:r>
      <w:r>
        <w:rPr>
          <w:b/>
          <w:spacing w:val="4"/>
        </w:rPr>
        <w:t xml:space="preserve"> </w:t>
      </w:r>
      <w:r>
        <w:rPr>
          <w:u w:val="single"/>
        </w:rPr>
        <w:t xml:space="preserve"> </w:t>
      </w:r>
      <w:r>
        <w:rPr>
          <w:u w:val="single"/>
        </w:rPr>
        <w:tab/>
      </w:r>
    </w:p>
    <w:p w:rsidR="004E13A5" w:rsidRDefault="004E13A5">
      <w:pPr>
        <w:pStyle w:val="BodyText"/>
        <w:spacing w:before="4"/>
        <w:ind w:left="0"/>
        <w:rPr>
          <w:sz w:val="13"/>
        </w:rPr>
      </w:pPr>
    </w:p>
    <w:p w:rsidR="004E13A5" w:rsidRDefault="00681463">
      <w:pPr>
        <w:pStyle w:val="ListParagraph"/>
        <w:numPr>
          <w:ilvl w:val="0"/>
          <w:numId w:val="23"/>
        </w:numPr>
        <w:tabs>
          <w:tab w:val="left" w:pos="397"/>
          <w:tab w:val="left" w:pos="9425"/>
        </w:tabs>
        <w:spacing w:before="92"/>
        <w:ind w:left="396"/>
        <w:rPr>
          <w:b/>
        </w:rPr>
      </w:pPr>
      <w:r>
        <w:rPr>
          <w:b/>
        </w:rPr>
        <w:t>Name(s) of other family member(s) listed on the</w:t>
      </w:r>
      <w:r>
        <w:rPr>
          <w:b/>
          <w:spacing w:val="-20"/>
        </w:rPr>
        <w:t xml:space="preserve"> </w:t>
      </w:r>
      <w:r>
        <w:rPr>
          <w:b/>
        </w:rPr>
        <w:t>lease:</w:t>
      </w:r>
      <w:r>
        <w:rPr>
          <w:b/>
          <w:spacing w:val="5"/>
        </w:rPr>
        <w:t xml:space="preserve"> </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9"/>
        <w:ind w:left="0"/>
        <w:rPr>
          <w:b/>
          <w:sz w:val="18"/>
        </w:rPr>
      </w:pPr>
      <w:r>
        <w:rPr>
          <w:noProof/>
        </w:rPr>
        <mc:AlternateContent>
          <mc:Choice Requires="wps">
            <w:drawing>
              <wp:anchor distT="0" distB="0" distL="0" distR="0" simplePos="0" relativeHeight="2008" behindDoc="0" locked="0" layoutInCell="1" allowOverlap="1">
                <wp:simplePos x="0" y="0"/>
                <wp:positionH relativeFrom="page">
                  <wp:posOffset>838200</wp:posOffset>
                </wp:positionH>
                <wp:positionV relativeFrom="paragraph">
                  <wp:posOffset>167005</wp:posOffset>
                </wp:positionV>
                <wp:extent cx="5798185" cy="0"/>
                <wp:effectExtent l="9525" t="5080" r="12065" b="13970"/>
                <wp:wrapTopAndBottom/>
                <wp:docPr id="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1AF6" id="Line 31"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5pt" to="522.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" strokeweight=".24536mm">
                <w10:wrap type="topAndBottom" anchorx="page"/>
              </v:line>
            </w:pict>
          </mc:Fallback>
        </mc:AlternateContent>
      </w:r>
    </w:p>
    <w:p w:rsidR="004E13A5" w:rsidRDefault="004E13A5">
      <w:pPr>
        <w:pStyle w:val="BodyText"/>
        <w:spacing w:before="10"/>
        <w:ind w:left="0"/>
        <w:rPr>
          <w:b/>
          <w:sz w:val="10"/>
        </w:rPr>
      </w:pPr>
    </w:p>
    <w:p w:rsidR="004E13A5" w:rsidRDefault="00681463">
      <w:pPr>
        <w:pStyle w:val="ListParagraph"/>
        <w:numPr>
          <w:ilvl w:val="0"/>
          <w:numId w:val="23"/>
        </w:numPr>
        <w:tabs>
          <w:tab w:val="left" w:pos="397"/>
          <w:tab w:val="left" w:pos="9425"/>
        </w:tabs>
        <w:spacing w:before="92"/>
        <w:ind w:left="396"/>
        <w:rPr>
          <w:b/>
        </w:rPr>
      </w:pPr>
      <w:r>
        <w:rPr>
          <w:b/>
        </w:rPr>
        <w:t>Name(s) of other family member(s) who would transfer with the</w:t>
      </w:r>
      <w:r>
        <w:rPr>
          <w:b/>
          <w:spacing w:val="-23"/>
        </w:rPr>
        <w:t xml:space="preserve"> </w:t>
      </w:r>
      <w:r>
        <w:rPr>
          <w:b/>
        </w:rPr>
        <w:t>victim:</w:t>
      </w:r>
      <w:r>
        <w:rPr>
          <w:b/>
          <w:spacing w:val="6"/>
        </w:rPr>
        <w:t xml:space="preserve"> </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9"/>
        <w:ind w:left="0"/>
        <w:rPr>
          <w:b/>
          <w:sz w:val="18"/>
        </w:rPr>
      </w:pPr>
      <w:r>
        <w:rPr>
          <w:noProof/>
        </w:rPr>
        <mc:AlternateContent>
          <mc:Choice Requires="wps">
            <w:drawing>
              <wp:anchor distT="0" distB="0" distL="0" distR="0" simplePos="0" relativeHeight="2032" behindDoc="0" locked="0" layoutInCell="1" allowOverlap="1">
                <wp:simplePos x="0" y="0"/>
                <wp:positionH relativeFrom="page">
                  <wp:posOffset>838200</wp:posOffset>
                </wp:positionH>
                <wp:positionV relativeFrom="paragraph">
                  <wp:posOffset>166370</wp:posOffset>
                </wp:positionV>
                <wp:extent cx="5867400" cy="0"/>
                <wp:effectExtent l="9525" t="13970" r="9525" b="5080"/>
                <wp:wrapTopAndBottom/>
                <wp:docPr id="4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4299" id="Line 30"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pt" to="52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" strokeweight=".24536mm">
                <w10:wrap type="topAndBottom" anchorx="page"/>
              </v:line>
            </w:pict>
          </mc:Fallback>
        </mc:AlternateContent>
      </w:r>
    </w:p>
    <w:p w:rsidR="004E13A5" w:rsidRDefault="004E13A5">
      <w:pPr>
        <w:pStyle w:val="BodyText"/>
        <w:spacing w:before="10"/>
        <w:ind w:left="0"/>
        <w:rPr>
          <w:b/>
          <w:sz w:val="10"/>
        </w:rPr>
      </w:pPr>
    </w:p>
    <w:p w:rsidR="004E13A5" w:rsidRDefault="00681463">
      <w:pPr>
        <w:pStyle w:val="ListParagraph"/>
        <w:numPr>
          <w:ilvl w:val="0"/>
          <w:numId w:val="23"/>
        </w:numPr>
        <w:tabs>
          <w:tab w:val="left" w:pos="397"/>
          <w:tab w:val="left" w:pos="9226"/>
        </w:tabs>
        <w:spacing w:before="92"/>
        <w:ind w:left="396"/>
        <w:rPr>
          <w:b/>
        </w:rPr>
      </w:pPr>
      <w:r>
        <w:rPr>
          <w:b/>
        </w:rPr>
        <w:t>Address of location from which the victim seeks to</w:t>
      </w:r>
      <w:r>
        <w:rPr>
          <w:b/>
          <w:spacing w:val="-17"/>
        </w:rPr>
        <w:t xml:space="preserve"> </w:t>
      </w:r>
      <w:r>
        <w:rPr>
          <w:b/>
        </w:rPr>
        <w:t>transfer:</w:t>
      </w:r>
      <w:r>
        <w:rPr>
          <w:b/>
          <w:spacing w:val="2"/>
        </w:rPr>
        <w:t xml:space="preserve">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3"/>
        </w:numPr>
        <w:tabs>
          <w:tab w:val="left" w:pos="397"/>
          <w:tab w:val="left" w:pos="9358"/>
        </w:tabs>
        <w:spacing w:before="91"/>
        <w:ind w:left="396"/>
        <w:rPr>
          <w:b/>
        </w:rPr>
      </w:pPr>
      <w:r>
        <w:rPr>
          <w:b/>
        </w:rPr>
        <w:t>Address or phone number for contacting the</w:t>
      </w:r>
      <w:r>
        <w:rPr>
          <w:b/>
          <w:spacing w:val="-14"/>
        </w:rPr>
        <w:t xml:space="preserve"> </w:t>
      </w:r>
      <w:r>
        <w:rPr>
          <w:b/>
        </w:rPr>
        <w:t>victim:</w:t>
      </w:r>
      <w:r>
        <w:rPr>
          <w:b/>
          <w:spacing w:val="4"/>
        </w:rPr>
        <w:t xml:space="preserve"> </w:t>
      </w:r>
      <w:r>
        <w:rPr>
          <w:b/>
          <w:u w:val="single"/>
        </w:rPr>
        <w:t xml:space="preserve"> </w:t>
      </w:r>
      <w:r>
        <w:rPr>
          <w:b/>
          <w:u w:val="single"/>
        </w:rPr>
        <w:tab/>
      </w:r>
    </w:p>
    <w:p w:rsidR="004E13A5" w:rsidRDefault="004E13A5">
      <w:pPr>
        <w:pStyle w:val="BodyText"/>
        <w:spacing w:before="7"/>
        <w:ind w:left="0"/>
        <w:rPr>
          <w:b/>
          <w:sz w:val="13"/>
        </w:rPr>
      </w:pPr>
    </w:p>
    <w:p w:rsidR="004E13A5" w:rsidRDefault="00681463">
      <w:pPr>
        <w:pStyle w:val="ListParagraph"/>
        <w:numPr>
          <w:ilvl w:val="0"/>
          <w:numId w:val="23"/>
        </w:numPr>
        <w:tabs>
          <w:tab w:val="left" w:pos="397"/>
          <w:tab w:val="left" w:pos="9273"/>
        </w:tabs>
        <w:spacing w:before="91"/>
        <w:ind w:left="396"/>
        <w:rPr>
          <w:b/>
        </w:rPr>
      </w:pPr>
      <w:r>
        <w:rPr>
          <w:b/>
        </w:rPr>
        <w:t>Name of the accused perpetrator (if known and can be safely</w:t>
      </w:r>
      <w:r>
        <w:rPr>
          <w:b/>
          <w:spacing w:val="-21"/>
        </w:rPr>
        <w:t xml:space="preserve"> </w:t>
      </w:r>
      <w:r>
        <w:rPr>
          <w:b/>
        </w:rPr>
        <w:t>disclosed):</w:t>
      </w:r>
      <w:r>
        <w:rPr>
          <w:b/>
          <w:u w:val="single"/>
        </w:rPr>
        <w:t xml:space="preserve"> </w:t>
      </w:r>
      <w:r>
        <w:rPr>
          <w:b/>
          <w:u w:val="single"/>
        </w:rPr>
        <w:tab/>
      </w:r>
    </w:p>
    <w:p w:rsidR="004E13A5" w:rsidRDefault="004E13A5">
      <w:pPr>
        <w:pStyle w:val="BodyText"/>
        <w:spacing w:before="4"/>
        <w:ind w:left="0"/>
        <w:rPr>
          <w:b/>
          <w:sz w:val="13"/>
        </w:rPr>
      </w:pPr>
    </w:p>
    <w:p w:rsidR="004E13A5" w:rsidRDefault="00681463">
      <w:pPr>
        <w:pStyle w:val="ListParagraph"/>
        <w:numPr>
          <w:ilvl w:val="0"/>
          <w:numId w:val="23"/>
        </w:numPr>
        <w:tabs>
          <w:tab w:val="left" w:pos="397"/>
          <w:tab w:val="left" w:pos="9370"/>
        </w:tabs>
        <w:spacing w:before="92"/>
        <w:ind w:left="396"/>
        <w:rPr>
          <w:b/>
        </w:rPr>
      </w:pPr>
      <w:r>
        <w:rPr>
          <w:b/>
        </w:rPr>
        <w:t>Relationship of the accused perpetrator to the</w:t>
      </w:r>
      <w:r>
        <w:rPr>
          <w:b/>
          <w:spacing w:val="-14"/>
        </w:rPr>
        <w:t xml:space="preserve"> </w:t>
      </w:r>
      <w:r>
        <w:rPr>
          <w:b/>
        </w:rPr>
        <w:t>victim:</w:t>
      </w:r>
      <w:r>
        <w:rPr>
          <w:b/>
          <w:spacing w:val="1"/>
        </w:rPr>
        <w:t xml:space="preserve"> </w:t>
      </w:r>
      <w:r>
        <w:rPr>
          <w:b/>
          <w:u w:val="single"/>
        </w:rPr>
        <w:t xml:space="preserve"> </w:t>
      </w:r>
      <w:r>
        <w:rPr>
          <w:b/>
          <w:u w:val="single"/>
        </w:rPr>
        <w:tab/>
      </w:r>
    </w:p>
    <w:p w:rsidR="004E13A5" w:rsidRDefault="004E13A5">
      <w:pPr>
        <w:pStyle w:val="BodyText"/>
        <w:spacing w:before="5"/>
        <w:ind w:left="0"/>
        <w:rPr>
          <w:b/>
          <w:sz w:val="13"/>
        </w:rPr>
      </w:pPr>
    </w:p>
    <w:p w:rsidR="004E13A5" w:rsidRDefault="00681463">
      <w:pPr>
        <w:pStyle w:val="ListParagraph"/>
        <w:numPr>
          <w:ilvl w:val="0"/>
          <w:numId w:val="23"/>
        </w:numPr>
        <w:tabs>
          <w:tab w:val="left" w:pos="397"/>
          <w:tab w:val="left" w:pos="9477"/>
        </w:tabs>
        <w:spacing w:before="92"/>
        <w:ind w:left="396"/>
        <w:rPr>
          <w:b/>
        </w:rPr>
      </w:pPr>
      <w:r>
        <w:rPr>
          <w:b/>
        </w:rPr>
        <w:t>Date(s), Time(s) and location(s) of</w:t>
      </w:r>
      <w:r>
        <w:rPr>
          <w:b/>
          <w:spacing w:val="-17"/>
        </w:rPr>
        <w:t xml:space="preserve"> </w:t>
      </w:r>
      <w:r>
        <w:rPr>
          <w:b/>
        </w:rPr>
        <w:t>incident(s):</w:t>
      </w:r>
      <w:r>
        <w:rPr>
          <w:b/>
          <w:u w:val="single"/>
        </w:rPr>
        <w:t xml:space="preserve"> </w:t>
      </w:r>
      <w:r>
        <w:rPr>
          <w:b/>
          <w:u w:val="single"/>
        </w:rPr>
        <w:tab/>
      </w:r>
    </w:p>
    <w:p w:rsidR="004E13A5" w:rsidRDefault="004E13A5">
      <w:pPr>
        <w:pStyle w:val="BodyText"/>
        <w:spacing w:before="0"/>
        <w:ind w:left="0"/>
        <w:rPr>
          <w:b/>
          <w:sz w:val="20"/>
        </w:rPr>
      </w:pPr>
    </w:p>
    <w:p w:rsidR="004E13A5" w:rsidRDefault="003263D1">
      <w:pPr>
        <w:pStyle w:val="BodyText"/>
        <w:spacing w:before="9"/>
        <w:ind w:left="0"/>
        <w:rPr>
          <w:b/>
          <w:sz w:val="18"/>
        </w:rPr>
      </w:pPr>
      <w:r>
        <w:rPr>
          <w:noProof/>
        </w:rPr>
        <mc:AlternateContent>
          <mc:Choice Requires="wps">
            <w:drawing>
              <wp:anchor distT="0" distB="0" distL="0" distR="0" simplePos="0" relativeHeight="2056" behindDoc="0" locked="0" layoutInCell="1" allowOverlap="1">
                <wp:simplePos x="0" y="0"/>
                <wp:positionH relativeFrom="page">
                  <wp:posOffset>838200</wp:posOffset>
                </wp:positionH>
                <wp:positionV relativeFrom="paragraph">
                  <wp:posOffset>166370</wp:posOffset>
                </wp:positionV>
                <wp:extent cx="5938520" cy="0"/>
                <wp:effectExtent l="9525" t="13970" r="5080" b="5080"/>
                <wp:wrapTopAndBottom/>
                <wp:docPr id="4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0704" id="Line 29"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pt" to="53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QzFA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" strokeweight=".24536mm">
                <w10:wrap type="topAndBottom" anchorx="page"/>
              </v:line>
            </w:pict>
          </mc:Fallback>
        </mc:AlternateContent>
      </w:r>
    </w:p>
    <w:p w:rsidR="004E13A5" w:rsidRDefault="004E13A5">
      <w:pPr>
        <w:pStyle w:val="BodyText"/>
        <w:spacing w:before="8"/>
        <w:ind w:left="0"/>
        <w:rPr>
          <w:b/>
          <w:sz w:val="10"/>
        </w:rPr>
      </w:pPr>
    </w:p>
    <w:p w:rsidR="004E13A5" w:rsidRDefault="00681463">
      <w:pPr>
        <w:pStyle w:val="ListParagraph"/>
        <w:numPr>
          <w:ilvl w:val="0"/>
          <w:numId w:val="23"/>
        </w:numPr>
        <w:tabs>
          <w:tab w:val="left" w:pos="507"/>
          <w:tab w:val="left" w:pos="3907"/>
        </w:tabs>
        <w:spacing w:before="91"/>
        <w:ind w:right="118" w:firstLine="0"/>
        <w:rPr>
          <w:b/>
        </w:rPr>
      </w:pPr>
      <w:r>
        <w:rPr>
          <w:b/>
        </w:rPr>
        <w:t>Is the person requesting the transfer a victim of a sexual assault that occurred in the past 90 days on the premises of the property from which the victim is seeking a transfer? If yes, skip question 11.</w:t>
      </w:r>
      <w:r>
        <w:rPr>
          <w:b/>
          <w:spacing w:val="-32"/>
        </w:rPr>
        <w:t xml:space="preserve"> </w:t>
      </w:r>
      <w:r>
        <w:rPr>
          <w:b/>
        </w:rPr>
        <w:t>If no, fill out question</w:t>
      </w:r>
      <w:r>
        <w:rPr>
          <w:b/>
          <w:spacing w:val="-6"/>
        </w:rPr>
        <w:t xml:space="preserve"> </w:t>
      </w:r>
      <w:r>
        <w:rPr>
          <w:b/>
        </w:rPr>
        <w:t xml:space="preserve">11. </w:t>
      </w:r>
      <w:r>
        <w:rPr>
          <w:b/>
          <w:u w:val="single"/>
        </w:rPr>
        <w:t xml:space="preserve"> </w:t>
      </w:r>
      <w:r>
        <w:rPr>
          <w:b/>
          <w:u w:val="single"/>
        </w:rPr>
        <w:tab/>
      </w:r>
    </w:p>
    <w:p w:rsidR="004E13A5" w:rsidRDefault="004E13A5">
      <w:pPr>
        <w:pStyle w:val="BodyText"/>
        <w:spacing w:before="9"/>
        <w:ind w:left="0"/>
        <w:rPr>
          <w:b/>
          <w:sz w:val="12"/>
        </w:rPr>
      </w:pPr>
    </w:p>
    <w:p w:rsidR="004E13A5" w:rsidRDefault="00681463">
      <w:pPr>
        <w:pStyle w:val="ListParagraph"/>
        <w:numPr>
          <w:ilvl w:val="0"/>
          <w:numId w:val="23"/>
        </w:numPr>
        <w:tabs>
          <w:tab w:val="left" w:pos="507"/>
        </w:tabs>
        <w:spacing w:before="91"/>
        <w:ind w:right="105" w:firstLine="0"/>
        <w:rPr>
          <w:b/>
        </w:rPr>
      </w:pPr>
      <w:r>
        <w:rPr>
          <w:b/>
        </w:rPr>
        <w:t>Describe why the victim believes they are threatened with imminent harm from further violence</w:t>
      </w:r>
      <w:r>
        <w:rPr>
          <w:b/>
          <w:spacing w:val="-30"/>
        </w:rPr>
        <w:t xml:space="preserve"> </w:t>
      </w:r>
      <w:r>
        <w:rPr>
          <w:b/>
        </w:rPr>
        <w:t>if they remain in their current</w:t>
      </w:r>
      <w:r>
        <w:rPr>
          <w:b/>
          <w:spacing w:val="-7"/>
        </w:rPr>
        <w:t xml:space="preserve"> </w:t>
      </w:r>
      <w:r>
        <w:rPr>
          <w:b/>
        </w:rPr>
        <w:t>unit.</w:t>
      </w:r>
    </w:p>
    <w:p w:rsidR="004E13A5" w:rsidRDefault="003263D1">
      <w:pPr>
        <w:pStyle w:val="BodyText"/>
        <w:spacing w:before="10"/>
        <w:ind w:left="0"/>
        <w:rPr>
          <w:b/>
          <w:sz w:val="27"/>
        </w:rPr>
      </w:pPr>
      <w:r>
        <w:rPr>
          <w:noProof/>
        </w:rPr>
        <mc:AlternateContent>
          <mc:Choice Requires="wps">
            <w:drawing>
              <wp:anchor distT="0" distB="0" distL="0" distR="0" simplePos="0" relativeHeight="2080" behindDoc="0" locked="0" layoutInCell="1" allowOverlap="1">
                <wp:simplePos x="0" y="0"/>
                <wp:positionH relativeFrom="page">
                  <wp:posOffset>838200</wp:posOffset>
                </wp:positionH>
                <wp:positionV relativeFrom="paragraph">
                  <wp:posOffset>233045</wp:posOffset>
                </wp:positionV>
                <wp:extent cx="5797550" cy="0"/>
                <wp:effectExtent l="9525" t="13970" r="12700" b="5080"/>
                <wp:wrapTopAndBottom/>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E5A6" id="Line 28"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8.35pt" to="5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aOFAIAACo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" strokeweight=".24536mm">
                <w10:wrap type="topAndBottom" anchorx="page"/>
              </v:line>
            </w:pict>
          </mc:Fallback>
        </mc:AlternateContent>
      </w:r>
    </w:p>
    <w:p w:rsidR="004E13A5" w:rsidRDefault="004E13A5">
      <w:pPr>
        <w:pStyle w:val="BodyText"/>
        <w:spacing w:before="0"/>
        <w:ind w:left="0"/>
        <w:rPr>
          <w:b/>
          <w:sz w:val="20"/>
        </w:rPr>
      </w:pPr>
    </w:p>
    <w:p w:rsidR="004E13A5" w:rsidRDefault="003263D1">
      <w:pPr>
        <w:pStyle w:val="BodyText"/>
        <w:spacing w:before="3"/>
        <w:ind w:left="0"/>
        <w:rPr>
          <w:b/>
          <w:sz w:val="16"/>
        </w:rPr>
      </w:pPr>
      <w:r>
        <w:rPr>
          <w:noProof/>
        </w:rPr>
        <mc:AlternateContent>
          <mc:Choice Requires="wps">
            <w:drawing>
              <wp:anchor distT="0" distB="0" distL="0" distR="0" simplePos="0" relativeHeight="2104" behindDoc="0" locked="0" layoutInCell="1" allowOverlap="1">
                <wp:simplePos x="0" y="0"/>
                <wp:positionH relativeFrom="page">
                  <wp:posOffset>838200</wp:posOffset>
                </wp:positionH>
                <wp:positionV relativeFrom="paragraph">
                  <wp:posOffset>148590</wp:posOffset>
                </wp:positionV>
                <wp:extent cx="5937885" cy="0"/>
                <wp:effectExtent l="9525" t="5715" r="5715" b="13335"/>
                <wp:wrapTopAndBottom/>
                <wp:docPr id="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F966" id="Line 27" o:spid="_x0000_s1026"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1.7pt" to="533.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VFQIAACoEAAAOAAAAZHJzL2Uyb0RvYy54bWysU02P2jAQvVfqf7B8hxAIbIg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" strokeweight=".24536mm">
                <w10:wrap type="topAndBottom" anchorx="page"/>
              </v:line>
            </w:pict>
          </mc:Fallback>
        </mc:AlternateContent>
      </w:r>
    </w:p>
    <w:p w:rsidR="004E13A5" w:rsidRDefault="004E13A5">
      <w:pPr>
        <w:pStyle w:val="BodyText"/>
        <w:spacing w:before="10"/>
        <w:ind w:left="0"/>
        <w:rPr>
          <w:b/>
          <w:sz w:val="10"/>
        </w:rPr>
      </w:pPr>
    </w:p>
    <w:p w:rsidR="004E13A5" w:rsidRDefault="00681463">
      <w:pPr>
        <w:pStyle w:val="ListParagraph"/>
        <w:numPr>
          <w:ilvl w:val="0"/>
          <w:numId w:val="23"/>
        </w:numPr>
        <w:tabs>
          <w:tab w:val="left" w:pos="507"/>
          <w:tab w:val="left" w:pos="8231"/>
        </w:tabs>
        <w:spacing w:before="92" w:line="360" w:lineRule="auto"/>
        <w:ind w:right="604" w:firstLine="0"/>
        <w:rPr>
          <w:b/>
        </w:rPr>
      </w:pPr>
      <w:r>
        <w:rPr>
          <w:b/>
        </w:rPr>
        <w:t>If voluntarily provided, list any third-party documentation you are providing along with this notice:</w:t>
      </w:r>
      <w:r>
        <w:rPr>
          <w:b/>
          <w:spacing w:val="-2"/>
        </w:rPr>
        <w:t xml:space="preserve"> </w:t>
      </w:r>
      <w:r>
        <w:rPr>
          <w:b/>
          <w:u w:val="single"/>
        </w:rPr>
        <w:t xml:space="preserve"> </w:t>
      </w:r>
      <w:r>
        <w:rPr>
          <w:b/>
          <w:u w:val="single"/>
        </w:rPr>
        <w:tab/>
      </w:r>
    </w:p>
    <w:p w:rsidR="004E13A5" w:rsidRDefault="004E13A5">
      <w:pPr>
        <w:spacing w:line="360" w:lineRule="auto"/>
        <w:sectPr w:rsidR="004E13A5">
          <w:pgSz w:w="12240" w:h="15840"/>
          <w:pgMar w:top="1120" w:right="1240" w:bottom="1240" w:left="1200" w:header="0" w:footer="998" w:gutter="0"/>
          <w:cols w:space="720"/>
        </w:sectPr>
      </w:pPr>
    </w:p>
    <w:p w:rsidR="004E13A5" w:rsidRDefault="00681463">
      <w:pPr>
        <w:spacing w:before="78"/>
        <w:ind w:left="100" w:right="117"/>
        <w:jc w:val="both"/>
      </w:pPr>
      <w:r>
        <w:lastRenderedPageBreak/>
        <w:t>This is to certify that the information provided on this form is true and correct to the best of my knowledge, and that the individual named above in Item 1 meets the requirement laid out on this form for an emergency transfer. I acknowledge that submission of false information could jeopardize program eligibility and could be the basis for denial of admission, termination of assistance, or eviction.</w:t>
      </w:r>
    </w:p>
    <w:p w:rsidR="004E13A5" w:rsidRDefault="004E13A5">
      <w:pPr>
        <w:pStyle w:val="BodyText"/>
        <w:spacing w:before="0"/>
        <w:ind w:left="0"/>
      </w:pPr>
    </w:p>
    <w:p w:rsidR="004E13A5" w:rsidRDefault="004E13A5">
      <w:pPr>
        <w:pStyle w:val="BodyText"/>
        <w:spacing w:before="9"/>
        <w:ind w:left="0"/>
        <w:rPr>
          <w:sz w:val="18"/>
        </w:rPr>
      </w:pPr>
    </w:p>
    <w:p w:rsidR="004E13A5" w:rsidRDefault="00681463">
      <w:pPr>
        <w:tabs>
          <w:tab w:val="left" w:pos="4741"/>
          <w:tab w:val="left" w:pos="9317"/>
        </w:tabs>
        <w:spacing w:before="1"/>
        <w:ind w:left="100"/>
        <w:jc w:val="both"/>
      </w:pPr>
      <w:r>
        <w:t>Signature</w:t>
      </w:r>
      <w:r>
        <w:rPr>
          <w:u w:val="single"/>
        </w:rPr>
        <w:t xml:space="preserve"> </w:t>
      </w:r>
      <w:r>
        <w:rPr>
          <w:u w:val="single"/>
        </w:rPr>
        <w:tab/>
      </w:r>
      <w:r>
        <w:t>Signed on</w:t>
      </w:r>
      <w:r>
        <w:rPr>
          <w:spacing w:val="-6"/>
        </w:rPr>
        <w:t xml:space="preserve"> </w:t>
      </w:r>
      <w:r>
        <w:t>(Date)</w:t>
      </w:r>
      <w:r>
        <w:rPr>
          <w:spacing w:val="1"/>
        </w:rPr>
        <w:t xml:space="preserve"> </w:t>
      </w:r>
      <w:r>
        <w:rPr>
          <w:u w:val="single"/>
        </w:rPr>
        <w:t xml:space="preserve"> </w:t>
      </w:r>
      <w:r>
        <w:rPr>
          <w:u w:val="single"/>
        </w:rPr>
        <w:tab/>
      </w:r>
    </w:p>
    <w:p w:rsidR="004E13A5" w:rsidRDefault="004E13A5">
      <w:pPr>
        <w:jc w:val="both"/>
        <w:sectPr w:rsidR="004E13A5">
          <w:pgSz w:w="12240" w:h="15840"/>
          <w:pgMar w:top="1120" w:right="1200" w:bottom="1240" w:left="1220" w:header="0" w:footer="998" w:gutter="0"/>
          <w:cols w:space="720"/>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240780" cy="205740"/>
                <wp:effectExtent l="9525" t="9525" r="7620" b="13335"/>
                <wp:docPr id="3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152"/>
                              <w:rPr>
                                <w:b/>
                                <w:sz w:val="24"/>
                              </w:rPr>
                            </w:pPr>
                            <w:r>
                              <w:rPr>
                                <w:b/>
                                <w:sz w:val="24"/>
                              </w:rPr>
                              <w:t>MODEL OWNER NOTIFICATION OF RIGHTS AND OBLIGATIONS</w:t>
                            </w:r>
                          </w:p>
                        </w:txbxContent>
                      </wps:txbx>
                      <wps:bodyPr rot="0" vert="horz" wrap="square" lIns="0" tIns="0" rIns="0" bIns="0" anchor="t" anchorCtr="0" upright="1">
                        <a:noAutofit/>
                      </wps:bodyPr>
                    </wps:wsp>
                  </a:graphicData>
                </a:graphic>
              </wp:inline>
            </w:drawing>
          </mc:Choice>
          <mc:Fallback>
            <w:pict>
              <v:shape id="Text Box 87" o:spid="_x0000_s1048" type="#_x0000_t202" style="width:491.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" filled="f" strokeweight=".48pt">
                <v:textbox inset="0,0,0,0">
                  <w:txbxContent>
                    <w:p w:rsidR="00BA59C9" w:rsidRDefault="00BA59C9">
                      <w:pPr>
                        <w:spacing w:before="18"/>
                        <w:ind w:left="1152"/>
                        <w:rPr>
                          <w:b/>
                          <w:sz w:val="24"/>
                        </w:rPr>
                      </w:pPr>
                      <w:r>
                        <w:rPr>
                          <w:b/>
                          <w:sz w:val="24"/>
                        </w:rPr>
                        <w:t>MODEL OWNER NOTIFICATION OF RIGHTS AND OBLIGATIONS</w:t>
                      </w:r>
                    </w:p>
                  </w:txbxContent>
                </v:textbox>
                <w10:anchorlock/>
              </v:shape>
            </w:pict>
          </mc:Fallback>
        </mc:AlternateContent>
      </w:r>
    </w:p>
    <w:p w:rsidR="004E13A5" w:rsidRDefault="00681463">
      <w:pPr>
        <w:spacing w:before="85" w:line="348" w:lineRule="auto"/>
        <w:ind w:left="1900" w:right="1883" w:firstLine="1407"/>
        <w:rPr>
          <w:b/>
          <w:sz w:val="23"/>
        </w:rPr>
      </w:pPr>
      <w:r>
        <w:rPr>
          <w:b/>
          <w:sz w:val="23"/>
        </w:rPr>
        <w:t>[Insert Name of Housing Provider] NOTIFICATION OF YOUR RIGHTS AND OBLIGATIONS UNDER THE VIOLENCE AGAINST WOMEN ACT (VAWA)</w:t>
      </w:r>
    </w:p>
    <w:p w:rsidR="004E13A5" w:rsidRDefault="00681463">
      <w:pPr>
        <w:spacing w:before="7"/>
        <w:ind w:left="220" w:right="213"/>
        <w:rPr>
          <w:sz w:val="23"/>
        </w:rPr>
      </w:pPr>
      <w:r>
        <w:rPr>
          <w:sz w:val="23"/>
        </w:rPr>
        <w:t>VAWA provides protections for Section 8 Housing Choice Voucher (HCV) and PBV applicants, tenants, and participants from being denied assistance on the basis or as a direct result of being a victim of domestic violence, dating violence, sexual assault and stalking.</w:t>
      </w:r>
    </w:p>
    <w:p w:rsidR="004E13A5" w:rsidRDefault="00681463">
      <w:pPr>
        <w:spacing w:before="119"/>
        <w:ind w:left="220"/>
        <w:rPr>
          <w:b/>
          <w:sz w:val="23"/>
        </w:rPr>
      </w:pPr>
      <w:r>
        <w:rPr>
          <w:b/>
          <w:sz w:val="23"/>
        </w:rPr>
        <w:t>Purpose</w:t>
      </w:r>
    </w:p>
    <w:p w:rsidR="004E13A5" w:rsidRDefault="00681463">
      <w:pPr>
        <w:spacing w:before="119"/>
        <w:ind w:left="220" w:right="260"/>
        <w:rPr>
          <w:sz w:val="23"/>
        </w:rPr>
      </w:pPr>
      <w:r>
        <w:rPr>
          <w:sz w:val="23"/>
        </w:rPr>
        <w:t xml:space="preserve">Many of VAWA’s protections to victims of domestic violence, dating violence, sexual assault and stalking involve action by the public housing agency (PHA), but some situations involve action by owners of assisted housing. The purpose of this notice (herein called “Notice”) is to explain your rights and obligations under VAWA, as an owner of housing assisted through </w:t>
      </w:r>
      <w:r>
        <w:rPr>
          <w:b/>
          <w:sz w:val="23"/>
        </w:rPr>
        <w:t xml:space="preserve">[insert name of housing provider] </w:t>
      </w:r>
      <w:r>
        <w:rPr>
          <w:sz w:val="23"/>
        </w:rPr>
        <w:t>HCV program. Each component of this Notice also provides citations to HUD’s applicable regulations.</w:t>
      </w:r>
    </w:p>
    <w:p w:rsidR="004E13A5" w:rsidRDefault="00681463">
      <w:pPr>
        <w:spacing w:before="121"/>
        <w:ind w:left="220"/>
        <w:rPr>
          <w:b/>
          <w:sz w:val="23"/>
        </w:rPr>
      </w:pPr>
      <w:r>
        <w:rPr>
          <w:b/>
          <w:sz w:val="23"/>
        </w:rPr>
        <w:t>Denial of Tenancy</w:t>
      </w:r>
    </w:p>
    <w:p w:rsidR="004E13A5" w:rsidRDefault="00681463">
      <w:pPr>
        <w:spacing w:before="119"/>
        <w:ind w:left="220" w:right="244"/>
        <w:rPr>
          <w:sz w:val="23"/>
        </w:rPr>
      </w:pPr>
      <w:r>
        <w:rPr>
          <w:i/>
          <w:sz w:val="23"/>
        </w:rPr>
        <w:t>Protections for applicants</w:t>
      </w:r>
      <w:r>
        <w:rPr>
          <w:b/>
          <w:sz w:val="23"/>
        </w:rPr>
        <w:t xml:space="preserve">: </w:t>
      </w:r>
      <w:r>
        <w:rPr>
          <w:sz w:val="23"/>
        </w:rPr>
        <w:t>Owners cannot deny tenancy based on the applicant having been or currently being a victim of domestic violence, dating violence, sexual assault, or stalking. However, the applicant must be otherwise eligible for tenancy. (See 24 Code of Federal Regulations (CFR) 982.452(b)(1).)</w:t>
      </w:r>
    </w:p>
    <w:p w:rsidR="004E13A5" w:rsidRDefault="00681463">
      <w:pPr>
        <w:spacing w:before="122"/>
        <w:ind w:left="220"/>
        <w:rPr>
          <w:b/>
          <w:sz w:val="23"/>
        </w:rPr>
      </w:pPr>
      <w:r>
        <w:rPr>
          <w:b/>
          <w:sz w:val="23"/>
        </w:rPr>
        <w:t>Eviction</w:t>
      </w:r>
    </w:p>
    <w:p w:rsidR="004E13A5" w:rsidRDefault="00681463">
      <w:pPr>
        <w:spacing w:before="119"/>
        <w:ind w:left="220" w:right="353"/>
        <w:rPr>
          <w:sz w:val="23"/>
        </w:rPr>
      </w:pPr>
      <w:r>
        <w:rPr>
          <w:i/>
          <w:sz w:val="23"/>
        </w:rPr>
        <w:t>Protections for HCV participants</w:t>
      </w:r>
      <w:r>
        <w:rPr>
          <w:b/>
          <w:sz w:val="23"/>
        </w:rPr>
        <w:t xml:space="preserve">: </w:t>
      </w:r>
      <w:r>
        <w:rPr>
          <w:sz w:val="23"/>
        </w:rPr>
        <w:t>Incidents or threats of domestic violence, dating violence, sexual assault, or stalking will not be considered a serious or repeated lease violation by the victim, or good cause to terminate the tenancy of the victim (24 CFR 5.2005(c)). Protection also applies to criminal activity related directly to domestic violence, dating violence, sexual assault, or stalking, conducted by a member of a tenant’s household or any guest or other person under the tenant’s control, if the tenant or an affiliated individual of the tenant is the victim or threatened victim of such domestic violence, dating violence, sexual assault, or stalking (24 CFR 5.2005(b)(2)).</w:t>
      </w:r>
    </w:p>
    <w:p w:rsidR="004E13A5" w:rsidRDefault="00681463">
      <w:pPr>
        <w:spacing w:before="119"/>
        <w:ind w:left="220"/>
        <w:rPr>
          <w:i/>
          <w:sz w:val="23"/>
        </w:rPr>
      </w:pPr>
      <w:r>
        <w:rPr>
          <w:i/>
          <w:sz w:val="23"/>
        </w:rPr>
        <w:t>Limitations of VAWA protections:</w:t>
      </w:r>
    </w:p>
    <w:p w:rsidR="004E13A5" w:rsidRDefault="00681463">
      <w:pPr>
        <w:pStyle w:val="ListParagraph"/>
        <w:numPr>
          <w:ilvl w:val="1"/>
          <w:numId w:val="23"/>
        </w:numPr>
        <w:tabs>
          <w:tab w:val="left" w:pos="447"/>
        </w:tabs>
        <w:spacing w:before="59"/>
        <w:ind w:right="345" w:firstLine="0"/>
        <w:rPr>
          <w:sz w:val="23"/>
        </w:rPr>
      </w:pPr>
      <w:r>
        <w:rPr>
          <w:sz w:val="23"/>
        </w:rPr>
        <w:t>Nothing in the VAWA Final Rule limits the authority of an owner, when notified of a court order,</w:t>
      </w:r>
      <w:r>
        <w:rPr>
          <w:spacing w:val="-32"/>
          <w:sz w:val="23"/>
        </w:rPr>
        <w:t xml:space="preserve"> </w:t>
      </w:r>
      <w:r>
        <w:rPr>
          <w:sz w:val="23"/>
        </w:rPr>
        <w:t>to comply with a court order with respect to (24 CFR</w:t>
      </w:r>
      <w:r>
        <w:rPr>
          <w:spacing w:val="-16"/>
          <w:sz w:val="23"/>
        </w:rPr>
        <w:t xml:space="preserve"> </w:t>
      </w:r>
      <w:r>
        <w:rPr>
          <w:sz w:val="23"/>
        </w:rPr>
        <w:t>5.2005(d)(1)):</w:t>
      </w:r>
    </w:p>
    <w:p w:rsidR="004E13A5" w:rsidRDefault="00681463">
      <w:pPr>
        <w:pStyle w:val="ListParagraph"/>
        <w:numPr>
          <w:ilvl w:val="0"/>
          <w:numId w:val="22"/>
        </w:numPr>
        <w:tabs>
          <w:tab w:val="left" w:pos="478"/>
        </w:tabs>
        <w:spacing w:before="59"/>
        <w:ind w:right="247" w:firstLine="0"/>
        <w:rPr>
          <w:sz w:val="23"/>
        </w:rPr>
      </w:pPr>
      <w:r>
        <w:rPr>
          <w:sz w:val="23"/>
        </w:rPr>
        <w:t>The rights of access or control of property, including civil protection orders issued to protect a</w:t>
      </w:r>
      <w:r>
        <w:rPr>
          <w:spacing w:val="-39"/>
          <w:sz w:val="23"/>
        </w:rPr>
        <w:t xml:space="preserve"> </w:t>
      </w:r>
      <w:r>
        <w:rPr>
          <w:sz w:val="23"/>
        </w:rPr>
        <w:t>victim of domestic violence, dating violence, sexual assault, or stalking;</w:t>
      </w:r>
      <w:r>
        <w:rPr>
          <w:spacing w:val="-27"/>
          <w:sz w:val="23"/>
        </w:rPr>
        <w:t xml:space="preserve"> </w:t>
      </w:r>
      <w:r>
        <w:rPr>
          <w:sz w:val="23"/>
        </w:rPr>
        <w:t>or</w:t>
      </w:r>
    </w:p>
    <w:p w:rsidR="004E13A5" w:rsidRDefault="00681463">
      <w:pPr>
        <w:pStyle w:val="ListParagraph"/>
        <w:numPr>
          <w:ilvl w:val="0"/>
          <w:numId w:val="22"/>
        </w:numPr>
        <w:tabs>
          <w:tab w:val="left" w:pos="470"/>
        </w:tabs>
        <w:spacing w:before="59"/>
        <w:ind w:left="470" w:hanging="250"/>
        <w:rPr>
          <w:sz w:val="23"/>
        </w:rPr>
      </w:pPr>
      <w:r>
        <w:rPr>
          <w:sz w:val="23"/>
        </w:rPr>
        <w:t>The distribution or possession of property among members of a household in a</w:t>
      </w:r>
      <w:r>
        <w:rPr>
          <w:spacing w:val="-28"/>
          <w:sz w:val="23"/>
        </w:rPr>
        <w:t xml:space="preserve"> </w:t>
      </w:r>
      <w:r>
        <w:rPr>
          <w:sz w:val="23"/>
        </w:rPr>
        <w:t>case.</w:t>
      </w:r>
    </w:p>
    <w:p w:rsidR="004E13A5" w:rsidRDefault="00681463">
      <w:pPr>
        <w:pStyle w:val="ListParagraph"/>
        <w:numPr>
          <w:ilvl w:val="1"/>
          <w:numId w:val="23"/>
        </w:numPr>
        <w:tabs>
          <w:tab w:val="left" w:pos="459"/>
        </w:tabs>
        <w:spacing w:before="59"/>
        <w:ind w:right="283" w:firstLine="0"/>
        <w:rPr>
          <w:sz w:val="23"/>
        </w:rPr>
      </w:pPr>
      <w:r>
        <w:rPr>
          <w:sz w:val="23"/>
        </w:rPr>
        <w:t>Nothing in the VAWA Final Rule limits an owner from evicting a victim of domestic violence, dating violence, sexual assault, or stalking for a lease violation that is not premised on an act of domestic</w:t>
      </w:r>
      <w:r>
        <w:rPr>
          <w:spacing w:val="-2"/>
          <w:sz w:val="23"/>
        </w:rPr>
        <w:t xml:space="preserve"> </w:t>
      </w:r>
      <w:r>
        <w:rPr>
          <w:sz w:val="23"/>
        </w:rPr>
        <w:t>violence,</w:t>
      </w:r>
      <w:r>
        <w:rPr>
          <w:spacing w:val="-5"/>
          <w:sz w:val="23"/>
        </w:rPr>
        <w:t xml:space="preserve"> </w:t>
      </w:r>
      <w:r>
        <w:rPr>
          <w:sz w:val="23"/>
        </w:rPr>
        <w:t>dating</w:t>
      </w:r>
      <w:r>
        <w:rPr>
          <w:spacing w:val="-5"/>
          <w:sz w:val="23"/>
        </w:rPr>
        <w:t xml:space="preserve"> </w:t>
      </w:r>
      <w:r>
        <w:rPr>
          <w:sz w:val="23"/>
        </w:rPr>
        <w:t>violence,</w:t>
      </w:r>
      <w:r>
        <w:rPr>
          <w:spacing w:val="-2"/>
          <w:sz w:val="23"/>
        </w:rPr>
        <w:t xml:space="preserve"> </w:t>
      </w:r>
      <w:r>
        <w:rPr>
          <w:sz w:val="23"/>
        </w:rPr>
        <w:t>sexual</w:t>
      </w:r>
      <w:r>
        <w:rPr>
          <w:spacing w:val="-2"/>
          <w:sz w:val="23"/>
        </w:rPr>
        <w:t xml:space="preserve"> </w:t>
      </w:r>
      <w:r>
        <w:rPr>
          <w:sz w:val="23"/>
        </w:rPr>
        <w:t>assault,</w:t>
      </w:r>
      <w:r>
        <w:rPr>
          <w:spacing w:val="-2"/>
          <w:sz w:val="23"/>
        </w:rPr>
        <w:t xml:space="preserve"> </w:t>
      </w:r>
      <w:r>
        <w:rPr>
          <w:sz w:val="23"/>
        </w:rPr>
        <w:t>or</w:t>
      </w:r>
      <w:r>
        <w:rPr>
          <w:spacing w:val="-2"/>
          <w:sz w:val="23"/>
        </w:rPr>
        <w:t xml:space="preserve"> </w:t>
      </w:r>
      <w:r>
        <w:rPr>
          <w:sz w:val="23"/>
        </w:rPr>
        <w:t>stalking,</w:t>
      </w:r>
      <w:r>
        <w:rPr>
          <w:spacing w:val="-2"/>
          <w:sz w:val="23"/>
        </w:rPr>
        <w:t xml:space="preserve"> </w:t>
      </w:r>
      <w:r>
        <w:rPr>
          <w:sz w:val="23"/>
        </w:rPr>
        <w:t>as</w:t>
      </w:r>
      <w:r>
        <w:rPr>
          <w:spacing w:val="-3"/>
          <w:sz w:val="23"/>
        </w:rPr>
        <w:t xml:space="preserve"> </w:t>
      </w:r>
      <w:r>
        <w:rPr>
          <w:sz w:val="23"/>
        </w:rPr>
        <w:t>long</w:t>
      </w:r>
      <w:r>
        <w:rPr>
          <w:spacing w:val="-5"/>
          <w:sz w:val="23"/>
        </w:rPr>
        <w:t xml:space="preserve"> </w:t>
      </w:r>
      <w:r>
        <w:rPr>
          <w:sz w:val="23"/>
        </w:rPr>
        <w:t>as</w:t>
      </w:r>
      <w:r>
        <w:rPr>
          <w:spacing w:val="-3"/>
          <w:sz w:val="23"/>
        </w:rPr>
        <w:t xml:space="preserve"> </w:t>
      </w:r>
      <w:r>
        <w:rPr>
          <w:sz w:val="23"/>
        </w:rPr>
        <w:t>the</w:t>
      </w:r>
      <w:r>
        <w:rPr>
          <w:spacing w:val="-2"/>
          <w:sz w:val="23"/>
        </w:rPr>
        <w:t xml:space="preserve"> </w:t>
      </w:r>
      <w:r>
        <w:rPr>
          <w:sz w:val="23"/>
        </w:rPr>
        <w:t>owner</w:t>
      </w:r>
      <w:r>
        <w:rPr>
          <w:spacing w:val="-2"/>
          <w:sz w:val="23"/>
        </w:rPr>
        <w:t xml:space="preserve"> </w:t>
      </w:r>
      <w:r>
        <w:rPr>
          <w:sz w:val="23"/>
        </w:rPr>
        <w:t>does</w:t>
      </w:r>
      <w:r>
        <w:rPr>
          <w:spacing w:val="-3"/>
          <w:sz w:val="23"/>
        </w:rPr>
        <w:t xml:space="preserve"> </w:t>
      </w:r>
      <w:r>
        <w:rPr>
          <w:sz w:val="23"/>
        </w:rPr>
        <w:t>not</w:t>
      </w:r>
      <w:r>
        <w:rPr>
          <w:spacing w:val="-2"/>
          <w:sz w:val="23"/>
        </w:rPr>
        <w:t xml:space="preserve"> </w:t>
      </w:r>
      <w:r>
        <w:rPr>
          <w:sz w:val="23"/>
        </w:rPr>
        <w:t>subject</w:t>
      </w:r>
      <w:r>
        <w:rPr>
          <w:spacing w:val="-2"/>
          <w:sz w:val="23"/>
        </w:rPr>
        <w:t xml:space="preserve"> </w:t>
      </w:r>
      <w:r>
        <w:rPr>
          <w:sz w:val="23"/>
        </w:rPr>
        <w:t>the victim to more demanding standards than other tenants when deciding whether to evict. (See 24 CFR 5.2005(d)(2).)</w:t>
      </w:r>
    </w:p>
    <w:p w:rsidR="004E13A5" w:rsidRDefault="00681463">
      <w:pPr>
        <w:pStyle w:val="ListParagraph"/>
        <w:numPr>
          <w:ilvl w:val="1"/>
          <w:numId w:val="23"/>
        </w:numPr>
        <w:tabs>
          <w:tab w:val="left" w:pos="447"/>
        </w:tabs>
        <w:spacing w:before="59"/>
        <w:ind w:right="468" w:firstLine="0"/>
        <w:rPr>
          <w:sz w:val="23"/>
        </w:rPr>
      </w:pPr>
      <w:r>
        <w:rPr>
          <w:sz w:val="23"/>
        </w:rPr>
        <w:t>Nothing in the VAWA Final Rule limits an owner from evicting a tenant (including the victim of domestic</w:t>
      </w:r>
      <w:r>
        <w:rPr>
          <w:spacing w:val="-3"/>
          <w:sz w:val="23"/>
        </w:rPr>
        <w:t xml:space="preserve"> </w:t>
      </w:r>
      <w:r>
        <w:rPr>
          <w:sz w:val="23"/>
        </w:rPr>
        <w:t>violence,</w:t>
      </w:r>
      <w:r>
        <w:rPr>
          <w:spacing w:val="-6"/>
          <w:sz w:val="23"/>
        </w:rPr>
        <w:t xml:space="preserve"> </w:t>
      </w:r>
      <w:r>
        <w:rPr>
          <w:sz w:val="23"/>
        </w:rPr>
        <w:t>dating</w:t>
      </w:r>
      <w:r>
        <w:rPr>
          <w:spacing w:val="-6"/>
          <w:sz w:val="23"/>
        </w:rPr>
        <w:t xml:space="preserve"> </w:t>
      </w:r>
      <w:r>
        <w:rPr>
          <w:sz w:val="23"/>
        </w:rPr>
        <w:t>violence,</w:t>
      </w:r>
      <w:r>
        <w:rPr>
          <w:spacing w:val="-3"/>
          <w:sz w:val="23"/>
        </w:rPr>
        <w:t xml:space="preserve"> </w:t>
      </w:r>
      <w:r>
        <w:rPr>
          <w:sz w:val="23"/>
        </w:rPr>
        <w:t>sexual</w:t>
      </w:r>
      <w:r>
        <w:rPr>
          <w:spacing w:val="-3"/>
          <w:sz w:val="23"/>
        </w:rPr>
        <w:t xml:space="preserve"> </w:t>
      </w:r>
      <w:r>
        <w:rPr>
          <w:sz w:val="23"/>
        </w:rPr>
        <w:t>assault,</w:t>
      </w:r>
      <w:r>
        <w:rPr>
          <w:spacing w:val="-3"/>
          <w:sz w:val="23"/>
        </w:rPr>
        <w:t xml:space="preserve"> </w:t>
      </w:r>
      <w:r>
        <w:rPr>
          <w:sz w:val="23"/>
        </w:rPr>
        <w:t>or</w:t>
      </w:r>
      <w:r>
        <w:rPr>
          <w:spacing w:val="-3"/>
          <w:sz w:val="23"/>
        </w:rPr>
        <w:t xml:space="preserve"> </w:t>
      </w:r>
      <w:r>
        <w:rPr>
          <w:sz w:val="23"/>
        </w:rPr>
        <w:t>stalking)</w:t>
      </w:r>
      <w:r>
        <w:rPr>
          <w:spacing w:val="-3"/>
          <w:sz w:val="23"/>
        </w:rPr>
        <w:t xml:space="preserve"> </w:t>
      </w:r>
      <w:r>
        <w:rPr>
          <w:sz w:val="23"/>
        </w:rPr>
        <w:t>if</w:t>
      </w:r>
      <w:r>
        <w:rPr>
          <w:spacing w:val="-6"/>
          <w:sz w:val="23"/>
        </w:rPr>
        <w:t xml:space="preserve"> </w:t>
      </w:r>
      <w:r>
        <w:rPr>
          <w:sz w:val="23"/>
        </w:rPr>
        <w:t>the</w:t>
      </w:r>
      <w:r>
        <w:rPr>
          <w:spacing w:val="-3"/>
          <w:sz w:val="23"/>
        </w:rPr>
        <w:t xml:space="preserve"> </w:t>
      </w:r>
      <w:r>
        <w:rPr>
          <w:sz w:val="23"/>
        </w:rPr>
        <w:t>owner</w:t>
      </w:r>
      <w:r>
        <w:rPr>
          <w:spacing w:val="-3"/>
          <w:sz w:val="23"/>
        </w:rPr>
        <w:t xml:space="preserve"> </w:t>
      </w:r>
      <w:r>
        <w:rPr>
          <w:sz w:val="23"/>
        </w:rPr>
        <w:t>can</w:t>
      </w:r>
      <w:r>
        <w:rPr>
          <w:spacing w:val="-3"/>
          <w:sz w:val="23"/>
        </w:rPr>
        <w:t xml:space="preserve"> </w:t>
      </w:r>
      <w:r>
        <w:rPr>
          <w:sz w:val="23"/>
        </w:rPr>
        <w:t>demonstrate</w:t>
      </w:r>
      <w:r>
        <w:rPr>
          <w:spacing w:val="-3"/>
          <w:sz w:val="23"/>
        </w:rPr>
        <w:t xml:space="preserve"> </w:t>
      </w:r>
      <w:r>
        <w:rPr>
          <w:sz w:val="23"/>
        </w:rPr>
        <w:t>an</w:t>
      </w:r>
      <w:r>
        <w:rPr>
          <w:spacing w:val="-6"/>
          <w:sz w:val="23"/>
        </w:rPr>
        <w:t xml:space="preserve"> </w:t>
      </w:r>
      <w:r>
        <w:rPr>
          <w:sz w:val="23"/>
        </w:rPr>
        <w:t>actual and imminent threat to other tenants or those employed at or providing services to the HCV property would be present if the tenant or lawful occupant is not evicted.  (See 24 CFR</w:t>
      </w:r>
      <w:r>
        <w:rPr>
          <w:spacing w:val="-30"/>
          <w:sz w:val="23"/>
        </w:rPr>
        <w:t xml:space="preserve"> </w:t>
      </w:r>
      <w:r>
        <w:rPr>
          <w:sz w:val="23"/>
        </w:rPr>
        <w:t>5.2005(d)(3).)</w:t>
      </w:r>
    </w:p>
    <w:p w:rsidR="004E13A5" w:rsidRDefault="00681463">
      <w:pPr>
        <w:pStyle w:val="ListParagraph"/>
        <w:numPr>
          <w:ilvl w:val="0"/>
          <w:numId w:val="21"/>
        </w:numPr>
        <w:tabs>
          <w:tab w:val="left" w:pos="408"/>
        </w:tabs>
        <w:spacing w:before="59"/>
        <w:ind w:right="717" w:firstLine="0"/>
        <w:jc w:val="left"/>
        <w:rPr>
          <w:sz w:val="23"/>
        </w:rPr>
      </w:pPr>
      <w:r>
        <w:rPr>
          <w:sz w:val="23"/>
        </w:rPr>
        <w:t>In this context, words, gestures, actions, or other indicators will be considered an “actual and imminent threat” if they meet the following standards: An actual and imminent threat consists of</w:t>
      </w:r>
      <w:r>
        <w:rPr>
          <w:spacing w:val="16"/>
          <w:sz w:val="23"/>
        </w:rPr>
        <w:t xml:space="preserve"> </w:t>
      </w:r>
      <w:r>
        <w:rPr>
          <w:sz w:val="23"/>
        </w:rPr>
        <w:t>a</w:t>
      </w:r>
    </w:p>
    <w:p w:rsidR="004E13A5" w:rsidRDefault="004E13A5">
      <w:pPr>
        <w:rPr>
          <w:sz w:val="23"/>
        </w:rPr>
        <w:sectPr w:rsidR="004E13A5">
          <w:pgSz w:w="12240" w:h="15840"/>
          <w:pgMar w:top="1080" w:right="1100" w:bottom="1240" w:left="1100" w:header="0" w:footer="998" w:gutter="0"/>
          <w:cols w:space="720"/>
        </w:sectPr>
      </w:pPr>
    </w:p>
    <w:p w:rsidR="004E13A5" w:rsidRDefault="00681463">
      <w:pPr>
        <w:spacing w:before="79"/>
        <w:ind w:left="100" w:right="195"/>
        <w:rPr>
          <w:sz w:val="23"/>
        </w:rPr>
      </w:pPr>
      <w:r>
        <w:rPr>
          <w:sz w:val="23"/>
        </w:rPr>
        <w:lastRenderedPageBreak/>
        <w:t>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 (See 24 CFR 5.2003.)</w:t>
      </w:r>
    </w:p>
    <w:p w:rsidR="004E13A5" w:rsidRDefault="00681463">
      <w:pPr>
        <w:pStyle w:val="ListParagraph"/>
        <w:numPr>
          <w:ilvl w:val="0"/>
          <w:numId w:val="21"/>
        </w:numPr>
        <w:tabs>
          <w:tab w:val="left" w:pos="353"/>
        </w:tabs>
        <w:ind w:left="100" w:right="146" w:firstLine="0"/>
        <w:jc w:val="left"/>
        <w:rPr>
          <w:sz w:val="23"/>
        </w:rPr>
      </w:pPr>
      <w:r>
        <w:rPr>
          <w:sz w:val="23"/>
        </w:rPr>
        <w:t>Any eviction due to “actual and imminent threat” should be utilized by an owner only when there</w:t>
      </w:r>
      <w:r>
        <w:rPr>
          <w:spacing w:val="-34"/>
          <w:sz w:val="23"/>
        </w:rPr>
        <w:t xml:space="preserve"> </w:t>
      </w:r>
      <w:r>
        <w:rPr>
          <w:sz w:val="23"/>
        </w:rPr>
        <w:t>are no other actions that could be taken to reduce or eliminate the threat, including, but not limited to, transferring the victim 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 (See 24 CFR</w:t>
      </w:r>
      <w:r>
        <w:rPr>
          <w:spacing w:val="-13"/>
          <w:sz w:val="23"/>
        </w:rPr>
        <w:t xml:space="preserve"> </w:t>
      </w:r>
      <w:r>
        <w:rPr>
          <w:sz w:val="23"/>
        </w:rPr>
        <w:t>5.2005(d)(4).)</w:t>
      </w:r>
    </w:p>
    <w:p w:rsidR="004E13A5" w:rsidRDefault="00681463">
      <w:pPr>
        <w:spacing w:before="119"/>
        <w:ind w:left="100"/>
        <w:rPr>
          <w:b/>
          <w:sz w:val="23"/>
        </w:rPr>
      </w:pPr>
      <w:r>
        <w:rPr>
          <w:b/>
          <w:sz w:val="23"/>
        </w:rPr>
        <w:t>Documentation of Domestic Violence, Dating Violence, Sexual Assault, or Stalking</w:t>
      </w:r>
    </w:p>
    <w:p w:rsidR="004E13A5" w:rsidRDefault="00681463">
      <w:pPr>
        <w:spacing w:before="122"/>
        <w:ind w:left="100" w:right="82"/>
        <w:rPr>
          <w:sz w:val="23"/>
        </w:rPr>
      </w:pPr>
      <w:r>
        <w:rPr>
          <w:sz w:val="23"/>
        </w:rPr>
        <w:t>If an applicant or tenant requests VAWA protection based on status as a victim of domestic violence, dating violence, sexual assault, or stalking, the owner has the option to request that the victim document or provide written evidence to demonstrate that the violence occurred. However, nothing in HUD’s regulation requires a covered housing provider to request this documentation. (See 24 CFR 5.2007(b)(3).)</w:t>
      </w:r>
    </w:p>
    <w:p w:rsidR="004E13A5" w:rsidRDefault="00681463">
      <w:pPr>
        <w:spacing w:before="121"/>
        <w:ind w:left="100"/>
        <w:rPr>
          <w:sz w:val="23"/>
        </w:rPr>
      </w:pPr>
      <w:r>
        <w:rPr>
          <w:sz w:val="23"/>
        </w:rPr>
        <w:t>If the owner chooses to request this documentation, the owner must make such request in writing. The individual may satisfy this request by providing any one document type listed under 24 CFR 5.2007(b)(1):</w:t>
      </w:r>
    </w:p>
    <w:p w:rsidR="004E13A5" w:rsidRDefault="00681463">
      <w:pPr>
        <w:pStyle w:val="ListParagraph"/>
        <w:numPr>
          <w:ilvl w:val="0"/>
          <w:numId w:val="20"/>
        </w:numPr>
        <w:tabs>
          <w:tab w:val="left" w:pos="327"/>
        </w:tabs>
        <w:spacing w:before="59"/>
        <w:ind w:firstLine="0"/>
        <w:rPr>
          <w:sz w:val="23"/>
        </w:rPr>
      </w:pPr>
      <w:r>
        <w:rPr>
          <w:sz w:val="23"/>
        </w:rPr>
        <w:t>Form HUD-55383 (Self-Certification Form);</w:t>
      </w:r>
      <w:r>
        <w:rPr>
          <w:spacing w:val="-14"/>
          <w:sz w:val="23"/>
        </w:rPr>
        <w:t xml:space="preserve"> </w:t>
      </w:r>
      <w:r>
        <w:rPr>
          <w:sz w:val="23"/>
        </w:rPr>
        <w:t>or</w:t>
      </w:r>
    </w:p>
    <w:p w:rsidR="004E13A5" w:rsidRDefault="00681463">
      <w:pPr>
        <w:pStyle w:val="ListParagraph"/>
        <w:numPr>
          <w:ilvl w:val="0"/>
          <w:numId w:val="20"/>
        </w:numPr>
        <w:tabs>
          <w:tab w:val="left" w:pos="331"/>
        </w:tabs>
        <w:spacing w:before="59"/>
        <w:ind w:right="168" w:firstLine="0"/>
        <w:rPr>
          <w:sz w:val="23"/>
        </w:rPr>
      </w:pPr>
      <w:r>
        <w:rPr>
          <w:sz w:val="23"/>
        </w:rPr>
        <w:t>A document: 1) Signed by an employee, agent, or volunteer of a victim service provider, an attorney, or medical professional or a mental health professional (collectively, “professional”) from whom the victim has sought assistance relating to domestic violence, dating violence, sexual assault, or stalking, or the effects of</w:t>
      </w:r>
      <w:r>
        <w:rPr>
          <w:spacing w:val="-10"/>
          <w:sz w:val="23"/>
        </w:rPr>
        <w:t xml:space="preserve"> </w:t>
      </w:r>
      <w:r>
        <w:rPr>
          <w:sz w:val="23"/>
        </w:rPr>
        <w:t>abuse:</w:t>
      </w:r>
    </w:p>
    <w:p w:rsidR="004E13A5" w:rsidRDefault="00681463">
      <w:pPr>
        <w:pStyle w:val="ListParagraph"/>
        <w:numPr>
          <w:ilvl w:val="0"/>
          <w:numId w:val="19"/>
        </w:numPr>
        <w:tabs>
          <w:tab w:val="left" w:pos="350"/>
        </w:tabs>
        <w:spacing w:before="59"/>
        <w:ind w:firstLine="0"/>
        <w:rPr>
          <w:sz w:val="23"/>
        </w:rPr>
      </w:pPr>
      <w:r>
        <w:rPr>
          <w:sz w:val="23"/>
        </w:rPr>
        <w:t>Signed by the applicant or tenant;</w:t>
      </w:r>
      <w:r>
        <w:rPr>
          <w:spacing w:val="-13"/>
          <w:sz w:val="23"/>
        </w:rPr>
        <w:t xml:space="preserve"> </w:t>
      </w:r>
      <w:r>
        <w:rPr>
          <w:sz w:val="23"/>
        </w:rPr>
        <w:t>and</w:t>
      </w:r>
    </w:p>
    <w:p w:rsidR="004E13A5" w:rsidRDefault="00681463">
      <w:pPr>
        <w:pStyle w:val="ListParagraph"/>
        <w:numPr>
          <w:ilvl w:val="0"/>
          <w:numId w:val="19"/>
        </w:numPr>
        <w:tabs>
          <w:tab w:val="left" w:pos="358"/>
        </w:tabs>
        <w:spacing w:before="59"/>
        <w:ind w:right="467" w:firstLine="0"/>
        <w:rPr>
          <w:sz w:val="23"/>
        </w:rPr>
      </w:pPr>
      <w:r>
        <w:rPr>
          <w:sz w:val="23"/>
        </w:rPr>
        <w:t>That specifies, under penalty of perjury, that the professional believes in the occurrence of the incident of domestic violence, dating violence, sexual assault, or stalking that is the ground for protection and remedies under 24 CFR part 5, subpart L, and that the incident meets the applicable definition of domestic violence, dating violence, sexual assault, or stalking under 24 CFR 5.2003;</w:t>
      </w:r>
      <w:r>
        <w:rPr>
          <w:spacing w:val="-37"/>
          <w:sz w:val="23"/>
        </w:rPr>
        <w:t xml:space="preserve"> </w:t>
      </w:r>
      <w:r>
        <w:rPr>
          <w:sz w:val="23"/>
        </w:rPr>
        <w:t>or</w:t>
      </w:r>
    </w:p>
    <w:p w:rsidR="004E13A5" w:rsidRDefault="00681463">
      <w:pPr>
        <w:pStyle w:val="ListParagraph"/>
        <w:numPr>
          <w:ilvl w:val="0"/>
          <w:numId w:val="20"/>
        </w:numPr>
        <w:tabs>
          <w:tab w:val="left" w:pos="327"/>
        </w:tabs>
        <w:spacing w:before="59"/>
        <w:ind w:right="1397" w:firstLine="0"/>
        <w:rPr>
          <w:sz w:val="23"/>
        </w:rPr>
      </w:pPr>
      <w:r>
        <w:rPr>
          <w:sz w:val="23"/>
        </w:rPr>
        <w:t>A record of a Federal, State, tribal, territorial or local law enforcement agency, court,</w:t>
      </w:r>
      <w:r>
        <w:rPr>
          <w:spacing w:val="-36"/>
          <w:sz w:val="23"/>
        </w:rPr>
        <w:t xml:space="preserve"> </w:t>
      </w:r>
      <w:r>
        <w:rPr>
          <w:sz w:val="23"/>
        </w:rPr>
        <w:t>or administrative agency;</w:t>
      </w:r>
      <w:r>
        <w:rPr>
          <w:spacing w:val="-14"/>
          <w:sz w:val="23"/>
        </w:rPr>
        <w:t xml:space="preserve"> </w:t>
      </w:r>
      <w:r>
        <w:rPr>
          <w:sz w:val="23"/>
        </w:rPr>
        <w:t>or</w:t>
      </w:r>
    </w:p>
    <w:p w:rsidR="004E13A5" w:rsidRDefault="00681463">
      <w:pPr>
        <w:pStyle w:val="ListParagraph"/>
        <w:numPr>
          <w:ilvl w:val="0"/>
          <w:numId w:val="20"/>
        </w:numPr>
        <w:tabs>
          <w:tab w:val="left" w:pos="339"/>
        </w:tabs>
        <w:spacing w:before="61"/>
        <w:ind w:right="808" w:firstLine="0"/>
        <w:rPr>
          <w:sz w:val="23"/>
        </w:rPr>
      </w:pPr>
      <w:r>
        <w:rPr>
          <w:sz w:val="23"/>
        </w:rPr>
        <w:t>At the discretion of a covered housing provider, a statement or other evidence provided by</w:t>
      </w:r>
      <w:r>
        <w:rPr>
          <w:spacing w:val="-38"/>
          <w:sz w:val="23"/>
        </w:rPr>
        <w:t xml:space="preserve"> </w:t>
      </w:r>
      <w:r>
        <w:rPr>
          <w:sz w:val="23"/>
        </w:rPr>
        <w:t>the applicant or</w:t>
      </w:r>
      <w:r>
        <w:rPr>
          <w:spacing w:val="-8"/>
          <w:sz w:val="23"/>
        </w:rPr>
        <w:t xml:space="preserve"> </w:t>
      </w:r>
      <w:r>
        <w:rPr>
          <w:sz w:val="23"/>
        </w:rPr>
        <w:t>tenant.</w:t>
      </w:r>
    </w:p>
    <w:p w:rsidR="004E13A5" w:rsidRDefault="00681463">
      <w:pPr>
        <w:spacing w:before="119"/>
        <w:ind w:left="100" w:right="229"/>
        <w:rPr>
          <w:sz w:val="23"/>
        </w:rPr>
      </w:pPr>
      <w:r>
        <w:rPr>
          <w:sz w:val="23"/>
        </w:rPr>
        <w:t>The owner must accept any of the above items (a – c). The owner has discretion to accept a statement or other evidence (d).</w:t>
      </w:r>
    </w:p>
    <w:p w:rsidR="004E13A5" w:rsidRDefault="00681463">
      <w:pPr>
        <w:spacing w:before="120"/>
        <w:ind w:left="100" w:right="183"/>
        <w:rPr>
          <w:sz w:val="23"/>
        </w:rPr>
      </w:pPr>
      <w:r>
        <w:rPr>
          <w:sz w:val="23"/>
        </w:rPr>
        <w:t>The owner is prohibited from requiring third-party documentation of the domestic violence, dating violence, sexual assault, or stalking, unless the submitted documentation contains conflicting information.</w:t>
      </w:r>
    </w:p>
    <w:p w:rsidR="004E13A5" w:rsidRDefault="00681463">
      <w:pPr>
        <w:spacing w:before="119"/>
        <w:ind w:left="100"/>
        <w:rPr>
          <w:sz w:val="23"/>
        </w:rPr>
      </w:pPr>
      <w:r>
        <w:rPr>
          <w:sz w:val="23"/>
        </w:rPr>
        <w:t>If the owner makes a written request for documentation, the owner may require submission of that documentation within 14 business days after the date that the individual received the written request for documentation. (24 CFR 5.2007(a)(2)). The owner may extend this time period at its discretion.</w:t>
      </w:r>
    </w:p>
    <w:p w:rsidR="004E13A5" w:rsidRDefault="00681463">
      <w:pPr>
        <w:spacing w:before="1"/>
        <w:ind w:left="100"/>
        <w:rPr>
          <w:sz w:val="23"/>
        </w:rPr>
      </w:pPr>
      <w:r>
        <w:rPr>
          <w:sz w:val="23"/>
        </w:rPr>
        <w:t>During the 14 business day period and any granted extensions of that time, no adverse actions, such as evictions or terminations, can be taken against the individual requesting VAWA protection.</w:t>
      </w:r>
    </w:p>
    <w:p w:rsidR="004E13A5" w:rsidRDefault="00681463">
      <w:pPr>
        <w:spacing w:before="119"/>
        <w:ind w:left="100"/>
        <w:rPr>
          <w:sz w:val="23"/>
        </w:rPr>
      </w:pPr>
      <w:r>
        <w:rPr>
          <w:sz w:val="23"/>
        </w:rPr>
        <w:t>Once a victim provides documentation of domestic violence, dating violence, sexual assault, or stalking,</w:t>
      </w:r>
    </w:p>
    <w:p w:rsidR="004E13A5" w:rsidRDefault="004E13A5">
      <w:pPr>
        <w:rPr>
          <w:sz w:val="23"/>
        </w:rPr>
        <w:sectPr w:rsidR="004E13A5">
          <w:pgSz w:w="12240" w:h="15840"/>
          <w:pgMar w:top="1000" w:right="1220" w:bottom="1200" w:left="1220" w:header="0" w:footer="998" w:gutter="0"/>
          <w:cols w:space="720"/>
        </w:sectPr>
      </w:pPr>
    </w:p>
    <w:p w:rsidR="004E13A5" w:rsidRDefault="00681463">
      <w:pPr>
        <w:spacing w:before="79"/>
        <w:ind w:left="100"/>
        <w:rPr>
          <w:sz w:val="23"/>
        </w:rPr>
      </w:pPr>
      <w:r>
        <w:rPr>
          <w:sz w:val="23"/>
        </w:rPr>
        <w:lastRenderedPageBreak/>
        <w:t>the owner is encouraged to acknowledge receipt of the documentation in a timely manner.</w:t>
      </w:r>
    </w:p>
    <w:p w:rsidR="004E13A5" w:rsidRDefault="00681463">
      <w:pPr>
        <w:spacing w:before="120"/>
        <w:ind w:left="100" w:right="150"/>
        <w:rPr>
          <w:sz w:val="23"/>
        </w:rPr>
      </w:pPr>
      <w:r>
        <w:rPr>
          <w:sz w:val="23"/>
        </w:rPr>
        <w:t>If the applicant or tenant fails to provide documentation that meets the criteria in 24 CFR 5.2007 within 14 business days after receiving the written request for that documentation or within the designated extension period, nothing in VAWA Final Rule may be construed to limit the authority of the covered housing provider to:</w:t>
      </w:r>
    </w:p>
    <w:p w:rsidR="004E13A5" w:rsidRDefault="00681463">
      <w:pPr>
        <w:pStyle w:val="ListParagraph"/>
        <w:numPr>
          <w:ilvl w:val="0"/>
          <w:numId w:val="18"/>
        </w:numPr>
        <w:tabs>
          <w:tab w:val="left" w:pos="327"/>
        </w:tabs>
        <w:spacing w:before="59"/>
        <w:rPr>
          <w:sz w:val="23"/>
        </w:rPr>
      </w:pPr>
      <w:r>
        <w:rPr>
          <w:sz w:val="23"/>
        </w:rPr>
        <w:t>Deny admission by the applicant or tenant to the housing or</w:t>
      </w:r>
      <w:r>
        <w:rPr>
          <w:spacing w:val="-26"/>
          <w:sz w:val="23"/>
        </w:rPr>
        <w:t xml:space="preserve"> </w:t>
      </w:r>
      <w:r>
        <w:rPr>
          <w:sz w:val="23"/>
        </w:rPr>
        <w:t>program;</w:t>
      </w:r>
    </w:p>
    <w:p w:rsidR="004E13A5" w:rsidRDefault="00681463">
      <w:pPr>
        <w:pStyle w:val="ListParagraph"/>
        <w:numPr>
          <w:ilvl w:val="0"/>
          <w:numId w:val="18"/>
        </w:numPr>
        <w:tabs>
          <w:tab w:val="left" w:pos="339"/>
        </w:tabs>
        <w:spacing w:before="59"/>
        <w:ind w:left="338" w:hanging="238"/>
        <w:rPr>
          <w:sz w:val="23"/>
        </w:rPr>
      </w:pPr>
      <w:r>
        <w:rPr>
          <w:sz w:val="23"/>
        </w:rPr>
        <w:t>Deny assistance under the covered housing program to the applicant or</w:t>
      </w:r>
      <w:r>
        <w:rPr>
          <w:spacing w:val="-30"/>
          <w:sz w:val="23"/>
        </w:rPr>
        <w:t xml:space="preserve"> </w:t>
      </w:r>
      <w:r>
        <w:rPr>
          <w:sz w:val="23"/>
        </w:rPr>
        <w:t>tenant;</w:t>
      </w:r>
    </w:p>
    <w:p w:rsidR="004E13A5" w:rsidRDefault="00681463">
      <w:pPr>
        <w:pStyle w:val="ListParagraph"/>
        <w:numPr>
          <w:ilvl w:val="0"/>
          <w:numId w:val="18"/>
        </w:numPr>
        <w:tabs>
          <w:tab w:val="left" w:pos="327"/>
        </w:tabs>
        <w:spacing w:before="59"/>
        <w:rPr>
          <w:sz w:val="23"/>
        </w:rPr>
      </w:pPr>
      <w:r>
        <w:rPr>
          <w:sz w:val="23"/>
        </w:rPr>
        <w:t>Terminate the participation of the tenant in the covered housing program;</w:t>
      </w:r>
      <w:r>
        <w:rPr>
          <w:spacing w:val="-27"/>
          <w:sz w:val="23"/>
        </w:rPr>
        <w:t xml:space="preserve"> </w:t>
      </w:r>
      <w:r>
        <w:rPr>
          <w:sz w:val="23"/>
        </w:rPr>
        <w:t>or</w:t>
      </w:r>
    </w:p>
    <w:p w:rsidR="004E13A5" w:rsidRDefault="00681463">
      <w:pPr>
        <w:pStyle w:val="ListParagraph"/>
        <w:numPr>
          <w:ilvl w:val="0"/>
          <w:numId w:val="18"/>
        </w:numPr>
        <w:tabs>
          <w:tab w:val="left" w:pos="339"/>
        </w:tabs>
        <w:spacing w:before="61"/>
        <w:ind w:left="338" w:hanging="238"/>
        <w:rPr>
          <w:sz w:val="23"/>
        </w:rPr>
      </w:pPr>
      <w:r>
        <w:rPr>
          <w:sz w:val="23"/>
        </w:rPr>
        <w:t>Evict the tenant, or a lawful occupant that commits a violation of a</w:t>
      </w:r>
      <w:r>
        <w:rPr>
          <w:spacing w:val="-34"/>
          <w:sz w:val="23"/>
        </w:rPr>
        <w:t xml:space="preserve"> </w:t>
      </w:r>
      <w:r>
        <w:rPr>
          <w:sz w:val="23"/>
        </w:rPr>
        <w:t>lease.</w:t>
      </w:r>
    </w:p>
    <w:p w:rsidR="004E13A5" w:rsidRDefault="00681463">
      <w:pPr>
        <w:spacing w:before="119"/>
        <w:ind w:left="100"/>
        <w:rPr>
          <w:sz w:val="23"/>
        </w:rPr>
      </w:pPr>
      <w:r>
        <w:rPr>
          <w:sz w:val="23"/>
        </w:rPr>
        <w:t>An individual’s failure to timely provide documentation of domestic violence, dating violence, sexual assault, or stalking does not result in a waiver of the individual’s right to challenge the denial of assistance or termination, nor does it preclude the individual’s ability to raise an incident of domestic violence, dating violence, sexual assault, or stalking at eviction or termination proceedings.</w:t>
      </w:r>
    </w:p>
    <w:p w:rsidR="004E13A5" w:rsidRDefault="00681463">
      <w:pPr>
        <w:spacing w:before="122"/>
        <w:ind w:left="100"/>
        <w:rPr>
          <w:b/>
          <w:sz w:val="23"/>
        </w:rPr>
      </w:pPr>
      <w:r>
        <w:rPr>
          <w:b/>
          <w:sz w:val="23"/>
        </w:rPr>
        <w:t>Moves</w:t>
      </w:r>
    </w:p>
    <w:p w:rsidR="004E13A5" w:rsidRDefault="00681463">
      <w:pPr>
        <w:spacing w:before="119"/>
        <w:ind w:left="100" w:right="183"/>
        <w:rPr>
          <w:sz w:val="23"/>
        </w:rPr>
      </w:pPr>
      <w:r>
        <w:rPr>
          <w:sz w:val="23"/>
        </w:rPr>
        <w:t>A victim of domestic violence, dating violence, sexual assault, or stalking may move in violation of their lease if the move is required to protect their safety. If a move results in the termination of the Housing Assistance Payment Contract, the lease is automatically terminated.</w:t>
      </w:r>
    </w:p>
    <w:p w:rsidR="004E13A5" w:rsidRDefault="00681463">
      <w:pPr>
        <w:spacing w:before="119"/>
        <w:ind w:left="100"/>
        <w:rPr>
          <w:b/>
          <w:sz w:val="23"/>
        </w:rPr>
      </w:pPr>
      <w:r>
        <w:rPr>
          <w:b/>
          <w:sz w:val="23"/>
        </w:rPr>
        <w:t>Lease Bifurcation</w:t>
      </w:r>
    </w:p>
    <w:p w:rsidR="004E13A5" w:rsidRDefault="00681463">
      <w:pPr>
        <w:spacing w:before="121"/>
        <w:ind w:left="100" w:right="86"/>
        <w:rPr>
          <w:sz w:val="23"/>
        </w:rPr>
      </w:pPr>
      <w:r>
        <w:rPr>
          <w:sz w:val="23"/>
        </w:rPr>
        <w:t>Owners may choose to bifurcate a lease, or remove a household member from a lease in order to evict, remove, terminate occupancy rights, or terminate assistance to such member who engages in criminal activity directly relating to domestic violence, dating violence, sexual assault, or stalking against an affiliated individual or other individual. (See 24 CFR 5.2009(a).) If an owner chooses to bifurcate the lease, the owner must comply with the reasonable time to establish eligibility under the covered housing program or find alternative housing following lease bifurcation provision in 24 CFR 5.2009(b). VAWA protections, including bifurcation, do not apply to guests or unreported members of a household or anyone else residing in a household who is not a tenant.</w:t>
      </w:r>
    </w:p>
    <w:p w:rsidR="004E13A5" w:rsidRDefault="00681463">
      <w:pPr>
        <w:spacing w:before="119"/>
        <w:ind w:left="100"/>
        <w:rPr>
          <w:sz w:val="23"/>
        </w:rPr>
      </w:pPr>
      <w:r>
        <w:rPr>
          <w:sz w:val="23"/>
        </w:rPr>
        <w:t>Eviction, removal, termination of occupancy rights, or termination of assistance must be effected in accordance with the procedures prescribed by federal, state, or local law for termination of leases.</w:t>
      </w:r>
    </w:p>
    <w:p w:rsidR="004E13A5" w:rsidRDefault="00681463">
      <w:pPr>
        <w:spacing w:before="122"/>
        <w:ind w:left="100" w:right="871"/>
        <w:rPr>
          <w:sz w:val="23"/>
        </w:rPr>
      </w:pPr>
      <w:r>
        <w:rPr>
          <w:sz w:val="23"/>
        </w:rPr>
        <w:t>To avoid unnecessary delay in the bifurcation process, HUD recommends that owners seek court-ordered eviction of the perpetrator pursuant to applicable laws. This process results in the underlying lease becoming null and void once the owner regains possession of the unit. The owner would then execute a new lease with the victim.</w:t>
      </w:r>
    </w:p>
    <w:p w:rsidR="004E13A5" w:rsidRDefault="00681463">
      <w:pPr>
        <w:spacing w:before="119"/>
        <w:ind w:left="100"/>
        <w:rPr>
          <w:b/>
          <w:sz w:val="23"/>
        </w:rPr>
      </w:pPr>
      <w:r>
        <w:rPr>
          <w:b/>
          <w:sz w:val="23"/>
        </w:rPr>
        <w:t>Evictions Due to “Actual and Imminent Threat” or Violations Not Premised on Abuse</w:t>
      </w:r>
    </w:p>
    <w:p w:rsidR="004E13A5" w:rsidRDefault="00681463">
      <w:pPr>
        <w:spacing w:before="121"/>
        <w:ind w:left="100" w:right="867"/>
        <w:rPr>
          <w:sz w:val="23"/>
        </w:rPr>
      </w:pPr>
      <w:r>
        <w:rPr>
          <w:sz w:val="23"/>
        </w:rPr>
        <w:t>The VAWA Final Rule generally prohibits eviction on the basis or as a direct result of the fact that the applicant or tenant is or has been a victim of domestic violence, dating violence, sexual assault, or stalking, if the applicant or tenant otherwise qualifies for assistance, participation or occupancy.  (See 24 CFR 5.2005.)</w:t>
      </w:r>
    </w:p>
    <w:p w:rsidR="004E13A5" w:rsidRDefault="00681463">
      <w:pPr>
        <w:spacing w:before="119"/>
        <w:ind w:left="100" w:right="827"/>
        <w:rPr>
          <w:sz w:val="23"/>
        </w:rPr>
      </w:pPr>
      <w:r>
        <w:rPr>
          <w:sz w:val="23"/>
        </w:rPr>
        <w:t>However, the VAWA Final Rule does not prohibit an owner from evicting a tenant for any violation not premised on an act of domestic violence, dating violence, sexual assault, or stalking that is in question against the tenant or an affiliated individual of the tenant. Nor does the VAWA Final Rule prohibit an owner from evicting a tenant if the owner can demonstrate an actual and imminent threat to other tenants or those employed at or providing services to property of the owner would be present if that tenant or lawful occupant is not evicted or terminated from assistance.  (See 5.2005(d)(2) and (3).)</w:t>
      </w:r>
    </w:p>
    <w:p w:rsidR="004E13A5" w:rsidRDefault="004E13A5">
      <w:pPr>
        <w:rPr>
          <w:sz w:val="23"/>
        </w:rPr>
        <w:sectPr w:rsidR="004E13A5">
          <w:pgSz w:w="12240" w:h="15840"/>
          <w:pgMar w:top="1000" w:right="1220" w:bottom="1240" w:left="1220" w:header="0" w:footer="998" w:gutter="0"/>
          <w:cols w:space="720"/>
        </w:sectPr>
      </w:pPr>
    </w:p>
    <w:p w:rsidR="004E13A5" w:rsidRDefault="00681463">
      <w:pPr>
        <w:spacing w:before="79"/>
        <w:ind w:left="100" w:right="669"/>
        <w:rPr>
          <w:sz w:val="23"/>
        </w:rPr>
      </w:pPr>
      <w:r>
        <w:rPr>
          <w:sz w:val="23"/>
        </w:rPr>
        <w:lastRenderedPageBreak/>
        <w:t>In order to demonstrate an actual and imminent threat to other tenants or employees at the property, the covered housing provider must have objective evidence of words, gestures, actions, or other indicators that meet the standards in the following definition:</w:t>
      </w:r>
    </w:p>
    <w:p w:rsidR="004E13A5" w:rsidRDefault="00681463">
      <w:pPr>
        <w:spacing w:before="122"/>
        <w:ind w:left="100" w:right="568"/>
        <w:rPr>
          <w:sz w:val="23"/>
        </w:rPr>
      </w:pPr>
      <w:r>
        <w:rPr>
          <w:sz w:val="23"/>
        </w:rPr>
        <w:t>Actual and imminent threat refers to a physical danger that is real, would occur within an immediate time frame, and could result in death or serious bodily harm. In determining whether an individual would pose an actual and imminent threat, the factors to be considered include:</w:t>
      </w:r>
    </w:p>
    <w:p w:rsidR="004E13A5" w:rsidRDefault="00681463">
      <w:pPr>
        <w:pStyle w:val="ListParagraph"/>
        <w:numPr>
          <w:ilvl w:val="0"/>
          <w:numId w:val="93"/>
        </w:numPr>
        <w:tabs>
          <w:tab w:val="left" w:pos="460"/>
          <w:tab w:val="left" w:pos="461"/>
        </w:tabs>
        <w:spacing w:before="59"/>
        <w:rPr>
          <w:rFonts w:ascii="Symbol"/>
          <w:sz w:val="23"/>
        </w:rPr>
      </w:pPr>
      <w:r>
        <w:rPr>
          <w:sz w:val="23"/>
        </w:rPr>
        <w:t>The duration of the</w:t>
      </w:r>
      <w:r>
        <w:rPr>
          <w:spacing w:val="-6"/>
          <w:sz w:val="23"/>
        </w:rPr>
        <w:t xml:space="preserve"> </w:t>
      </w:r>
      <w:r>
        <w:rPr>
          <w:sz w:val="23"/>
        </w:rPr>
        <w:t>risk;</w:t>
      </w:r>
    </w:p>
    <w:p w:rsidR="004E13A5" w:rsidRDefault="00681463">
      <w:pPr>
        <w:pStyle w:val="ListParagraph"/>
        <w:numPr>
          <w:ilvl w:val="0"/>
          <w:numId w:val="93"/>
        </w:numPr>
        <w:tabs>
          <w:tab w:val="left" w:pos="460"/>
          <w:tab w:val="left" w:pos="461"/>
        </w:tabs>
        <w:spacing w:before="58"/>
        <w:rPr>
          <w:rFonts w:ascii="Symbol"/>
          <w:sz w:val="23"/>
        </w:rPr>
      </w:pPr>
      <w:r>
        <w:rPr>
          <w:sz w:val="23"/>
        </w:rPr>
        <w:t>The nature and severity of the potential</w:t>
      </w:r>
      <w:r>
        <w:rPr>
          <w:spacing w:val="-19"/>
          <w:sz w:val="23"/>
        </w:rPr>
        <w:t xml:space="preserve"> </w:t>
      </w:r>
      <w:r>
        <w:rPr>
          <w:sz w:val="23"/>
        </w:rPr>
        <w:t>harm;</w:t>
      </w:r>
    </w:p>
    <w:p w:rsidR="004E13A5" w:rsidRDefault="00681463">
      <w:pPr>
        <w:pStyle w:val="ListParagraph"/>
        <w:numPr>
          <w:ilvl w:val="0"/>
          <w:numId w:val="93"/>
        </w:numPr>
        <w:tabs>
          <w:tab w:val="left" w:pos="460"/>
          <w:tab w:val="left" w:pos="461"/>
        </w:tabs>
        <w:spacing w:before="58"/>
        <w:rPr>
          <w:rFonts w:ascii="Symbol"/>
          <w:sz w:val="23"/>
        </w:rPr>
      </w:pPr>
      <w:r>
        <w:rPr>
          <w:sz w:val="23"/>
        </w:rPr>
        <w:t>The likelihood that the potential harm will occur;</w:t>
      </w:r>
      <w:r>
        <w:rPr>
          <w:spacing w:val="-24"/>
          <w:sz w:val="23"/>
        </w:rPr>
        <w:t xml:space="preserve"> </w:t>
      </w:r>
      <w:r>
        <w:rPr>
          <w:sz w:val="23"/>
        </w:rPr>
        <w:t>and</w:t>
      </w:r>
    </w:p>
    <w:p w:rsidR="004E13A5" w:rsidRDefault="00681463">
      <w:pPr>
        <w:pStyle w:val="ListParagraph"/>
        <w:numPr>
          <w:ilvl w:val="0"/>
          <w:numId w:val="93"/>
        </w:numPr>
        <w:tabs>
          <w:tab w:val="left" w:pos="460"/>
          <w:tab w:val="left" w:pos="461"/>
        </w:tabs>
        <w:spacing w:before="58" w:line="343" w:lineRule="auto"/>
        <w:ind w:left="158" w:right="3738" w:hanging="58"/>
        <w:rPr>
          <w:rFonts w:ascii="Symbol"/>
          <w:sz w:val="23"/>
        </w:rPr>
      </w:pPr>
      <w:r>
        <w:rPr>
          <w:sz w:val="23"/>
        </w:rPr>
        <w:t>The length of time before the potential harm would occur. (See 24 CFR 5.2003 and</w:t>
      </w:r>
      <w:r>
        <w:rPr>
          <w:spacing w:val="-3"/>
          <w:sz w:val="23"/>
        </w:rPr>
        <w:t xml:space="preserve"> </w:t>
      </w:r>
      <w:r>
        <w:rPr>
          <w:sz w:val="23"/>
        </w:rPr>
        <w:t>5.2005(d)(2).)</w:t>
      </w:r>
    </w:p>
    <w:p w:rsidR="004E13A5" w:rsidRDefault="00681463">
      <w:pPr>
        <w:spacing w:before="9"/>
        <w:ind w:left="100"/>
        <w:rPr>
          <w:b/>
          <w:sz w:val="23"/>
        </w:rPr>
      </w:pPr>
      <w:r>
        <w:rPr>
          <w:b/>
          <w:sz w:val="23"/>
        </w:rPr>
        <w:t>Confidentiality</w:t>
      </w:r>
    </w:p>
    <w:p w:rsidR="004E13A5" w:rsidRDefault="00681463">
      <w:pPr>
        <w:spacing w:before="119"/>
        <w:ind w:left="100" w:right="568"/>
        <w:rPr>
          <w:sz w:val="23"/>
        </w:rPr>
      </w:pPr>
      <w:r>
        <w:rPr>
          <w:sz w:val="23"/>
        </w:rPr>
        <w:t>Any information submitted to a covered housing provider under 24 CFR 5.2007, including the fact that an individual is a victim of domestic violence, dating violence, sexual assault, or stalking, must be maintained in strict confidence by the covered housing provider. (See 24 CFR 5.2007(c).)</w:t>
      </w:r>
    </w:p>
    <w:p w:rsidR="004E13A5" w:rsidRDefault="00681463">
      <w:pPr>
        <w:spacing w:before="121"/>
        <w:ind w:left="100" w:right="572"/>
        <w:rPr>
          <w:sz w:val="23"/>
        </w:rPr>
      </w:pPr>
      <w:r>
        <w:rPr>
          <w:sz w:val="23"/>
        </w:rPr>
        <w:t>Employees of the owner (or those within their employ, e.g., contractors) must not have access</w:t>
      </w:r>
      <w:r>
        <w:rPr>
          <w:spacing w:val="-36"/>
          <w:sz w:val="23"/>
        </w:rPr>
        <w:t xml:space="preserve"> </w:t>
      </w:r>
      <w:r>
        <w:rPr>
          <w:sz w:val="23"/>
        </w:rPr>
        <w:t>to the information unless explicitly authorized by the owner for reasons that specifically call for these individuals to have access to this information under applicable Federal, State, or local law (e.g., the information is needed by an employee to provide the VAWA protections to the victim).</w:t>
      </w:r>
    </w:p>
    <w:p w:rsidR="004E13A5" w:rsidRDefault="00681463">
      <w:pPr>
        <w:spacing w:before="121"/>
        <w:ind w:left="100" w:right="573"/>
        <w:rPr>
          <w:sz w:val="23"/>
        </w:rPr>
      </w:pPr>
      <w:r>
        <w:rPr>
          <w:sz w:val="23"/>
        </w:rPr>
        <w:t>The owner must not enter this information into any shared database, or disclose this information to any other entity or individual, except to the extent that disclosure is:</w:t>
      </w:r>
    </w:p>
    <w:p w:rsidR="004E13A5" w:rsidRDefault="00681463">
      <w:pPr>
        <w:pStyle w:val="ListParagraph"/>
        <w:numPr>
          <w:ilvl w:val="0"/>
          <w:numId w:val="17"/>
        </w:numPr>
        <w:tabs>
          <w:tab w:val="left" w:pos="327"/>
        </w:tabs>
        <w:spacing w:before="59"/>
        <w:ind w:firstLine="0"/>
        <w:rPr>
          <w:sz w:val="23"/>
        </w:rPr>
      </w:pPr>
      <w:r>
        <w:rPr>
          <w:sz w:val="23"/>
        </w:rPr>
        <w:t>Requested or consented to in writing by the individual (victim) in a time-limited</w:t>
      </w:r>
      <w:r>
        <w:rPr>
          <w:spacing w:val="-34"/>
          <w:sz w:val="23"/>
        </w:rPr>
        <w:t xml:space="preserve"> </w:t>
      </w:r>
      <w:r>
        <w:rPr>
          <w:sz w:val="23"/>
        </w:rPr>
        <w:t>release;</w:t>
      </w:r>
    </w:p>
    <w:p w:rsidR="004E13A5" w:rsidRDefault="00681463">
      <w:pPr>
        <w:pStyle w:val="ListParagraph"/>
        <w:numPr>
          <w:ilvl w:val="0"/>
          <w:numId w:val="17"/>
        </w:numPr>
        <w:tabs>
          <w:tab w:val="left" w:pos="339"/>
        </w:tabs>
        <w:spacing w:before="59"/>
        <w:ind w:right="162" w:firstLine="0"/>
        <w:rPr>
          <w:sz w:val="23"/>
        </w:rPr>
      </w:pPr>
      <w:r>
        <w:rPr>
          <w:sz w:val="23"/>
        </w:rPr>
        <w:t>Required for use in an eviction proceeding or hearing regarding termination of</w:t>
      </w:r>
      <w:r>
        <w:rPr>
          <w:spacing w:val="-40"/>
          <w:sz w:val="23"/>
        </w:rPr>
        <w:t xml:space="preserve"> </w:t>
      </w:r>
      <w:r>
        <w:rPr>
          <w:sz w:val="23"/>
        </w:rPr>
        <w:t>assistance from the covered program;</w:t>
      </w:r>
      <w:r>
        <w:rPr>
          <w:spacing w:val="-5"/>
          <w:sz w:val="23"/>
        </w:rPr>
        <w:t xml:space="preserve"> </w:t>
      </w:r>
      <w:r>
        <w:rPr>
          <w:sz w:val="23"/>
        </w:rPr>
        <w:t>or</w:t>
      </w:r>
    </w:p>
    <w:p w:rsidR="004E13A5" w:rsidRDefault="00681463">
      <w:pPr>
        <w:pStyle w:val="ListParagraph"/>
        <w:numPr>
          <w:ilvl w:val="0"/>
          <w:numId w:val="17"/>
        </w:numPr>
        <w:tabs>
          <w:tab w:val="left" w:pos="319"/>
        </w:tabs>
        <w:spacing w:before="61"/>
        <w:ind w:left="318" w:hanging="218"/>
        <w:rPr>
          <w:sz w:val="23"/>
        </w:rPr>
      </w:pPr>
      <w:r>
        <w:rPr>
          <w:sz w:val="23"/>
        </w:rPr>
        <w:t>Otherwise required by applicable</w:t>
      </w:r>
      <w:r>
        <w:rPr>
          <w:spacing w:val="-15"/>
          <w:sz w:val="23"/>
        </w:rPr>
        <w:t xml:space="preserve"> </w:t>
      </w:r>
      <w:r>
        <w:rPr>
          <w:sz w:val="23"/>
        </w:rPr>
        <w:t>law.</w:t>
      </w:r>
    </w:p>
    <w:p w:rsidR="004E13A5" w:rsidRDefault="00681463">
      <w:pPr>
        <w:spacing w:before="119"/>
        <w:ind w:left="100" w:right="81"/>
        <w:rPr>
          <w:sz w:val="23"/>
        </w:rPr>
      </w:pPr>
      <w:r>
        <w:rPr>
          <w:sz w:val="23"/>
        </w:rPr>
        <w:t>When communicating with the victim, owners must take precautions to ensure compliance with these confidentiality requirements.</w:t>
      </w:r>
    </w:p>
    <w:p w:rsidR="004E13A5" w:rsidRDefault="00681463">
      <w:pPr>
        <w:spacing w:before="119"/>
        <w:ind w:left="100"/>
        <w:rPr>
          <w:b/>
          <w:sz w:val="23"/>
        </w:rPr>
      </w:pPr>
      <w:r>
        <w:rPr>
          <w:b/>
          <w:sz w:val="23"/>
        </w:rPr>
        <w:t>Service Providers</w:t>
      </w:r>
    </w:p>
    <w:p w:rsidR="004E13A5" w:rsidRDefault="00681463">
      <w:pPr>
        <w:spacing w:before="119"/>
        <w:ind w:left="100" w:right="802"/>
        <w:rPr>
          <w:sz w:val="23"/>
        </w:rPr>
      </w:pPr>
      <w:r>
        <w:rPr>
          <w:b/>
          <w:sz w:val="23"/>
        </w:rPr>
        <w:t xml:space="preserve">[Insert name of housing provider] </w:t>
      </w:r>
      <w:r>
        <w:rPr>
          <w:sz w:val="23"/>
        </w:rPr>
        <w:t xml:space="preserve">has extensive relationships with local service providers. </w:t>
      </w:r>
      <w:r>
        <w:rPr>
          <w:b/>
          <w:sz w:val="23"/>
        </w:rPr>
        <w:t xml:space="preserve">[Insert name of housing provider] </w:t>
      </w:r>
      <w:r>
        <w:rPr>
          <w:sz w:val="23"/>
        </w:rPr>
        <w:t>staff are available to provide referrals to shelters, counselors, and advocates. These resources are also provided in the VAWA Notice of Occupancy Rights, and Emergency Transfer Plan. A list of local service providers is attached to this Notice.</w:t>
      </w:r>
    </w:p>
    <w:p w:rsidR="004E13A5" w:rsidRDefault="00681463">
      <w:pPr>
        <w:spacing w:before="119"/>
        <w:ind w:left="100"/>
        <w:rPr>
          <w:b/>
          <w:sz w:val="23"/>
        </w:rPr>
      </w:pPr>
      <w:r>
        <w:rPr>
          <w:b/>
          <w:sz w:val="23"/>
        </w:rPr>
        <w:t>Definitions</w:t>
      </w:r>
    </w:p>
    <w:p w:rsidR="004E13A5" w:rsidRDefault="00681463">
      <w:pPr>
        <w:spacing w:before="121"/>
        <w:ind w:left="100" w:right="606"/>
        <w:rPr>
          <w:sz w:val="23"/>
        </w:rPr>
      </w:pPr>
      <w:r>
        <w:rPr>
          <w:b/>
          <w:sz w:val="23"/>
        </w:rPr>
        <w:t xml:space="preserve">Actual and imminent threat </w:t>
      </w:r>
      <w:r>
        <w:rPr>
          <w:sz w:val="23"/>
        </w:rPr>
        <w:t>refers to a 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w:t>
      </w:r>
    </w:p>
    <w:p w:rsidR="004E13A5" w:rsidRDefault="004E13A5">
      <w:pPr>
        <w:rPr>
          <w:sz w:val="23"/>
        </w:rPr>
        <w:sectPr w:rsidR="004E13A5">
          <w:pgSz w:w="12240" w:h="15840"/>
          <w:pgMar w:top="1000" w:right="1480" w:bottom="1240" w:left="1220" w:header="0" w:footer="998" w:gutter="0"/>
          <w:cols w:space="720"/>
        </w:sectPr>
      </w:pPr>
    </w:p>
    <w:p w:rsidR="004E13A5" w:rsidRDefault="00681463">
      <w:pPr>
        <w:spacing w:before="79" w:line="264" w:lineRule="exact"/>
        <w:ind w:left="100"/>
        <w:rPr>
          <w:sz w:val="23"/>
        </w:rPr>
      </w:pPr>
      <w:r>
        <w:rPr>
          <w:b/>
          <w:sz w:val="23"/>
        </w:rPr>
        <w:lastRenderedPageBreak/>
        <w:t>Affiliated individual</w:t>
      </w:r>
      <w:r>
        <w:rPr>
          <w:sz w:val="23"/>
        </w:rPr>
        <w:t>, with respect to an individual, means:</w:t>
      </w:r>
    </w:p>
    <w:p w:rsidR="004E13A5" w:rsidRDefault="00681463">
      <w:pPr>
        <w:pStyle w:val="ListParagraph"/>
        <w:numPr>
          <w:ilvl w:val="0"/>
          <w:numId w:val="16"/>
        </w:numPr>
        <w:tabs>
          <w:tab w:val="left" w:pos="427"/>
        </w:tabs>
        <w:spacing w:before="0"/>
        <w:ind w:right="113" w:firstLine="0"/>
        <w:rPr>
          <w:sz w:val="23"/>
        </w:rPr>
      </w:pPr>
      <w:r>
        <w:rPr>
          <w:sz w:val="23"/>
        </w:rPr>
        <w:t>A spouse, parent, brother, sister, or child of that individual, or a person to whom that individual stands</w:t>
      </w:r>
      <w:r>
        <w:rPr>
          <w:spacing w:val="-3"/>
          <w:sz w:val="23"/>
        </w:rPr>
        <w:t xml:space="preserve"> </w:t>
      </w:r>
      <w:r>
        <w:rPr>
          <w:sz w:val="23"/>
        </w:rPr>
        <w:t>in</w:t>
      </w:r>
      <w:r>
        <w:rPr>
          <w:spacing w:val="-2"/>
          <w:sz w:val="23"/>
        </w:rPr>
        <w:t xml:space="preserve"> </w:t>
      </w:r>
      <w:r>
        <w:rPr>
          <w:sz w:val="23"/>
        </w:rPr>
        <w:t>the</w:t>
      </w:r>
      <w:r>
        <w:rPr>
          <w:spacing w:val="-2"/>
          <w:sz w:val="23"/>
        </w:rPr>
        <w:t xml:space="preserve"> </w:t>
      </w:r>
      <w:r>
        <w:rPr>
          <w:sz w:val="23"/>
        </w:rPr>
        <w:t>place</w:t>
      </w:r>
      <w:r>
        <w:rPr>
          <w:spacing w:val="-2"/>
          <w:sz w:val="23"/>
        </w:rPr>
        <w:t xml:space="preserve"> </w:t>
      </w:r>
      <w:r>
        <w:rPr>
          <w:sz w:val="23"/>
        </w:rPr>
        <w:t>of</w:t>
      </w:r>
      <w:r>
        <w:rPr>
          <w:spacing w:val="-5"/>
          <w:sz w:val="23"/>
        </w:rPr>
        <w:t xml:space="preserve"> </w:t>
      </w:r>
      <w:r>
        <w:rPr>
          <w:sz w:val="23"/>
        </w:rPr>
        <w:t>a</w:t>
      </w:r>
      <w:r>
        <w:rPr>
          <w:spacing w:val="-2"/>
          <w:sz w:val="23"/>
        </w:rPr>
        <w:t xml:space="preserve"> </w:t>
      </w:r>
      <w:r>
        <w:rPr>
          <w:sz w:val="23"/>
        </w:rPr>
        <w:t>parent</w:t>
      </w:r>
      <w:r>
        <w:rPr>
          <w:spacing w:val="-2"/>
          <w:sz w:val="23"/>
        </w:rPr>
        <w:t xml:space="preserve"> </w:t>
      </w:r>
      <w:r>
        <w:rPr>
          <w:sz w:val="23"/>
        </w:rPr>
        <w:t>or</w:t>
      </w:r>
      <w:r>
        <w:rPr>
          <w:spacing w:val="-2"/>
          <w:sz w:val="23"/>
        </w:rPr>
        <w:t xml:space="preserve"> </w:t>
      </w:r>
      <w:r>
        <w:rPr>
          <w:sz w:val="23"/>
        </w:rPr>
        <w:t>guardian</w:t>
      </w:r>
      <w:r>
        <w:rPr>
          <w:spacing w:val="-2"/>
          <w:sz w:val="23"/>
        </w:rPr>
        <w:t xml:space="preserve"> </w:t>
      </w:r>
      <w:r>
        <w:rPr>
          <w:sz w:val="23"/>
        </w:rPr>
        <w:t>(for</w:t>
      </w:r>
      <w:r>
        <w:rPr>
          <w:spacing w:val="-2"/>
          <w:sz w:val="23"/>
        </w:rPr>
        <w:t xml:space="preserve"> </w:t>
      </w:r>
      <w:r>
        <w:rPr>
          <w:sz w:val="23"/>
        </w:rPr>
        <w:t>example,</w:t>
      </w:r>
      <w:r>
        <w:rPr>
          <w:spacing w:val="-2"/>
          <w:sz w:val="23"/>
        </w:rPr>
        <w:t xml:space="preserve"> </w:t>
      </w:r>
      <w:r>
        <w:rPr>
          <w:sz w:val="23"/>
        </w:rPr>
        <w:t>the</w:t>
      </w:r>
      <w:r>
        <w:rPr>
          <w:spacing w:val="-2"/>
          <w:sz w:val="23"/>
        </w:rPr>
        <w:t xml:space="preserve"> </w:t>
      </w:r>
      <w:r>
        <w:rPr>
          <w:sz w:val="23"/>
        </w:rPr>
        <w:t>affiliated</w:t>
      </w:r>
      <w:r>
        <w:rPr>
          <w:spacing w:val="-2"/>
          <w:sz w:val="23"/>
        </w:rPr>
        <w:t xml:space="preserve"> </w:t>
      </w:r>
      <w:r>
        <w:rPr>
          <w:sz w:val="23"/>
        </w:rPr>
        <w:t>individual</w:t>
      </w:r>
      <w:r>
        <w:rPr>
          <w:spacing w:val="-2"/>
          <w:sz w:val="23"/>
        </w:rPr>
        <w:t xml:space="preserve"> </w:t>
      </w:r>
      <w:r>
        <w:rPr>
          <w:sz w:val="23"/>
        </w:rPr>
        <w:t>is</w:t>
      </w:r>
      <w:r>
        <w:rPr>
          <w:spacing w:val="-3"/>
          <w:sz w:val="23"/>
        </w:rPr>
        <w:t xml:space="preserve"> </w:t>
      </w:r>
      <w:r>
        <w:rPr>
          <w:sz w:val="23"/>
        </w:rPr>
        <w:t>a</w:t>
      </w:r>
      <w:r>
        <w:rPr>
          <w:spacing w:val="-4"/>
          <w:sz w:val="23"/>
        </w:rPr>
        <w:t xml:space="preserve"> </w:t>
      </w:r>
      <w:r>
        <w:rPr>
          <w:sz w:val="23"/>
        </w:rPr>
        <w:t>person</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care, custody, or control of that individual);</w:t>
      </w:r>
      <w:r>
        <w:rPr>
          <w:spacing w:val="-12"/>
          <w:sz w:val="23"/>
        </w:rPr>
        <w:t xml:space="preserve"> </w:t>
      </w:r>
      <w:r>
        <w:rPr>
          <w:sz w:val="23"/>
        </w:rPr>
        <w:t>or</w:t>
      </w:r>
    </w:p>
    <w:p w:rsidR="004E13A5" w:rsidRDefault="00681463">
      <w:pPr>
        <w:pStyle w:val="ListParagraph"/>
        <w:numPr>
          <w:ilvl w:val="0"/>
          <w:numId w:val="16"/>
        </w:numPr>
        <w:tabs>
          <w:tab w:val="left" w:pos="427"/>
        </w:tabs>
        <w:spacing w:before="0" w:line="264" w:lineRule="exact"/>
        <w:ind w:left="426" w:hanging="326"/>
        <w:rPr>
          <w:sz w:val="23"/>
        </w:rPr>
      </w:pPr>
      <w:r>
        <w:rPr>
          <w:sz w:val="23"/>
        </w:rPr>
        <w:t>Any individual, tenant, or lawful occupant living in the household of that</w:t>
      </w:r>
      <w:r>
        <w:rPr>
          <w:spacing w:val="-33"/>
          <w:sz w:val="23"/>
        </w:rPr>
        <w:t xml:space="preserve"> </w:t>
      </w:r>
      <w:r>
        <w:rPr>
          <w:sz w:val="23"/>
        </w:rPr>
        <w:t>individual.</w:t>
      </w:r>
    </w:p>
    <w:p w:rsidR="004E13A5" w:rsidRDefault="00681463">
      <w:pPr>
        <w:spacing w:before="119"/>
        <w:ind w:left="100" w:right="715"/>
        <w:rPr>
          <w:sz w:val="23"/>
        </w:rPr>
      </w:pPr>
      <w:r>
        <w:rPr>
          <w:b/>
          <w:sz w:val="23"/>
        </w:rPr>
        <w:t xml:space="preserve">Bifurcate </w:t>
      </w:r>
      <w:r>
        <w:rPr>
          <w:sz w:val="23"/>
        </w:rPr>
        <w:t>means to divide a lease as a matter of law, subject to the permissibility of such process under the requirements of the applicable HUD-covered program and State or local law, such that certain tenants or lawful occupants can be evicted or removed and the remaining tenants or lawful occupants can continue to reside in the unit under the same lease requirements or as may be revised depending upon the eligibility for continued occupancy of the remaining tenants and lawful occupants.</w:t>
      </w:r>
    </w:p>
    <w:p w:rsidR="004E13A5" w:rsidRDefault="00681463">
      <w:pPr>
        <w:spacing w:before="119"/>
        <w:ind w:left="100"/>
        <w:rPr>
          <w:sz w:val="23"/>
        </w:rPr>
      </w:pPr>
      <w:r>
        <w:rPr>
          <w:b/>
          <w:sz w:val="23"/>
        </w:rPr>
        <w:t xml:space="preserve">Dating violence </w:t>
      </w:r>
      <w:r>
        <w:rPr>
          <w:sz w:val="23"/>
        </w:rPr>
        <w:t>means violence committed by a person:</w:t>
      </w:r>
    </w:p>
    <w:p w:rsidR="004E13A5" w:rsidRDefault="00681463">
      <w:pPr>
        <w:pStyle w:val="ListParagraph"/>
        <w:numPr>
          <w:ilvl w:val="0"/>
          <w:numId w:val="15"/>
        </w:numPr>
        <w:tabs>
          <w:tab w:val="left" w:pos="427"/>
        </w:tabs>
        <w:spacing w:before="59"/>
        <w:ind w:firstLine="0"/>
        <w:rPr>
          <w:sz w:val="23"/>
        </w:rPr>
      </w:pPr>
      <w:r>
        <w:rPr>
          <w:sz w:val="23"/>
        </w:rPr>
        <w:t>Who is or has been in a social relationship of a romantic or intimate nature with the victim;</w:t>
      </w:r>
      <w:r>
        <w:rPr>
          <w:spacing w:val="-37"/>
          <w:sz w:val="23"/>
        </w:rPr>
        <w:t xml:space="preserve"> </w:t>
      </w:r>
      <w:r>
        <w:rPr>
          <w:sz w:val="23"/>
        </w:rPr>
        <w:t>and</w:t>
      </w:r>
    </w:p>
    <w:p w:rsidR="004E13A5" w:rsidRDefault="00681463">
      <w:pPr>
        <w:pStyle w:val="ListParagraph"/>
        <w:numPr>
          <w:ilvl w:val="0"/>
          <w:numId w:val="15"/>
        </w:numPr>
        <w:tabs>
          <w:tab w:val="left" w:pos="427"/>
        </w:tabs>
        <w:spacing w:before="62"/>
        <w:ind w:right="587" w:firstLine="0"/>
        <w:rPr>
          <w:sz w:val="23"/>
        </w:rPr>
      </w:pPr>
      <w:r>
        <w:rPr>
          <w:sz w:val="23"/>
        </w:rPr>
        <w:t>Where the existence of such a relationship shall be determined based on a consideration of</w:t>
      </w:r>
      <w:r>
        <w:rPr>
          <w:spacing w:val="-33"/>
          <w:sz w:val="23"/>
        </w:rPr>
        <w:t xml:space="preserve"> </w:t>
      </w:r>
      <w:r>
        <w:rPr>
          <w:sz w:val="23"/>
        </w:rPr>
        <w:t>the following</w:t>
      </w:r>
      <w:r>
        <w:rPr>
          <w:spacing w:val="-7"/>
          <w:sz w:val="23"/>
        </w:rPr>
        <w:t xml:space="preserve"> </w:t>
      </w:r>
      <w:r>
        <w:rPr>
          <w:sz w:val="23"/>
        </w:rPr>
        <w:t>factors:</w:t>
      </w:r>
    </w:p>
    <w:p w:rsidR="004E13A5" w:rsidRDefault="00681463">
      <w:pPr>
        <w:pStyle w:val="ListParagraph"/>
        <w:numPr>
          <w:ilvl w:val="1"/>
          <w:numId w:val="15"/>
        </w:numPr>
        <w:tabs>
          <w:tab w:val="left" w:pos="377"/>
        </w:tabs>
        <w:spacing w:before="59"/>
        <w:rPr>
          <w:sz w:val="23"/>
        </w:rPr>
      </w:pPr>
      <w:r>
        <w:rPr>
          <w:sz w:val="23"/>
        </w:rPr>
        <w:t>The length of the</w:t>
      </w:r>
      <w:r>
        <w:rPr>
          <w:spacing w:val="-12"/>
          <w:sz w:val="23"/>
        </w:rPr>
        <w:t xml:space="preserve"> </w:t>
      </w:r>
      <w:r>
        <w:rPr>
          <w:sz w:val="23"/>
        </w:rPr>
        <w:t>relationship;</w:t>
      </w:r>
    </w:p>
    <w:p w:rsidR="004E13A5" w:rsidRDefault="00681463">
      <w:pPr>
        <w:pStyle w:val="ListParagraph"/>
        <w:numPr>
          <w:ilvl w:val="1"/>
          <w:numId w:val="15"/>
        </w:numPr>
        <w:tabs>
          <w:tab w:val="left" w:pos="441"/>
        </w:tabs>
        <w:spacing w:before="59"/>
        <w:ind w:left="440" w:hanging="340"/>
        <w:rPr>
          <w:sz w:val="23"/>
        </w:rPr>
      </w:pPr>
      <w:r>
        <w:rPr>
          <w:sz w:val="23"/>
        </w:rPr>
        <w:t>The type of relationship;</w:t>
      </w:r>
      <w:r>
        <w:rPr>
          <w:spacing w:val="-13"/>
          <w:sz w:val="23"/>
        </w:rPr>
        <w:t xml:space="preserve"> </w:t>
      </w:r>
      <w:r>
        <w:rPr>
          <w:sz w:val="23"/>
        </w:rPr>
        <w:t>and</w:t>
      </w:r>
    </w:p>
    <w:p w:rsidR="004E13A5" w:rsidRDefault="00681463">
      <w:pPr>
        <w:pStyle w:val="ListParagraph"/>
        <w:numPr>
          <w:ilvl w:val="1"/>
          <w:numId w:val="15"/>
        </w:numPr>
        <w:tabs>
          <w:tab w:val="left" w:pos="503"/>
        </w:tabs>
        <w:spacing w:before="59"/>
        <w:ind w:left="503" w:hanging="403"/>
        <w:rPr>
          <w:sz w:val="23"/>
        </w:rPr>
      </w:pPr>
      <w:r>
        <w:rPr>
          <w:sz w:val="23"/>
        </w:rPr>
        <w:t>The frequency of interaction between the persons involved in the</w:t>
      </w:r>
      <w:r>
        <w:rPr>
          <w:spacing w:val="-32"/>
          <w:sz w:val="23"/>
        </w:rPr>
        <w:t xml:space="preserve"> </w:t>
      </w:r>
      <w:r>
        <w:rPr>
          <w:sz w:val="23"/>
        </w:rPr>
        <w:t>relationship.</w:t>
      </w:r>
    </w:p>
    <w:p w:rsidR="004E13A5" w:rsidRDefault="00681463">
      <w:pPr>
        <w:spacing w:before="121"/>
        <w:ind w:left="100" w:right="821"/>
        <w:rPr>
          <w:sz w:val="23"/>
        </w:rPr>
      </w:pPr>
      <w:r>
        <w:rPr>
          <w:b/>
          <w:sz w:val="23"/>
        </w:rPr>
        <w:t xml:space="preserve">Domestic violence </w:t>
      </w:r>
      <w:r>
        <w:rPr>
          <w:sz w:val="23"/>
        </w:rPr>
        <w:t>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The term “spouse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rsidR="004E13A5" w:rsidRDefault="00681463">
      <w:pPr>
        <w:spacing w:before="121"/>
        <w:ind w:left="100" w:right="821"/>
        <w:rPr>
          <w:sz w:val="23"/>
        </w:rPr>
      </w:pPr>
      <w:r>
        <w:rPr>
          <w:b/>
          <w:sz w:val="23"/>
        </w:rPr>
        <w:t xml:space="preserve">Sexual assault </w:t>
      </w:r>
      <w:r>
        <w:rPr>
          <w:sz w:val="23"/>
        </w:rPr>
        <w:t>means any nonconsensual sexual act proscribed by Federal, tribal, or State law, including when the victim lacks capacity to consent.</w:t>
      </w:r>
    </w:p>
    <w:p w:rsidR="004E13A5" w:rsidRDefault="00681463">
      <w:pPr>
        <w:spacing w:before="119"/>
        <w:ind w:left="100"/>
        <w:rPr>
          <w:sz w:val="23"/>
        </w:rPr>
      </w:pPr>
      <w:r>
        <w:rPr>
          <w:b/>
          <w:sz w:val="23"/>
        </w:rPr>
        <w:t xml:space="preserve">Stalking </w:t>
      </w:r>
      <w:r>
        <w:rPr>
          <w:sz w:val="23"/>
        </w:rPr>
        <w:t>means engaging in a course of conduct directed at a specific person that would cause a reasonable person to:</w:t>
      </w:r>
    </w:p>
    <w:p w:rsidR="004E13A5" w:rsidRDefault="00681463">
      <w:pPr>
        <w:pStyle w:val="ListParagraph"/>
        <w:numPr>
          <w:ilvl w:val="2"/>
          <w:numId w:val="15"/>
        </w:numPr>
        <w:tabs>
          <w:tab w:val="left" w:pos="427"/>
        </w:tabs>
        <w:spacing w:before="0" w:line="264" w:lineRule="exact"/>
        <w:ind w:hanging="326"/>
        <w:rPr>
          <w:sz w:val="23"/>
        </w:rPr>
      </w:pPr>
      <w:r>
        <w:rPr>
          <w:sz w:val="23"/>
        </w:rPr>
        <w:t>Fear for the person’s individual safety or the safety of others;</w:t>
      </w:r>
      <w:r>
        <w:rPr>
          <w:spacing w:val="-25"/>
          <w:sz w:val="23"/>
        </w:rPr>
        <w:t xml:space="preserve"> </w:t>
      </w:r>
      <w:r>
        <w:rPr>
          <w:sz w:val="23"/>
        </w:rPr>
        <w:t>or</w:t>
      </w:r>
    </w:p>
    <w:p w:rsidR="004E13A5" w:rsidRDefault="00681463">
      <w:pPr>
        <w:pStyle w:val="ListParagraph"/>
        <w:numPr>
          <w:ilvl w:val="2"/>
          <w:numId w:val="15"/>
        </w:numPr>
        <w:tabs>
          <w:tab w:val="left" w:pos="427"/>
        </w:tabs>
        <w:spacing w:before="2"/>
        <w:ind w:hanging="326"/>
        <w:rPr>
          <w:sz w:val="23"/>
        </w:rPr>
      </w:pPr>
      <w:r>
        <w:rPr>
          <w:sz w:val="23"/>
        </w:rPr>
        <w:t>Suffer substantial emotional</w:t>
      </w:r>
      <w:r>
        <w:rPr>
          <w:spacing w:val="-16"/>
          <w:sz w:val="23"/>
        </w:rPr>
        <w:t xml:space="preserve"> </w:t>
      </w:r>
      <w:r>
        <w:rPr>
          <w:sz w:val="23"/>
        </w:rPr>
        <w:t>distress.</w:t>
      </w:r>
    </w:p>
    <w:p w:rsidR="004E13A5" w:rsidRDefault="00681463">
      <w:pPr>
        <w:spacing w:before="119" w:line="264" w:lineRule="exact"/>
        <w:ind w:left="100"/>
        <w:rPr>
          <w:sz w:val="23"/>
        </w:rPr>
      </w:pPr>
      <w:r>
        <w:rPr>
          <w:b/>
          <w:sz w:val="23"/>
        </w:rPr>
        <w:t xml:space="preserve">VAWA </w:t>
      </w:r>
      <w:r>
        <w:rPr>
          <w:sz w:val="23"/>
        </w:rPr>
        <w:t>means the Violence Against Women Act of 1994, as amended (42 U.S.C. 13925 and 42</w:t>
      </w:r>
    </w:p>
    <w:p w:rsidR="004E13A5" w:rsidRDefault="00681463">
      <w:pPr>
        <w:spacing w:line="264" w:lineRule="exact"/>
        <w:ind w:left="100"/>
        <w:rPr>
          <w:sz w:val="23"/>
        </w:rPr>
      </w:pPr>
      <w:r>
        <w:rPr>
          <w:sz w:val="23"/>
        </w:rPr>
        <w:t>U.S.C. 14043e et seq.).</w:t>
      </w:r>
    </w:p>
    <w:p w:rsidR="004E13A5" w:rsidRDefault="00681463">
      <w:pPr>
        <w:spacing w:before="120"/>
        <w:ind w:left="100"/>
        <w:rPr>
          <w:b/>
          <w:sz w:val="23"/>
        </w:rPr>
      </w:pPr>
      <w:r>
        <w:rPr>
          <w:b/>
          <w:sz w:val="23"/>
        </w:rPr>
        <w:t>Attached:</w:t>
      </w:r>
    </w:p>
    <w:p w:rsidR="004E13A5" w:rsidRDefault="00681463">
      <w:pPr>
        <w:ind w:left="100"/>
        <w:rPr>
          <w:sz w:val="23"/>
        </w:rPr>
      </w:pPr>
      <w:r>
        <w:rPr>
          <w:sz w:val="23"/>
        </w:rPr>
        <w:t>Legal services and the domestic violence resources for the Metro area</w:t>
      </w:r>
    </w:p>
    <w:p w:rsidR="004E13A5" w:rsidRDefault="00681463">
      <w:pPr>
        <w:spacing w:before="2"/>
        <w:ind w:left="100"/>
        <w:rPr>
          <w:sz w:val="23"/>
        </w:rPr>
      </w:pPr>
      <w:r>
        <w:rPr>
          <w:sz w:val="23"/>
        </w:rPr>
        <w:t>Form HUD-5382 Certification of Domestic Violence, Dating Violence, Sexual Assault, or Stalking</w:t>
      </w:r>
    </w:p>
    <w:p w:rsidR="004E13A5" w:rsidRDefault="00681463">
      <w:pPr>
        <w:spacing w:before="119"/>
        <w:ind w:left="100"/>
        <w:rPr>
          <w:sz w:val="23"/>
        </w:rPr>
      </w:pPr>
      <w:r>
        <w:rPr>
          <w:b/>
          <w:sz w:val="23"/>
        </w:rPr>
        <w:t xml:space="preserve">[Insert name of housing provider] </w:t>
      </w:r>
      <w:r>
        <w:rPr>
          <w:sz w:val="23"/>
        </w:rPr>
        <w:t>VAWA Notice of Occupancy Rights</w:t>
      </w:r>
    </w:p>
    <w:p w:rsidR="004E13A5" w:rsidRDefault="004E13A5">
      <w:pPr>
        <w:rPr>
          <w:sz w:val="23"/>
        </w:rPr>
        <w:sectPr w:rsidR="004E13A5">
          <w:pgSz w:w="12240" w:h="15840"/>
          <w:pgMar w:top="1000" w:right="1340" w:bottom="1240" w:left="1220" w:header="0" w:footer="998" w:gutter="0"/>
          <w:cols w:space="720"/>
        </w:sect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214"/>
      </w:pPr>
      <w:r>
        <w:rPr>
          <w:spacing w:val="-1"/>
        </w:rPr>
        <w:t>INTRODUCTION</w:t>
      </w:r>
    </w:p>
    <w:p w:rsidR="004E13A5" w:rsidRDefault="00681463">
      <w:pPr>
        <w:pStyle w:val="BodyText"/>
        <w:spacing w:before="79"/>
        <w:ind w:left="81" w:right="3168"/>
        <w:jc w:val="center"/>
      </w:pPr>
      <w:r>
        <w:br w:type="column"/>
      </w:r>
      <w:r>
        <w:t>Chapter 17</w:t>
      </w:r>
    </w:p>
    <w:p w:rsidR="004E13A5" w:rsidRDefault="004E13A5">
      <w:pPr>
        <w:pStyle w:val="BodyText"/>
        <w:spacing w:before="10"/>
        <w:ind w:left="0"/>
        <w:rPr>
          <w:sz w:val="20"/>
        </w:rPr>
      </w:pPr>
    </w:p>
    <w:p w:rsidR="004E13A5" w:rsidRDefault="00681463">
      <w:pPr>
        <w:pStyle w:val="Heading4"/>
        <w:ind w:left="82" w:right="3168"/>
        <w:jc w:val="center"/>
      </w:pPr>
      <w:r>
        <w:t>PROJECT-BASED VOUCHERS</w:t>
      </w:r>
    </w:p>
    <w:p w:rsidR="004E13A5" w:rsidRDefault="004E13A5">
      <w:pPr>
        <w:jc w:val="center"/>
        <w:sectPr w:rsidR="004E13A5">
          <w:pgSz w:w="12240" w:h="15840"/>
          <w:pgMar w:top="1120" w:right="1220" w:bottom="1240" w:left="1220" w:header="0" w:footer="998" w:gutter="0"/>
          <w:cols w:num="2" w:space="720" w:equalWidth="0">
            <w:col w:w="2020" w:space="1069"/>
            <w:col w:w="6711"/>
          </w:cols>
        </w:sectPr>
      </w:pPr>
    </w:p>
    <w:p w:rsidR="004E13A5" w:rsidRDefault="00681463">
      <w:pPr>
        <w:pStyle w:val="BodyText"/>
      </w:pPr>
      <w:r>
        <w:t>This chapter describes HUD regulations and PHA policies related to the project-based voucher (PBV) program in nine parts:</w:t>
      </w:r>
    </w:p>
    <w:p w:rsidR="004E13A5" w:rsidRDefault="00681463">
      <w:pPr>
        <w:pStyle w:val="BodyText"/>
      </w:pPr>
      <w:r>
        <w:rPr>
          <w:u w:val="single"/>
        </w:rPr>
        <w:t>Part I: General Requirements</w:t>
      </w:r>
      <w:r>
        <w:t>. This part describes general provisions of the PBV program including maximum budget authority requirements, relocation requirements, and equal opportunity requirements.</w:t>
      </w:r>
    </w:p>
    <w:p w:rsidR="004E13A5" w:rsidRDefault="00681463">
      <w:pPr>
        <w:pStyle w:val="BodyText"/>
        <w:ind w:right="95"/>
      </w:pPr>
      <w:r>
        <w:rPr>
          <w:u w:val="single"/>
        </w:rPr>
        <w:t>Part II: PBV Owner Proposals</w:t>
      </w:r>
      <w:r>
        <w:t>. This part includes policies related to the submission and selection of owner proposals for PBV assistance. It describes the factors the PHA will consider when selecting proposals, the type of housing that is eligible to receive PBV assistance, the cap on assistance at projects receiving PBV assistance, subsidy layering requirements, site selection standards, and environmental review requirements.</w:t>
      </w:r>
    </w:p>
    <w:p w:rsidR="004E13A5" w:rsidRDefault="00681463">
      <w:pPr>
        <w:pStyle w:val="BodyText"/>
        <w:ind w:right="262"/>
      </w:pPr>
      <w:r>
        <w:rPr>
          <w:u w:val="single"/>
        </w:rPr>
        <w:t>Part III: Dwelling Units</w:t>
      </w:r>
      <w:r>
        <w:t>. This part describes requirements related to housing quality standards, the type and frequency of inspections, and housing accessibility for persons with disabilities.</w:t>
      </w:r>
    </w:p>
    <w:p w:rsidR="004E13A5" w:rsidRDefault="00681463">
      <w:pPr>
        <w:pStyle w:val="BodyText"/>
        <w:ind w:right="209"/>
      </w:pPr>
      <w:r>
        <w:rPr>
          <w:u w:val="single"/>
        </w:rPr>
        <w:t>Part IV: Rehabilitated and Newly Constructed Units</w:t>
      </w:r>
      <w:r>
        <w:t>. This part describes requirements and policies related to the development and completion of rehabilitated and newly constructed housing units that will be receiving PBV assistance.</w:t>
      </w:r>
    </w:p>
    <w:p w:rsidR="004E13A5" w:rsidRDefault="00681463">
      <w:pPr>
        <w:pStyle w:val="BodyText"/>
        <w:ind w:right="148"/>
      </w:pPr>
      <w:r>
        <w:rPr>
          <w:u w:val="single"/>
        </w:rPr>
        <w:t>Part V: Housing Assistance Payments Contract</w:t>
      </w:r>
      <w:r>
        <w:t>. This part discusses HAP contract requirements</w:t>
      </w:r>
      <w:r>
        <w:rPr>
          <w:spacing w:val="-19"/>
        </w:rPr>
        <w:t xml:space="preserve"> </w:t>
      </w:r>
      <w:r>
        <w:t xml:space="preserve">and policies including the execution, term, and termination of the HAP contract. </w:t>
      </w:r>
      <w:r>
        <w:rPr>
          <w:spacing w:val="-3"/>
        </w:rPr>
        <w:t xml:space="preserve">In </w:t>
      </w:r>
      <w:r>
        <w:t>addition, it describes how the HAP contract may be amended and identifies provisions that may be added to the HAP contract at the PHA’s</w:t>
      </w:r>
      <w:r>
        <w:rPr>
          <w:spacing w:val="-7"/>
        </w:rPr>
        <w:t xml:space="preserve"> </w:t>
      </w:r>
      <w:r>
        <w:t>discretion.</w:t>
      </w:r>
    </w:p>
    <w:p w:rsidR="004E13A5" w:rsidRDefault="00681463">
      <w:pPr>
        <w:pStyle w:val="BodyText"/>
        <w:spacing w:before="120"/>
      </w:pPr>
      <w:r>
        <w:rPr>
          <w:u w:val="single"/>
        </w:rPr>
        <w:t>Part VI: Selection of PBV Program Participants</w:t>
      </w:r>
      <w:r>
        <w:t>. This part describes the requirements and policies governing how the PHA and the owner will select a family to receive PBV assistance.</w:t>
      </w:r>
    </w:p>
    <w:p w:rsidR="004E13A5" w:rsidRDefault="00681463">
      <w:pPr>
        <w:pStyle w:val="BodyText"/>
        <w:spacing w:before="120"/>
      </w:pPr>
      <w:r>
        <w:rPr>
          <w:u w:val="single"/>
        </w:rPr>
        <w:t>Part VII: Occupancy</w:t>
      </w:r>
      <w:r>
        <w:t>. This part discusses occupancy requirements related to the lease, and describes under what conditions families are allowed or required to move. In addition, exceptions to the occupancy cap (which limits PBV assistance to 25 percent of the units in any project) are also discussed.</w:t>
      </w:r>
    </w:p>
    <w:p w:rsidR="004E13A5" w:rsidRDefault="00681463">
      <w:pPr>
        <w:pStyle w:val="BodyText"/>
        <w:spacing w:before="120"/>
        <w:ind w:right="696"/>
      </w:pPr>
      <w:r>
        <w:rPr>
          <w:u w:val="single"/>
        </w:rPr>
        <w:t>Part VIII: Determining Rent to Owner</w:t>
      </w:r>
      <w:r>
        <w:t>. This part describes how the initial rent to owner is determined, and how rent will be re-determined throughout the life of the HAP contract. Rent reasonableness requirements are also discussed.</w:t>
      </w:r>
    </w:p>
    <w:p w:rsidR="004E13A5" w:rsidRDefault="00681463">
      <w:pPr>
        <w:pStyle w:val="BodyText"/>
        <w:spacing w:before="120"/>
        <w:ind w:right="282"/>
      </w:pPr>
      <w:r>
        <w:rPr>
          <w:u w:val="single"/>
        </w:rPr>
        <w:t>Part IX: Payments to Owner</w:t>
      </w:r>
      <w:r>
        <w:t>. This part describes the types of payments owners may receive under this program.</w:t>
      </w:r>
    </w:p>
    <w:p w:rsidR="004E13A5" w:rsidRDefault="004E13A5">
      <w:pPr>
        <w:sectPr w:rsidR="004E13A5">
          <w:type w:val="continuous"/>
          <w:pgSz w:w="12240" w:h="15840"/>
          <w:pgMar w:top="1500" w:right="1220" w:bottom="280" w:left="1220" w:header="720" w:footer="720" w:gutter="0"/>
          <w:cols w:space="720"/>
        </w:sectPr>
      </w:pPr>
    </w:p>
    <w:p w:rsidR="004E13A5" w:rsidRDefault="00681463">
      <w:pPr>
        <w:pStyle w:val="Heading4"/>
        <w:spacing w:before="79"/>
        <w:ind w:left="2817"/>
      </w:pPr>
      <w:bookmarkStart w:id="324" w:name="_TOC_250107"/>
      <w:bookmarkEnd w:id="324"/>
      <w:r>
        <w:lastRenderedPageBreak/>
        <w:t>PART I: GENERAL REQUIREMENTS</w:t>
      </w:r>
    </w:p>
    <w:p w:rsidR="004E13A5" w:rsidRDefault="004E13A5">
      <w:pPr>
        <w:pStyle w:val="BodyText"/>
        <w:spacing w:before="10"/>
        <w:ind w:left="0"/>
        <w:rPr>
          <w:b/>
          <w:sz w:val="20"/>
        </w:rPr>
      </w:pPr>
    </w:p>
    <w:p w:rsidR="004E13A5" w:rsidRDefault="00681463">
      <w:pPr>
        <w:ind w:left="100"/>
        <w:rPr>
          <w:b/>
          <w:sz w:val="24"/>
        </w:rPr>
      </w:pPr>
      <w:r>
        <w:rPr>
          <w:b/>
          <w:sz w:val="24"/>
        </w:rPr>
        <w:t>17-I.A. OVERVIEW [24 CFR 983.5; FR Notice 1/18/18; Notice PIH 2017-21]</w:t>
      </w:r>
    </w:p>
    <w:p w:rsidR="004E13A5" w:rsidRDefault="00681463">
      <w:pPr>
        <w:pStyle w:val="BodyText"/>
        <w:ind w:right="276"/>
      </w:pPr>
      <w:r>
        <w:t>The project-based voucher (PBV) program allows PHAs that already administer a tenant-based voucher program under an annual contribution contract (ACC) with HUD to take up to 20 percent of its authorized units and attach the funding to specific units rather than using it for tenant-based assistance [24 CFR 983.6]. PHAs may only operate a PBV program if doing so is consistent with the PHA’s Annual Plan, and the goal of deconcentrating poverty and expanding housing and economic opportunities [42 U.S.C. 1437f(o)(13)].</w:t>
      </w:r>
    </w:p>
    <w:p w:rsidR="004E13A5" w:rsidRDefault="00681463">
      <w:pPr>
        <w:pStyle w:val="BodyText"/>
        <w:ind w:left="820"/>
      </w:pPr>
      <w:r>
        <w:rPr>
          <w:u w:val="single"/>
        </w:rPr>
        <w:t>PHA Policy</w:t>
      </w:r>
    </w:p>
    <w:p w:rsidR="004E13A5" w:rsidRDefault="00681463">
      <w:pPr>
        <w:pStyle w:val="BodyText"/>
        <w:ind w:left="820"/>
      </w:pPr>
      <w:r>
        <w:t>The PHA will operate a project-based voucher program using up to 20 percent of its authorized units for project-based assistance.</w:t>
      </w:r>
    </w:p>
    <w:p w:rsidR="004E13A5" w:rsidRDefault="00681463">
      <w:pPr>
        <w:pStyle w:val="BodyText"/>
        <w:ind w:left="820" w:right="1668"/>
      </w:pPr>
      <w:r>
        <w:t>See Exhibit 17-1 for information on projects to which the PHA has attached PBV assistance.</w:t>
      </w:r>
    </w:p>
    <w:p w:rsidR="004E13A5" w:rsidRDefault="00681463">
      <w:pPr>
        <w:pStyle w:val="BodyText"/>
      </w:pPr>
      <w:r>
        <w:t>PBV assistance may be attached to existing housing or newly constructed or rehabilitated housing [24 CFR 983.52]. If PBV units are already selected for project-based assistance either under an agreement to enter into HAP Contract (Agreement) or a HAP contract, the PHA is not required to reduce the number of these units if the number of authorized units is subsequently reduced.</w:t>
      </w:r>
    </w:p>
    <w:p w:rsidR="004E13A5" w:rsidRDefault="00681463">
      <w:pPr>
        <w:pStyle w:val="BodyText"/>
        <w:spacing w:before="0"/>
        <w:ind w:right="81"/>
      </w:pPr>
      <w:r>
        <w:t>However, the PHA is responsible for determining the amount of budget authority that is available for project-based vouchers and ensuring that the amount of assistance that is attached to units is within the amounts available under the ACC, regardless of whether the PHA has vouchers available for project-basing [FR Notice 1/18/17].</w:t>
      </w:r>
    </w:p>
    <w:p w:rsidR="004E13A5" w:rsidRDefault="00681463">
      <w:pPr>
        <w:pStyle w:val="Heading4"/>
        <w:spacing w:before="120"/>
      </w:pPr>
      <w:r>
        <w:t>Additional Project-Based Units [FR Notice 1/18/17; Notice PIH 2017-21 ; FR Notice 1/24/22]</w:t>
      </w:r>
    </w:p>
    <w:p w:rsidR="004E13A5" w:rsidRDefault="00681463">
      <w:pPr>
        <w:pStyle w:val="BodyText"/>
        <w:ind w:right="116"/>
      </w:pPr>
      <w:r>
        <w:t>The PHA may project-base an additional 10 percent of its units above the 20 percent program limit. The units may be distributed among one, all, or a combination of the categories as long as the total number of units does not exceed the 10 percent cap.</w:t>
      </w:r>
    </w:p>
    <w:p w:rsidR="004E13A5" w:rsidRDefault="00681463">
      <w:pPr>
        <w:pStyle w:val="BodyText"/>
        <w:ind w:right="608"/>
      </w:pPr>
      <w:r>
        <w:t>For units under a HAP contract that was first executed on or after April 18, 2017, units qualify under this exception if the units:</w:t>
      </w:r>
    </w:p>
    <w:p w:rsidR="004E13A5" w:rsidRDefault="00681463">
      <w:pPr>
        <w:pStyle w:val="ListParagraph"/>
        <w:numPr>
          <w:ilvl w:val="0"/>
          <w:numId w:val="93"/>
        </w:numPr>
        <w:tabs>
          <w:tab w:val="left" w:pos="460"/>
          <w:tab w:val="left" w:pos="461"/>
        </w:tabs>
        <w:ind w:right="519"/>
        <w:rPr>
          <w:rFonts w:ascii="Symbol"/>
          <w:sz w:val="24"/>
        </w:rPr>
      </w:pPr>
      <w:r>
        <w:rPr>
          <w:sz w:val="24"/>
        </w:rPr>
        <w:t>Are specifically made available to house individuals and families that meet the definition of homeless under section 103 of the McKinney-Vento Homeless Assistance Act (42 U.S.C. 11302) and contained in the Continuum of Care Interim Rule at 24 CFR</w:t>
      </w:r>
      <w:r>
        <w:rPr>
          <w:spacing w:val="-8"/>
          <w:sz w:val="24"/>
        </w:rPr>
        <w:t xml:space="preserve"> </w:t>
      </w:r>
      <w:r>
        <w:rPr>
          <w:sz w:val="24"/>
        </w:rPr>
        <w:t>578.3.</w:t>
      </w:r>
    </w:p>
    <w:p w:rsidR="004E13A5" w:rsidRDefault="00681463">
      <w:pPr>
        <w:pStyle w:val="ListParagraph"/>
        <w:numPr>
          <w:ilvl w:val="0"/>
          <w:numId w:val="93"/>
        </w:numPr>
        <w:tabs>
          <w:tab w:val="left" w:pos="460"/>
          <w:tab w:val="left" w:pos="461"/>
        </w:tabs>
        <w:rPr>
          <w:rFonts w:ascii="Symbol"/>
          <w:sz w:val="24"/>
        </w:rPr>
      </w:pPr>
      <w:r>
        <w:rPr>
          <w:sz w:val="24"/>
        </w:rPr>
        <w:t>Are specifically made available to house families that are comprised of or include a</w:t>
      </w:r>
      <w:r>
        <w:rPr>
          <w:spacing w:val="-16"/>
          <w:sz w:val="24"/>
        </w:rPr>
        <w:t xml:space="preserve"> </w:t>
      </w:r>
      <w:r>
        <w:rPr>
          <w:sz w:val="24"/>
        </w:rPr>
        <w:t>veteran.</w:t>
      </w:r>
    </w:p>
    <w:p w:rsidR="004E13A5" w:rsidRDefault="00681463">
      <w:pPr>
        <w:pStyle w:val="ListParagraph"/>
        <w:numPr>
          <w:ilvl w:val="1"/>
          <w:numId w:val="93"/>
        </w:numPr>
        <w:tabs>
          <w:tab w:val="left" w:pos="820"/>
          <w:tab w:val="left" w:pos="821"/>
        </w:tabs>
        <w:spacing w:before="117"/>
        <w:rPr>
          <w:sz w:val="24"/>
        </w:rPr>
      </w:pPr>
      <w:r>
        <w:rPr>
          <w:i/>
          <w:sz w:val="24"/>
        </w:rPr>
        <w:t xml:space="preserve">Veteran </w:t>
      </w:r>
      <w:r>
        <w:rPr>
          <w:sz w:val="24"/>
        </w:rPr>
        <w:t>means an individual who has served in the United States Armed</w:t>
      </w:r>
      <w:r>
        <w:rPr>
          <w:spacing w:val="-14"/>
          <w:sz w:val="24"/>
        </w:rPr>
        <w:t xml:space="preserve"> </w:t>
      </w:r>
      <w:r>
        <w:rPr>
          <w:sz w:val="24"/>
        </w:rPr>
        <w:t>Forces.</w:t>
      </w:r>
    </w:p>
    <w:p w:rsidR="004E13A5" w:rsidRDefault="00681463">
      <w:pPr>
        <w:pStyle w:val="ListParagraph"/>
        <w:numPr>
          <w:ilvl w:val="0"/>
          <w:numId w:val="93"/>
        </w:numPr>
        <w:tabs>
          <w:tab w:val="left" w:pos="460"/>
          <w:tab w:val="left" w:pos="461"/>
        </w:tabs>
        <w:spacing w:line="242" w:lineRule="auto"/>
        <w:ind w:right="196"/>
        <w:rPr>
          <w:rFonts w:ascii="Symbol"/>
          <w:sz w:val="24"/>
        </w:rPr>
      </w:pPr>
      <w:r>
        <w:rPr>
          <w:sz w:val="24"/>
        </w:rPr>
        <w:t>Provide supportive housing to persons with disabilities or elderly persons as defined in 24</w:t>
      </w:r>
      <w:r>
        <w:rPr>
          <w:spacing w:val="-17"/>
          <w:sz w:val="24"/>
        </w:rPr>
        <w:t xml:space="preserve"> </w:t>
      </w:r>
      <w:r>
        <w:rPr>
          <w:sz w:val="24"/>
        </w:rPr>
        <w:t>CFR 5.403.</w:t>
      </w:r>
    </w:p>
    <w:p w:rsidR="004E13A5" w:rsidRDefault="00681463">
      <w:pPr>
        <w:pStyle w:val="ListParagraph"/>
        <w:numPr>
          <w:ilvl w:val="0"/>
          <w:numId w:val="93"/>
        </w:numPr>
        <w:tabs>
          <w:tab w:val="left" w:pos="460"/>
          <w:tab w:val="left" w:pos="461"/>
        </w:tabs>
        <w:spacing w:before="116"/>
        <w:ind w:right="169"/>
        <w:rPr>
          <w:rFonts w:ascii="Symbol"/>
          <w:sz w:val="24"/>
        </w:rPr>
      </w:pPr>
      <w:r>
        <w:rPr>
          <w:sz w:val="24"/>
        </w:rPr>
        <w:t>Are located in a census tract with a poverty rate of 20 percent or less, as determined in the</w:t>
      </w:r>
      <w:r>
        <w:rPr>
          <w:spacing w:val="-15"/>
          <w:sz w:val="24"/>
        </w:rPr>
        <w:t xml:space="preserve"> </w:t>
      </w:r>
      <w:r>
        <w:rPr>
          <w:sz w:val="24"/>
        </w:rPr>
        <w:t>most recent American Community Survey Five-Year</w:t>
      </w:r>
      <w:r>
        <w:rPr>
          <w:spacing w:val="-9"/>
          <w:sz w:val="24"/>
        </w:rPr>
        <w:t xml:space="preserve"> </w:t>
      </w:r>
      <w:r>
        <w:rPr>
          <w:sz w:val="24"/>
        </w:rPr>
        <w:t>Estimates.</w:t>
      </w:r>
    </w:p>
    <w:p w:rsidR="004E13A5" w:rsidRDefault="00681463">
      <w:pPr>
        <w:pStyle w:val="ListParagraph"/>
        <w:numPr>
          <w:ilvl w:val="0"/>
          <w:numId w:val="93"/>
        </w:numPr>
        <w:tabs>
          <w:tab w:val="left" w:pos="460"/>
          <w:tab w:val="left" w:pos="461"/>
        </w:tabs>
        <w:ind w:right="195"/>
        <w:rPr>
          <w:rFonts w:ascii="Symbol"/>
          <w:sz w:val="24"/>
        </w:rPr>
      </w:pPr>
      <w:r>
        <w:rPr>
          <w:sz w:val="24"/>
        </w:rPr>
        <w:t>PBV units that house eligible youth receiving FUPY/FYI assistance are also covered by this</w:t>
      </w:r>
      <w:r>
        <w:rPr>
          <w:spacing w:val="-17"/>
          <w:sz w:val="24"/>
        </w:rPr>
        <w:t xml:space="preserve"> </w:t>
      </w:r>
      <w:r>
        <w:rPr>
          <w:sz w:val="24"/>
        </w:rPr>
        <w:t>10 percent exception authority if the units are under a HAP contract that became effective after December 27, 2020, and if the unit is occupied by an eligible youth receiving FUPY/FYI assistance. FYI TPVs that were awarded under Notice PIH 2019-20 are not part of this exception since PHAs are prohibited from project-basing FYI TPVs. Units added</w:t>
      </w:r>
      <w:r>
        <w:rPr>
          <w:spacing w:val="-13"/>
          <w:sz w:val="24"/>
        </w:rPr>
        <w:t xml:space="preserve"> </w:t>
      </w:r>
      <w:r>
        <w:rPr>
          <w:sz w:val="24"/>
        </w:rPr>
        <w:t>after</w:t>
      </w:r>
    </w:p>
    <w:p w:rsidR="004E13A5" w:rsidRDefault="004E13A5">
      <w:pPr>
        <w:rPr>
          <w:rFonts w:ascii="Symbol"/>
          <w:sz w:val="24"/>
        </w:rPr>
        <w:sectPr w:rsidR="004E13A5">
          <w:pgSz w:w="12240" w:h="15840"/>
          <w:pgMar w:top="1000" w:right="1220" w:bottom="1240" w:left="1220" w:header="0" w:footer="998" w:gutter="0"/>
          <w:cols w:space="720"/>
        </w:sectPr>
      </w:pPr>
    </w:p>
    <w:p w:rsidR="004E13A5" w:rsidRDefault="00681463">
      <w:pPr>
        <w:pStyle w:val="BodyText"/>
        <w:spacing w:before="79"/>
        <w:ind w:left="460" w:right="90"/>
      </w:pPr>
      <w:r>
        <w:lastRenderedPageBreak/>
        <w:t>December 27, 2020, through an amendment of a HAP contract that became effective after December 27, 2020, are eligible for this 10 percent exception authority. In contrast, units added after December 27, 2020, through an amendment of a HAP contract that became effective on or prior to December 27, 2020, are not eligible for this 10 percent exception authority [FR Notice 1/24/22]. See Chapter 19 for policies specific to project-basing FUPY vouchers.</w:t>
      </w:r>
    </w:p>
    <w:p w:rsidR="004E13A5" w:rsidRDefault="00681463">
      <w:pPr>
        <w:pStyle w:val="BodyText"/>
        <w:rPr>
          <w:rFonts w:ascii="Symbol" w:hAnsi="Symbol"/>
        </w:rPr>
      </w:pPr>
      <w:r>
        <w:rPr>
          <w:rFonts w:ascii="Symbol" w:hAnsi="Symbol"/>
        </w:rPr>
        <w:t></w:t>
      </w:r>
    </w:p>
    <w:p w:rsidR="004E13A5" w:rsidRDefault="00681463">
      <w:pPr>
        <w:pStyle w:val="BodyText"/>
        <w:spacing w:before="118"/>
        <w:ind w:left="820"/>
      </w:pPr>
      <w:r>
        <w:rPr>
          <w:u w:val="single"/>
        </w:rPr>
        <w:t>PHA Policy</w:t>
      </w:r>
    </w:p>
    <w:p w:rsidR="004E13A5" w:rsidRDefault="00681463">
      <w:pPr>
        <w:pStyle w:val="BodyText"/>
        <w:ind w:left="820" w:right="328"/>
      </w:pPr>
      <w:r>
        <w:t>The PHA may project-base up to an additional 10 percent of its authorized units, up to 30 percent, in accordance with HUD regulations and requirements.</w:t>
      </w:r>
    </w:p>
    <w:p w:rsidR="004E13A5" w:rsidRDefault="004E13A5">
      <w:pPr>
        <w:pStyle w:val="BodyText"/>
        <w:spacing w:before="0"/>
        <w:ind w:left="0"/>
        <w:rPr>
          <w:sz w:val="20"/>
        </w:rPr>
      </w:pPr>
    </w:p>
    <w:p w:rsidR="004E13A5" w:rsidRDefault="004E13A5">
      <w:pPr>
        <w:pStyle w:val="BodyText"/>
        <w:spacing w:before="0"/>
        <w:ind w:left="0"/>
        <w:rPr>
          <w:sz w:val="17"/>
        </w:rPr>
      </w:pPr>
    </w:p>
    <w:p w:rsidR="004E13A5" w:rsidRDefault="00681463">
      <w:pPr>
        <w:pStyle w:val="Heading4"/>
        <w:spacing w:before="90"/>
      </w:pPr>
      <w:r>
        <w:t>Units Not Subject to the PBV Program Limitation [FR Notice 1/18/17]</w:t>
      </w:r>
    </w:p>
    <w:p w:rsidR="004E13A5" w:rsidRDefault="00681463">
      <w:pPr>
        <w:pStyle w:val="BodyText"/>
        <w:ind w:right="187"/>
      </w:pPr>
      <w:r>
        <w:t>PBV units under the RAD program and HUD-VASH PBV set-aside vouchers do not count toward the 20 percent limitation when PBV assistance is attached to them.</w:t>
      </w:r>
    </w:p>
    <w:p w:rsidR="004E13A5" w:rsidRDefault="00681463">
      <w:pPr>
        <w:pStyle w:val="BodyText"/>
        <w:ind w:right="286"/>
        <w:jc w:val="both"/>
      </w:pPr>
      <w:r>
        <w:t>In addition, units that were previously subject to certain federal rent restrictions or were</w:t>
      </w:r>
      <w:r>
        <w:rPr>
          <w:spacing w:val="-21"/>
        </w:rPr>
        <w:t xml:space="preserve"> </w:t>
      </w:r>
      <w:r>
        <w:t>receiving another type of long-term housing subsidy provided by HUD are not subject to the cap. The units must be covered under a PBV HAP contract that first became effective on or after</w:t>
      </w:r>
      <w:r>
        <w:rPr>
          <w:spacing w:val="-17"/>
        </w:rPr>
        <w:t xml:space="preserve"> </w:t>
      </w:r>
      <w:r>
        <w:t>4/18/17.</w:t>
      </w:r>
    </w:p>
    <w:p w:rsidR="004E13A5" w:rsidRDefault="004E13A5">
      <w:pPr>
        <w:pStyle w:val="BodyText"/>
        <w:spacing w:before="0"/>
        <w:ind w:left="0"/>
        <w:rPr>
          <w:sz w:val="26"/>
        </w:rPr>
      </w:pPr>
    </w:p>
    <w:p w:rsidR="004E13A5" w:rsidRDefault="00681463">
      <w:pPr>
        <w:pStyle w:val="BodyText"/>
        <w:spacing w:before="216"/>
        <w:ind w:left="820"/>
      </w:pPr>
      <w:r>
        <w:rPr>
          <w:u w:val="single"/>
        </w:rPr>
        <w:t>PHA Policy</w:t>
      </w:r>
    </w:p>
    <w:p w:rsidR="004E13A5" w:rsidRDefault="00681463">
      <w:pPr>
        <w:pStyle w:val="BodyText"/>
        <w:ind w:left="820" w:right="156"/>
      </w:pPr>
      <w:r>
        <w:t>The PHA may project-base units not subject to the 20 percent cap in accordance with HUD regulations and requirements.</w:t>
      </w:r>
    </w:p>
    <w:p w:rsidR="004E13A5" w:rsidRDefault="004E13A5">
      <w:pPr>
        <w:pStyle w:val="BodyText"/>
        <w:spacing w:before="9"/>
        <w:ind w:left="0"/>
        <w:rPr>
          <w:sz w:val="20"/>
        </w:rPr>
      </w:pPr>
    </w:p>
    <w:p w:rsidR="004E13A5" w:rsidRDefault="00681463">
      <w:pPr>
        <w:pStyle w:val="Heading4"/>
        <w:ind w:right="1665"/>
      </w:pPr>
      <w:r>
        <w:t>17-I.B. TENANT-BASED VS. PROJECT-BASED VOUCHER ASSISTANCE [24 CFR 983.2]</w:t>
      </w:r>
    </w:p>
    <w:p w:rsidR="004E13A5" w:rsidRDefault="00681463">
      <w:pPr>
        <w:pStyle w:val="BodyText"/>
        <w:ind w:right="415"/>
      </w:pPr>
      <w:r>
        <w:t>Much of the tenant-based voucher program regulations also apply to the PBV program. Consequently, many of the PHA policies related to tenant-based assistance also apply to PBV assistance. The provisions of the tenant-based voucher regulations that do not apply to the PBV program are listed at 24 CFR 983.2.</w:t>
      </w:r>
    </w:p>
    <w:p w:rsidR="004E13A5" w:rsidRDefault="00681463">
      <w:pPr>
        <w:pStyle w:val="BodyText"/>
        <w:ind w:left="820"/>
      </w:pPr>
      <w:r>
        <w:rPr>
          <w:u w:val="single"/>
        </w:rPr>
        <w:t>PHA Policy</w:t>
      </w:r>
    </w:p>
    <w:p w:rsidR="004E13A5" w:rsidRDefault="00681463">
      <w:pPr>
        <w:pStyle w:val="BodyText"/>
        <w:ind w:left="820" w:right="95"/>
      </w:pPr>
      <w:r>
        <w:t>Except as otherwise noted in this chapter, or unless specifically prohibited by PBV program regulations, the PHA policies for the tenant-based voucher program contained in this administrative plan also apply to the PBV program and its participants.</w:t>
      </w:r>
    </w:p>
    <w:p w:rsidR="004E13A5" w:rsidRDefault="004E13A5">
      <w:pPr>
        <w:pStyle w:val="BodyText"/>
        <w:spacing w:before="9"/>
        <w:ind w:left="0"/>
        <w:rPr>
          <w:sz w:val="20"/>
        </w:rPr>
      </w:pPr>
    </w:p>
    <w:p w:rsidR="004E13A5" w:rsidRDefault="00681463">
      <w:pPr>
        <w:pStyle w:val="Heading4"/>
        <w:spacing w:before="1"/>
      </w:pPr>
      <w:bookmarkStart w:id="325" w:name="_TOC_250106"/>
      <w:bookmarkEnd w:id="325"/>
      <w:r>
        <w:t>17-I.C. RELOCATION REQUIREMENTS [24 CFR 983.7]</w:t>
      </w:r>
    </w:p>
    <w:p w:rsidR="004E13A5" w:rsidRDefault="00681463">
      <w:pPr>
        <w:pStyle w:val="BodyText"/>
        <w:spacing w:before="121"/>
        <w:ind w:right="415"/>
      </w:pPr>
      <w:r>
        <w:t>Any persons displaced as a result of implementation of the PBV program must be provided relocation assistance in accordance with the requirements of the Uniform Relocation Assistance and Real Property Acquisition Policies Act of 1970 (URA)[42 U.S.C. 4201-4655] and implementing regulations at 49 CFR part 24.</w:t>
      </w:r>
    </w:p>
    <w:p w:rsidR="004E13A5" w:rsidRDefault="00681463">
      <w:pPr>
        <w:pStyle w:val="BodyText"/>
        <w:spacing w:before="120"/>
      </w:pPr>
      <w:r>
        <w:t>The cost of required relocation assistance may be paid with funds provided by the owner, local public funds, or funds available from other sources. PHAs may not use voucher program funds to cover relocation costs, except that PHAs may use their administrative fee reserve to pay for relocation expenses after all other program administrative expenses are satisfied, and provided that payment of the relocation benefits is consistent with state and local law. Use of the administrative</w:t>
      </w:r>
    </w:p>
    <w:p w:rsidR="004E13A5" w:rsidRDefault="004E13A5">
      <w:pPr>
        <w:sectPr w:rsidR="004E13A5">
          <w:pgSz w:w="12240" w:h="15840"/>
          <w:pgMar w:top="1000" w:right="1260" w:bottom="1240" w:left="1220" w:header="0" w:footer="998" w:gutter="0"/>
          <w:cols w:space="720"/>
        </w:sectPr>
      </w:pPr>
    </w:p>
    <w:p w:rsidR="004E13A5" w:rsidRDefault="00681463">
      <w:pPr>
        <w:pStyle w:val="BodyText"/>
        <w:spacing w:before="79"/>
        <w:ind w:right="183"/>
      </w:pPr>
      <w:r>
        <w:lastRenderedPageBreak/>
        <w:t>fee for these purposes must also be consistent with other legal and regulatory requirements, including the requirement in 24 CFR 982.155 and other official HUD issuances.</w:t>
      </w:r>
    </w:p>
    <w:p w:rsidR="004E13A5" w:rsidRDefault="00681463">
      <w:pPr>
        <w:pStyle w:val="BodyText"/>
        <w:spacing w:before="120"/>
        <w:ind w:right="108"/>
      </w:pPr>
      <w:r>
        <w:t>The acquisition of real property for a PBV project is subject to the URA and 49 CFR part 24, subpart B. It is the responsibility of the PHA to ensure the owner complies with these requirements.</w:t>
      </w:r>
    </w:p>
    <w:p w:rsidR="004E13A5" w:rsidRDefault="004E13A5">
      <w:pPr>
        <w:pStyle w:val="BodyText"/>
        <w:spacing w:before="9"/>
        <w:ind w:left="0"/>
        <w:rPr>
          <w:sz w:val="20"/>
        </w:rPr>
      </w:pPr>
    </w:p>
    <w:p w:rsidR="004E13A5" w:rsidRDefault="00681463">
      <w:pPr>
        <w:pStyle w:val="Heading4"/>
      </w:pPr>
      <w:bookmarkStart w:id="326" w:name="_TOC_250105"/>
      <w:bookmarkEnd w:id="326"/>
      <w:r>
        <w:t>17-I.D. EQUAL OPPORTUNITY REQUIREMENTS [24 CFR 983.8]</w:t>
      </w:r>
    </w:p>
    <w:p w:rsidR="004E13A5" w:rsidRDefault="00681463">
      <w:pPr>
        <w:pStyle w:val="BodyText"/>
        <w:ind w:right="105"/>
      </w:pPr>
      <w:r>
        <w:t>The PHA must comply with all equal opportunity requirements under federal law and regulations</w:t>
      </w:r>
      <w:r>
        <w:rPr>
          <w:spacing w:val="-20"/>
        </w:rPr>
        <w:t xml:space="preserve"> </w:t>
      </w:r>
      <w:r>
        <w:t>in its implementation of the PBV program. This includes the requirements and authorities cited at 24 CFR 5.105(a). In addition, the PHA must comply with the PHA Plan certification on civil rights and affirmatively furthering fair housing, submitted in accordance with 24 CFR</w:t>
      </w:r>
      <w:r>
        <w:rPr>
          <w:spacing w:val="-12"/>
        </w:rPr>
        <w:t xml:space="preserve"> </w:t>
      </w:r>
      <w:r>
        <w:t>903.7(o).</w:t>
      </w:r>
    </w:p>
    <w:p w:rsidR="004E13A5" w:rsidRDefault="004E13A5">
      <w:pPr>
        <w:pStyle w:val="BodyText"/>
        <w:spacing w:before="9"/>
        <w:ind w:left="0"/>
        <w:rPr>
          <w:sz w:val="20"/>
        </w:rPr>
      </w:pPr>
    </w:p>
    <w:p w:rsidR="004E13A5" w:rsidRDefault="00681463">
      <w:pPr>
        <w:pStyle w:val="Heading4"/>
        <w:ind w:left="2894"/>
      </w:pPr>
      <w:bookmarkStart w:id="327" w:name="_TOC_250104"/>
      <w:bookmarkEnd w:id="327"/>
      <w:r>
        <w:t>PART II: PBV OWNER PROPOSALS</w:t>
      </w:r>
    </w:p>
    <w:p w:rsidR="004E13A5" w:rsidRDefault="004E13A5">
      <w:pPr>
        <w:pStyle w:val="BodyText"/>
        <w:spacing w:before="11"/>
        <w:ind w:left="0"/>
        <w:rPr>
          <w:b/>
          <w:sz w:val="12"/>
        </w:rPr>
      </w:pPr>
    </w:p>
    <w:p w:rsidR="004E13A5" w:rsidRDefault="00681463">
      <w:pPr>
        <w:pStyle w:val="Heading4"/>
        <w:spacing w:before="90"/>
      </w:pPr>
      <w:bookmarkStart w:id="328" w:name="_TOC_250103"/>
      <w:bookmarkEnd w:id="328"/>
      <w:r>
        <w:t>17-II.A. OVERVIEW</w:t>
      </w:r>
    </w:p>
    <w:p w:rsidR="004E13A5" w:rsidRDefault="00681463">
      <w:pPr>
        <w:pStyle w:val="BodyText"/>
        <w:spacing w:before="120"/>
        <w:ind w:right="94"/>
      </w:pPr>
      <w:r>
        <w:t>With certain exceptions, the PHA must describe the procedures for owner submission of PBV proposals and for PHA selection of PBV proposals [24 CFR 983.51]. Before selecting a PBV proposal, the PHA must determine that the PBV proposal complies with HUD program regulations and requirements, including a determination that the property is eligible housing [24 CFR 983.53 and 983.54], complies with the cap on the number of PBV units per project [24 CFR 983.56], and meets the site selection standards [24 CFR 983.57]. The PHA may not commit PBVs until or unless it has followed the proposal selection requirements defined in 24 CFR 983.51 [Notice PIH 2011- 54].</w:t>
      </w:r>
    </w:p>
    <w:p w:rsidR="004E13A5" w:rsidRDefault="004E13A5">
      <w:pPr>
        <w:pStyle w:val="BodyText"/>
        <w:spacing w:before="9"/>
        <w:ind w:left="0"/>
        <w:rPr>
          <w:sz w:val="20"/>
        </w:rPr>
      </w:pPr>
    </w:p>
    <w:p w:rsidR="004E13A5" w:rsidRDefault="00681463">
      <w:pPr>
        <w:pStyle w:val="Heading4"/>
      </w:pPr>
      <w:bookmarkStart w:id="329" w:name="_TOC_250102"/>
      <w:bookmarkEnd w:id="329"/>
      <w:r>
        <w:t>17-II.B. OWNER PROPOSAL SELECTION PROCEDURES [24 CFR 983.51(b)]</w:t>
      </w:r>
    </w:p>
    <w:p w:rsidR="004E13A5" w:rsidRDefault="00681463">
      <w:pPr>
        <w:pStyle w:val="BodyText"/>
      </w:pPr>
      <w:r>
        <w:t>The PHA must select PBV proposals in accordance with the selection procedures in the PHA administrative plan. The PHA must select PBV proposals by either of the following two methods.</w:t>
      </w:r>
    </w:p>
    <w:p w:rsidR="004E13A5" w:rsidRDefault="00681463">
      <w:pPr>
        <w:pStyle w:val="ListParagraph"/>
        <w:numPr>
          <w:ilvl w:val="0"/>
          <w:numId w:val="93"/>
        </w:numPr>
        <w:tabs>
          <w:tab w:val="left" w:pos="460"/>
          <w:tab w:val="left" w:pos="461"/>
        </w:tabs>
        <w:ind w:right="256"/>
        <w:rPr>
          <w:rFonts w:ascii="Symbol"/>
          <w:sz w:val="24"/>
        </w:rPr>
      </w:pPr>
      <w:r>
        <w:rPr>
          <w:sz w:val="24"/>
          <w:u w:val="single"/>
        </w:rPr>
        <w:t>PHA request for PBV Proposals</w:t>
      </w:r>
      <w:r>
        <w:rPr>
          <w:sz w:val="24"/>
        </w:rPr>
        <w:t>. The PHA may solicit proposals by using a request for proposals to select proposals on a competitive basis in response to the PHA request. The PHA may not limit proposals to a single site or impose restrictions that explicitly or practically preclude owner submission of proposals for PBV housing on different</w:t>
      </w:r>
      <w:r>
        <w:rPr>
          <w:spacing w:val="-10"/>
          <w:sz w:val="24"/>
        </w:rPr>
        <w:t xml:space="preserve"> </w:t>
      </w:r>
      <w:r>
        <w:rPr>
          <w:sz w:val="24"/>
        </w:rPr>
        <w:t>sites.</w:t>
      </w:r>
    </w:p>
    <w:p w:rsidR="004E13A5" w:rsidRDefault="00681463">
      <w:pPr>
        <w:pStyle w:val="ListParagraph"/>
        <w:numPr>
          <w:ilvl w:val="0"/>
          <w:numId w:val="93"/>
        </w:numPr>
        <w:tabs>
          <w:tab w:val="left" w:pos="460"/>
          <w:tab w:val="left" w:pos="461"/>
        </w:tabs>
        <w:ind w:right="215"/>
        <w:rPr>
          <w:rFonts w:ascii="Symbol"/>
          <w:sz w:val="24"/>
        </w:rPr>
      </w:pPr>
      <w:r>
        <w:rPr>
          <w:sz w:val="24"/>
          <w:u w:val="single"/>
        </w:rPr>
        <w:t>The PHA may select proposal that were previously selected based on a competition</w:t>
      </w:r>
      <w:r>
        <w:rPr>
          <w:sz w:val="24"/>
        </w:rPr>
        <w:t>. This may include selection of a proposal for housing assisted under a federal, state, or local government housing assistance program that was subject to a competition in accordance with the requirements of the applicable program, community development program, or supportive services program that requires competitive selection of proposals (e.g., HOME, and units for which competitively awarded LIHTCs have been provided), where the proposal has been selected in accordance with such program's competitive selection requirements within three years of the PBV proposal selection date, and the earlier competitive selection proposal did</w:t>
      </w:r>
      <w:r>
        <w:rPr>
          <w:spacing w:val="-15"/>
          <w:sz w:val="24"/>
        </w:rPr>
        <w:t xml:space="preserve"> </w:t>
      </w:r>
      <w:r>
        <w:rPr>
          <w:sz w:val="24"/>
        </w:rPr>
        <w:t>not involve any consideration that the project would receive PBV assistance. The PHA need not conduct another</w:t>
      </w:r>
      <w:r>
        <w:rPr>
          <w:spacing w:val="-3"/>
          <w:sz w:val="24"/>
        </w:rPr>
        <w:t xml:space="preserve"> </w:t>
      </w:r>
      <w:r>
        <w:rPr>
          <w:sz w:val="24"/>
        </w:rPr>
        <w:t>competition.</w:t>
      </w:r>
    </w:p>
    <w:p w:rsidR="004E13A5" w:rsidRDefault="00681463">
      <w:pPr>
        <w:pStyle w:val="Heading4"/>
        <w:spacing w:before="120"/>
      </w:pPr>
      <w:r>
        <w:t>Units Selected Non-Competitively [FR Notice 1/18/17; Notice PIC 2017-21; 24 CFR 983.51(b)]</w:t>
      </w:r>
    </w:p>
    <w:p w:rsidR="004E13A5" w:rsidRDefault="00681463">
      <w:pPr>
        <w:pStyle w:val="BodyText"/>
        <w:spacing w:before="139"/>
        <w:ind w:right="348"/>
      </w:pPr>
      <w:r>
        <w:t>For certain public housing projects where the PHA has an ownership interest or control, the PHA may attach PBV assistance non-competitively without following one of the two processes above.</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116"/>
      </w:pPr>
      <w:r>
        <w:lastRenderedPageBreak/>
        <w:t>This exception applies when the PHA is engaged in an initiative to improve, develop, or replace a public housing property or site. The public housing units may either currently be in the public housing inventory or may have been removed from the public housing inventory within five years of the date on which the PHA entered into the AHAP or HAP.</w:t>
      </w:r>
    </w:p>
    <w:p w:rsidR="004E13A5" w:rsidRDefault="00681463">
      <w:pPr>
        <w:pStyle w:val="BodyText"/>
        <w:spacing w:before="120"/>
      </w:pPr>
      <w:r>
        <w:t>If the PHA is planning rehabilitation or new construction on the project, a minimum threshold of</w:t>
      </w:r>
    </w:p>
    <w:p w:rsidR="004E13A5" w:rsidRDefault="00681463">
      <w:pPr>
        <w:pStyle w:val="BodyText"/>
        <w:spacing w:before="0"/>
      </w:pPr>
      <w:r>
        <w:t>$25,000 per unit in hard costs must be expended.</w:t>
      </w:r>
    </w:p>
    <w:p w:rsidR="004E13A5" w:rsidRDefault="00681463">
      <w:pPr>
        <w:pStyle w:val="BodyText"/>
        <w:spacing w:before="120"/>
        <w:ind w:right="214"/>
      </w:pPr>
      <w:r>
        <w:t xml:space="preserve">If the PHA plans to replace public housing by attaching PBV assistance to existing housing in which the PHA has an ownership interest or control, then the $25,000 per unit minimum threshold does not apply as long as the existing housing substantially complies with </w:t>
      </w:r>
      <w:r w:rsidR="002C4221">
        <w:t>NSPIRE</w:t>
      </w:r>
      <w:r>
        <w:t>.</w:t>
      </w:r>
    </w:p>
    <w:p w:rsidR="004E13A5" w:rsidRDefault="00681463">
      <w:pPr>
        <w:pStyle w:val="BodyText"/>
        <w:spacing w:before="120"/>
        <w:ind w:right="116"/>
      </w:pPr>
      <w:r>
        <w:t>The PHA must include in the administrative plan what work it plans to do on the property or site and how many PBV units will be added to the site.</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not attach PBVs to projects owned by the PHA as described above.</w:t>
      </w:r>
    </w:p>
    <w:p w:rsidR="004E13A5" w:rsidRDefault="00681463">
      <w:pPr>
        <w:pStyle w:val="Heading4"/>
        <w:spacing w:before="119"/>
      </w:pPr>
      <w:r>
        <w:t>Solicitation and Selection of PBV Proposals [24 CFR 983.51(c)]</w:t>
      </w:r>
    </w:p>
    <w:p w:rsidR="004E13A5" w:rsidRDefault="00681463">
      <w:pPr>
        <w:pStyle w:val="BodyText"/>
        <w:ind w:right="116"/>
      </w:pPr>
      <w:r>
        <w:t>PHA procedures for selecting PBV proposals must be designed and actually operated to provide broad public notice of the opportunity to offer PBV proposals for consideration by the PHA. The public notice procedures may include publication of the public notice in a local newspaper of general circulation and other means designed and actually operated to provide broad public notice. The public notice of the PHA request for PBV proposals must specify the submission deadline.</w:t>
      </w:r>
    </w:p>
    <w:p w:rsidR="004E13A5" w:rsidRDefault="00681463">
      <w:pPr>
        <w:pStyle w:val="BodyText"/>
        <w:spacing w:before="0"/>
      </w:pPr>
      <w:r>
        <w:t>Detailed application and selection information must be provided at the request of interested parties.</w:t>
      </w:r>
    </w:p>
    <w:p w:rsidR="004E13A5" w:rsidRDefault="00681463">
      <w:pPr>
        <w:pStyle w:val="BodyText"/>
        <w:spacing w:before="120"/>
        <w:ind w:left="820"/>
      </w:pPr>
      <w:r>
        <w:rPr>
          <w:u w:val="single"/>
        </w:rPr>
        <w:t>PHA Policy</w:t>
      </w:r>
    </w:p>
    <w:p w:rsidR="004E13A5" w:rsidRDefault="00681463">
      <w:pPr>
        <w:pStyle w:val="BodyText"/>
        <w:ind w:left="820"/>
      </w:pPr>
      <w:r>
        <w:rPr>
          <w:u w:val="single"/>
        </w:rPr>
        <w:t>PHA Request for Proposals for Rehabilitated and Newly Constructed Units</w:t>
      </w:r>
    </w:p>
    <w:p w:rsidR="004E13A5" w:rsidRDefault="00681463">
      <w:pPr>
        <w:pStyle w:val="BodyText"/>
        <w:spacing w:before="120"/>
        <w:ind w:left="820" w:right="1008"/>
      </w:pPr>
      <w:r>
        <w:t>The PHA will advertise its request for proposals (RFP) for rehabilitated and newly constructed housing in newspapers and/or trade journals.</w:t>
      </w:r>
    </w:p>
    <w:p w:rsidR="004E13A5" w:rsidRDefault="00681463">
      <w:pPr>
        <w:pStyle w:val="BodyText"/>
        <w:spacing w:before="120"/>
        <w:ind w:left="820" w:right="541"/>
      </w:pPr>
      <w:r>
        <w:t xml:space="preserve">The World Newspaper, South Coast </w:t>
      </w:r>
      <w:r w:rsidR="00653A80">
        <w:t>Shopper, Coos</w:t>
      </w:r>
      <w:r>
        <w:t xml:space="preserve"> Bay and North Bend City Websites, </w:t>
      </w:r>
      <w:r w:rsidR="00653A80">
        <w:t>Facebook, North</w:t>
      </w:r>
      <w:r>
        <w:t xml:space="preserve"> Bend / Coos Curry Housing Authority Website</w:t>
      </w:r>
    </w:p>
    <w:p w:rsidR="004E13A5" w:rsidRDefault="00681463">
      <w:pPr>
        <w:pStyle w:val="BodyText"/>
        <w:spacing w:before="120"/>
        <w:ind w:left="820" w:right="196"/>
      </w:pPr>
      <w:r>
        <w:t>The advertisement will state the number of vouchers available to be project-based, the type of units that will be considered, the submission deadline, and will note how to obtain the full RFP with information on the application and selection process. Advertisements will also contain a statement that participation in the PBV program requires compliance with Fair Housing and Equal Opportunity (FHEO) requirements.</w:t>
      </w:r>
    </w:p>
    <w:p w:rsidR="004E13A5" w:rsidRDefault="00681463">
      <w:pPr>
        <w:pStyle w:val="BodyText"/>
        <w:spacing w:before="120"/>
        <w:ind w:left="820" w:right="547"/>
      </w:pPr>
      <w:r>
        <w:t>In addition, the PHA will post the RFP and proposal submission and rating and ranking procedures on its website.</w:t>
      </w:r>
    </w:p>
    <w:p w:rsidR="004E13A5" w:rsidRDefault="00681463">
      <w:pPr>
        <w:pStyle w:val="BodyText"/>
        <w:spacing w:before="120"/>
        <w:ind w:left="820" w:right="81"/>
      </w:pPr>
      <w:r>
        <w:t>The PHA will publish its advertisement in the newspapers and/or trade journals mentioned above for at least one day per week for three consecutive weeks. The advertisement will specify the number of units the PHA estimates that it will be able to assist under the funding the PHA is making available. Proposals will be due in the PHA office by close of business 30 calendar days from the date of the last publication.</w:t>
      </w:r>
    </w:p>
    <w:p w:rsidR="004E13A5" w:rsidRDefault="00681463">
      <w:pPr>
        <w:pStyle w:val="BodyText"/>
        <w:ind w:left="820" w:right="268"/>
      </w:pPr>
      <w:r>
        <w:t>In order for the proposal to be considered, the owner must submit the proposal to the PHA by the published deadline date, and the proposal must respond to all requirements as outlined in the RFP. Incomplete proposals will not be reviewed.</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320" w:right="82"/>
      </w:pPr>
      <w:r>
        <w:lastRenderedPageBreak/>
        <w:t>The PHA will rate and rank proposals for rehabilitated and newly constructed housing using the following criteria:</w:t>
      </w:r>
    </w:p>
    <w:p w:rsidR="004E13A5" w:rsidRDefault="00681463">
      <w:pPr>
        <w:pStyle w:val="BodyText"/>
        <w:spacing w:before="120"/>
        <w:ind w:left="1040" w:right="82"/>
      </w:pPr>
      <w:r>
        <w:t>Owner experience and capability to build or rehabilitate housing as identified in the RFP;</w:t>
      </w:r>
    </w:p>
    <w:p w:rsidR="004E13A5" w:rsidRDefault="00681463">
      <w:pPr>
        <w:pStyle w:val="BodyText"/>
        <w:ind w:left="1040" w:right="395"/>
      </w:pPr>
      <w:r>
        <w:t>Extent to which the project furthers the PHA goal of deconcentrating poverty and expanding housing and economic opportunities;</w:t>
      </w:r>
    </w:p>
    <w:p w:rsidR="004E13A5" w:rsidRDefault="00681463">
      <w:pPr>
        <w:pStyle w:val="BodyText"/>
        <w:ind w:left="1040" w:right="416"/>
      </w:pPr>
      <w:r>
        <w:t>If applicable, the extent to which services for special populations are provided on site or in the immediate area for occupants of the property; and</w:t>
      </w:r>
    </w:p>
    <w:p w:rsidR="004E13A5" w:rsidRDefault="00681463">
      <w:pPr>
        <w:pStyle w:val="BodyText"/>
        <w:ind w:left="1040" w:right="195"/>
      </w:pPr>
      <w:r>
        <w:t>Projects with less than 25 percent of the units assisted will be rated higher than projects with 25 percent of the units assisted. In the case of projects for occupancy by the elderly, persons with disabilities or families needing other services, the PHA will rate partially assisted projects on the percent of units assisted. Projects with the lowest percent of assisted units will receive the highest score.</w:t>
      </w:r>
    </w:p>
    <w:p w:rsidR="004E13A5" w:rsidRDefault="00681463">
      <w:pPr>
        <w:pStyle w:val="BodyText"/>
        <w:ind w:left="320"/>
      </w:pPr>
      <w:r>
        <w:rPr>
          <w:u w:val="single"/>
        </w:rPr>
        <w:t>PHA Requests for Proposals for Existing Housing Units</w:t>
      </w:r>
    </w:p>
    <w:p w:rsidR="004E13A5" w:rsidRDefault="00681463">
      <w:pPr>
        <w:pStyle w:val="BodyText"/>
        <w:ind w:left="320" w:right="254"/>
      </w:pPr>
      <w:r>
        <w:t>The PHA will advertise its request for proposals (RFP) for existing housing in newspapers and/or trade journals.</w:t>
      </w:r>
    </w:p>
    <w:p w:rsidR="004E13A5" w:rsidRDefault="00681463">
      <w:pPr>
        <w:pStyle w:val="BodyText"/>
        <w:ind w:left="320" w:right="82"/>
      </w:pPr>
      <w:r>
        <w:t xml:space="preserve">The World Newspaper, South Coast </w:t>
      </w:r>
      <w:r w:rsidR="00653A80">
        <w:t>Shopper, Coos</w:t>
      </w:r>
      <w:r>
        <w:t xml:space="preserve"> Bay and North Bend City Websites, </w:t>
      </w:r>
      <w:r w:rsidR="00653A80">
        <w:t>Facebook, North</w:t>
      </w:r>
      <w:r>
        <w:t xml:space="preserve"> Bend / Coos Curry Housing Authority Website</w:t>
      </w:r>
    </w:p>
    <w:p w:rsidR="004E13A5" w:rsidRDefault="004E13A5">
      <w:pPr>
        <w:pStyle w:val="BodyText"/>
        <w:spacing w:before="0"/>
        <w:ind w:left="0"/>
        <w:rPr>
          <w:sz w:val="26"/>
        </w:rPr>
      </w:pPr>
    </w:p>
    <w:p w:rsidR="004E13A5" w:rsidRDefault="00681463">
      <w:pPr>
        <w:pStyle w:val="BodyText"/>
        <w:spacing w:before="216"/>
        <w:ind w:left="320" w:right="196"/>
      </w:pPr>
      <w:r>
        <w:t>The advertisement will state the number of vouchers available to be project-based, the type of units that will be considered, the submission deadline, and will note how to obtain the full RFP with information on the application and selection process. Advertisements will also contain a statement that participation in the PBV program requires compliance with Fair Housing and Equal Opportunity (FHEO) requirements.</w:t>
      </w:r>
    </w:p>
    <w:p w:rsidR="004E13A5" w:rsidRDefault="00681463">
      <w:pPr>
        <w:pStyle w:val="BodyText"/>
        <w:ind w:left="320" w:right="334"/>
      </w:pPr>
      <w:r>
        <w:t>In addition, the PHA will post the notice inviting such proposal submission and the rating and ranking procedures on its website.</w:t>
      </w:r>
    </w:p>
    <w:p w:rsidR="004E13A5" w:rsidRDefault="00681463">
      <w:pPr>
        <w:pStyle w:val="BodyText"/>
        <w:ind w:left="320" w:right="102"/>
      </w:pPr>
      <w:r>
        <w:t>The PHA will periodically publish its advertisement in the newspapers and/or trade journals mentioned above for at least one day per week for three consecutive weeks. The advertisement will specify the number of units the PHA estimates that it will be able to assist under the funding the PHA is making available. Owner proposals will be accepted on a first-come first-served basis and will be evaluated using the following criteria:</w:t>
      </w:r>
    </w:p>
    <w:p w:rsidR="004E13A5" w:rsidRDefault="00681463">
      <w:pPr>
        <w:pStyle w:val="BodyText"/>
        <w:ind w:left="1040" w:right="123"/>
      </w:pPr>
      <w:r>
        <w:t>Experience as an owner in the tenant-based voucher program and owner compliance with the owner’s obligations under the tenant-based program;</w:t>
      </w:r>
    </w:p>
    <w:p w:rsidR="004E13A5" w:rsidRDefault="00681463">
      <w:pPr>
        <w:pStyle w:val="BodyText"/>
        <w:ind w:left="1040" w:right="82"/>
      </w:pPr>
      <w:r>
        <w:t>Extent to which the project furthers the PHA goal of deconcentrating poverty and expanding housing and economic opportunities;</w:t>
      </w:r>
    </w:p>
    <w:p w:rsidR="004E13A5" w:rsidRDefault="00681463">
      <w:pPr>
        <w:pStyle w:val="BodyText"/>
        <w:ind w:left="1040" w:right="116"/>
      </w:pPr>
      <w:r>
        <w:t>If applicable, extent to which services for special populations are provided on site or in the immediate area for occupants of the property; and</w:t>
      </w:r>
    </w:p>
    <w:p w:rsidR="004E13A5" w:rsidRDefault="00681463">
      <w:pPr>
        <w:pStyle w:val="BodyText"/>
        <w:ind w:left="1040" w:right="289"/>
      </w:pPr>
      <w:r>
        <w:t>Extent to which units are occupied by families that are eligible to participate in the PBV program.</w:t>
      </w:r>
    </w:p>
    <w:p w:rsidR="004E13A5" w:rsidRDefault="00681463">
      <w:pPr>
        <w:pStyle w:val="BodyText"/>
        <w:ind w:left="320" w:right="82"/>
      </w:pPr>
      <w:r>
        <w:rPr>
          <w:u w:val="single"/>
        </w:rPr>
        <w:t>PHA Selection of Proposals Subject to a Previous Competition under a Federal, State, or Local Housing Assistance Program</w:t>
      </w:r>
    </w:p>
    <w:p w:rsidR="004E13A5" w:rsidRDefault="004E13A5">
      <w:pPr>
        <w:sectPr w:rsidR="004E13A5">
          <w:pgSz w:w="12240" w:h="15840"/>
          <w:pgMar w:top="1000" w:right="1240" w:bottom="1240" w:left="1720" w:header="0" w:footer="998" w:gutter="0"/>
          <w:cols w:space="720"/>
        </w:sectPr>
      </w:pPr>
    </w:p>
    <w:p w:rsidR="004E13A5" w:rsidRDefault="00681463">
      <w:pPr>
        <w:pStyle w:val="BodyText"/>
        <w:spacing w:before="79"/>
        <w:ind w:left="820"/>
      </w:pPr>
      <w:r>
        <w:lastRenderedPageBreak/>
        <w:t>The PHA will accept proposals for PBV assistance from owners that were competitively selected under another federal, state or local housing assistance program, including projects that were competitively awarded Low-Income Housing Tax Credits on an ongoing basis.</w:t>
      </w:r>
    </w:p>
    <w:p w:rsidR="004E13A5" w:rsidRDefault="00681463">
      <w:pPr>
        <w:pStyle w:val="BodyText"/>
        <w:spacing w:before="120"/>
        <w:ind w:left="820" w:right="409"/>
      </w:pPr>
      <w:r>
        <w:t>The PHA may periodically advertise that it is accepting proposals, in newspapers and/or trade journals:</w:t>
      </w:r>
    </w:p>
    <w:p w:rsidR="004E13A5" w:rsidRDefault="00681463">
      <w:pPr>
        <w:pStyle w:val="BodyText"/>
        <w:spacing w:before="120"/>
        <w:ind w:left="820"/>
      </w:pPr>
      <w:r>
        <w:t>The World Newspaper, South Coast Shopper,Coos Bay and North Bend City Websites, Facebook,North Bend / Coos Curry Housing Authority Website</w:t>
      </w:r>
    </w:p>
    <w:p w:rsidR="004E13A5" w:rsidRDefault="004E13A5">
      <w:pPr>
        <w:pStyle w:val="BodyText"/>
        <w:spacing w:before="0"/>
        <w:ind w:left="0"/>
        <w:rPr>
          <w:sz w:val="26"/>
        </w:rPr>
      </w:pPr>
    </w:p>
    <w:p w:rsidR="004E13A5" w:rsidRDefault="00681463">
      <w:pPr>
        <w:pStyle w:val="BodyText"/>
        <w:spacing w:before="217"/>
        <w:ind w:left="820" w:right="136"/>
      </w:pPr>
      <w:r>
        <w:t>The advertisement will state the number of vouchers available to be project-based, the type of units that will be considered, the submission deadline, and will note how to obtain the full RFP with information on the application and selection process. Advertisements will also contain a statement that participation in the PBV program requires compliance with Fair Housing and Equal Opportunity (FHEO) requirements.</w:t>
      </w:r>
    </w:p>
    <w:p w:rsidR="004E13A5" w:rsidRDefault="00681463">
      <w:pPr>
        <w:pStyle w:val="BodyText"/>
        <w:spacing w:before="120"/>
        <w:ind w:left="820"/>
      </w:pPr>
      <w:r>
        <w:t>In addition to, or in place of advertising, the PHA may also directly contact specific owners that have already been selected for Federal, state, or local housing assistance based on a previously held competition, to inform them of available PBV assistance.</w:t>
      </w:r>
    </w:p>
    <w:p w:rsidR="004E13A5" w:rsidRDefault="00681463">
      <w:pPr>
        <w:pStyle w:val="BodyText"/>
        <w:spacing w:before="120"/>
        <w:ind w:left="820" w:right="255"/>
      </w:pPr>
      <w:r>
        <w:t>Proposals will be reviewed on a first-come first-served basis. The PHA will evaluate each proposal on its merits using the following factors:</w:t>
      </w:r>
    </w:p>
    <w:p w:rsidR="004E13A5" w:rsidRDefault="00681463">
      <w:pPr>
        <w:pStyle w:val="BodyText"/>
        <w:spacing w:before="120"/>
        <w:ind w:left="1540"/>
      </w:pPr>
      <w:r>
        <w:t>Extent to which the project furthers the PHA goal of deconcentrating poverty and expanding housing and economic opportunities; and</w:t>
      </w:r>
    </w:p>
    <w:p w:rsidR="004E13A5" w:rsidRDefault="00681463">
      <w:pPr>
        <w:pStyle w:val="BodyText"/>
        <w:spacing w:before="120"/>
        <w:ind w:left="1540" w:right="421"/>
      </w:pPr>
      <w:r>
        <w:t>Extent to which the proposal complements other local activities such as the redevelopment of a public housing site under the HOPE VI program, the HOME program, CDBG activities, other development activities in a HUD-designated Enterprise Zone, Economic Community, Choice Neighborhood, or Renewal Community.</w:t>
      </w:r>
    </w:p>
    <w:p w:rsidR="004E13A5" w:rsidRDefault="00681463">
      <w:pPr>
        <w:pStyle w:val="Heading4"/>
        <w:spacing w:before="120"/>
      </w:pPr>
      <w:bookmarkStart w:id="330" w:name="_TOC_250101"/>
      <w:bookmarkEnd w:id="330"/>
      <w:r>
        <w:t>PHA-Owned Units [24 CFR 983.51(e), 983.59, FR Notice 1/18/17, and Notice PIH 2017-21]</w:t>
      </w:r>
    </w:p>
    <w:p w:rsidR="004E13A5" w:rsidRDefault="00681463">
      <w:pPr>
        <w:pStyle w:val="BodyText"/>
        <w:spacing w:before="120"/>
        <w:ind w:right="141"/>
      </w:pPr>
      <w:r>
        <w:t>A PHA-owned unit may be assisted under the PBV program only if the HUD field office or HUD- approved independent entity reviews the selection process and determines that the PHA-owned units were appropriately selected based on the selection procedures specified in the PHA administrative plan. If the PHA selects a proposal for housing that is owned or controlled by the PHA, the PHA must identify the entity that will review the PHA proposal selection process and perform specific functions with respect to rent determinations and inspections.</w:t>
      </w:r>
    </w:p>
    <w:p w:rsidR="004E13A5" w:rsidRDefault="00681463">
      <w:pPr>
        <w:pStyle w:val="BodyText"/>
        <w:spacing w:before="120"/>
        <w:ind w:right="186"/>
        <w:jc w:val="both"/>
      </w:pPr>
      <w:r>
        <w:t>In the case of PHA-owned units, the term of the HAP contract and any Hap contract renewal must be agreed upon by the PHA and a HUD-approved independent entity. In addition, an independent entity must determine the rent to owner, the re-determined rent to owner and reasonable rent.</w:t>
      </w:r>
    </w:p>
    <w:p w:rsidR="004E13A5" w:rsidRDefault="00681463">
      <w:pPr>
        <w:pStyle w:val="BodyText"/>
        <w:spacing w:before="0"/>
      </w:pPr>
      <w:r>
        <w:t>Housing quality standards inspections must also be conducted by an independent entity.</w:t>
      </w:r>
    </w:p>
    <w:p w:rsidR="004E13A5" w:rsidRDefault="00681463">
      <w:pPr>
        <w:pStyle w:val="BodyText"/>
        <w:spacing w:before="120"/>
        <w:ind w:right="128"/>
      </w:pPr>
      <w:r>
        <w:t>The independent entity that performs these program services may be the unit of general local government for the PHA jurisdiction (unless the PHA is itself the unit of general local government or an agency of such government) or another HUD-approved public or private independent entity.</w:t>
      </w:r>
    </w:p>
    <w:p w:rsidR="004E13A5" w:rsidRDefault="00681463">
      <w:pPr>
        <w:pStyle w:val="BodyText"/>
        <w:spacing w:before="120"/>
        <w:ind w:left="820"/>
      </w:pPr>
      <w:r>
        <w:rPr>
          <w:u w:val="single"/>
        </w:rPr>
        <w:t>PHA Policy</w:t>
      </w:r>
    </w:p>
    <w:p w:rsidR="004E13A5" w:rsidRDefault="00681463">
      <w:pPr>
        <w:pStyle w:val="BodyText"/>
        <w:spacing w:before="120"/>
        <w:ind w:left="820" w:right="108"/>
      </w:pPr>
      <w:r>
        <w:t>The PHA may submit a proposal for project-based housing that is owned or controlled by the PHA.  If the proposal for PHA-owned housing is selected, the PHA will use an external</w:t>
      </w:r>
    </w:p>
    <w:p w:rsidR="004E13A5" w:rsidRDefault="004E13A5">
      <w:pPr>
        <w:sectPr w:rsidR="004E13A5">
          <w:pgSz w:w="12240" w:h="15840"/>
          <w:pgMar w:top="1000" w:right="1300" w:bottom="1240" w:left="1220" w:header="0" w:footer="998" w:gutter="0"/>
          <w:cols w:space="720"/>
        </w:sectPr>
      </w:pPr>
    </w:p>
    <w:p w:rsidR="004E13A5" w:rsidRDefault="00681463">
      <w:pPr>
        <w:pStyle w:val="BodyText"/>
        <w:spacing w:before="79"/>
        <w:ind w:left="820" w:right="662"/>
        <w:jc w:val="both"/>
      </w:pPr>
      <w:r>
        <w:lastRenderedPageBreak/>
        <w:t>entity to review the PHA selection and to administer the PBV program. The PHA will obtain HUD approval of external entity prior to selecting the proposal for PHA-owned housing.</w:t>
      </w:r>
    </w:p>
    <w:p w:rsidR="004E13A5" w:rsidRDefault="00681463">
      <w:pPr>
        <w:pStyle w:val="BodyText"/>
        <w:spacing w:before="120"/>
        <w:ind w:right="196"/>
      </w:pPr>
      <w:r>
        <w:t>The PHA may only compensate the independent entity from PHA ongoing administrative fee income (including amounts credited to the administrative fee reserve). The PHA may not use other program receipts to compensate the independent entity for its services. The PHA and independent entity may not charge the family any fee for the appraisal or the services provided by the independent entity.</w:t>
      </w:r>
    </w:p>
    <w:p w:rsidR="004E13A5" w:rsidRDefault="00681463">
      <w:pPr>
        <w:pStyle w:val="Heading4"/>
        <w:spacing w:before="120"/>
      </w:pPr>
      <w:bookmarkStart w:id="331" w:name="_TOC_250100"/>
      <w:bookmarkEnd w:id="331"/>
      <w:r>
        <w:t>PHA Notice of Owner Selection [24 CFR 983.51(d)]</w:t>
      </w:r>
    </w:p>
    <w:p w:rsidR="004E13A5" w:rsidRDefault="00681463">
      <w:pPr>
        <w:pStyle w:val="BodyText"/>
        <w:spacing w:before="120"/>
        <w:ind w:right="237"/>
        <w:jc w:val="both"/>
      </w:pPr>
      <w:r>
        <w:t>The PHA must give prompt written notice to the party that submitted a selected proposal and must also give prompt public notice of such selection. Public notice procedures may include</w:t>
      </w:r>
      <w:r>
        <w:rPr>
          <w:spacing w:val="-17"/>
        </w:rPr>
        <w:t xml:space="preserve"> </w:t>
      </w:r>
      <w:r>
        <w:t>publication of public notice in a local newspaper of general circulation and other means designed and actually operated to provide broad public</w:t>
      </w:r>
      <w:r>
        <w:rPr>
          <w:spacing w:val="-6"/>
        </w:rPr>
        <w:t xml:space="preserve"> </w:t>
      </w:r>
      <w:r>
        <w:t>notice.</w:t>
      </w:r>
    </w:p>
    <w:p w:rsidR="004E13A5" w:rsidRDefault="00681463">
      <w:pPr>
        <w:pStyle w:val="BodyText"/>
        <w:spacing w:before="120"/>
        <w:ind w:left="820"/>
      </w:pPr>
      <w:r>
        <w:rPr>
          <w:u w:val="single"/>
        </w:rPr>
        <w:t>PHA Policy</w:t>
      </w:r>
    </w:p>
    <w:p w:rsidR="004E13A5" w:rsidRDefault="00681463">
      <w:pPr>
        <w:pStyle w:val="BodyText"/>
        <w:ind w:left="820" w:right="104"/>
      </w:pPr>
      <w:r>
        <w:t>Within 10 business days of the PHA making the selection, the PHA will notify the selected owner in writing of the owner’s selection for the PBV program.  The PHA will also notify in writing all owners that submitted proposals that were not selected and advise such</w:t>
      </w:r>
      <w:r>
        <w:rPr>
          <w:spacing w:val="-14"/>
        </w:rPr>
        <w:t xml:space="preserve"> </w:t>
      </w:r>
      <w:r>
        <w:t>owners of the name of the selected</w:t>
      </w:r>
      <w:r>
        <w:rPr>
          <w:spacing w:val="-9"/>
        </w:rPr>
        <w:t xml:space="preserve"> </w:t>
      </w:r>
      <w:r>
        <w:t>owner.</w:t>
      </w:r>
    </w:p>
    <w:p w:rsidR="004E13A5" w:rsidRDefault="00681463">
      <w:pPr>
        <w:pStyle w:val="BodyText"/>
        <w:ind w:left="820" w:right="183"/>
      </w:pPr>
      <w:r>
        <w:t>In addition, the PHA will publish its notice for selection of PBV proposals for two consecutive days in the same newspapers and/or trade journals the PHA used to solicit the proposals. The announcement will include the name of the owner that was selected for the PBV program. The PHA will also post the notice of owner selection on its electronic web site.</w:t>
      </w:r>
    </w:p>
    <w:p w:rsidR="004E13A5" w:rsidRDefault="00681463">
      <w:pPr>
        <w:pStyle w:val="BodyText"/>
        <w:ind w:left="820" w:right="255"/>
      </w:pPr>
      <w:r>
        <w:t>The PHA will make available to any interested party its rating and ranking sheets and documents that identify the PHA basis for selecting the proposal. These documents will be available for review by the public and other interested parties for one month after publication of the notice of owner selection. The PHA will not make available sensitive owner information that is privileged, such as financial statements and similar information about the owner.</w:t>
      </w:r>
    </w:p>
    <w:p w:rsidR="004E13A5" w:rsidRDefault="00681463">
      <w:pPr>
        <w:pStyle w:val="BodyText"/>
        <w:ind w:left="820" w:right="183"/>
      </w:pPr>
      <w:r>
        <w:t>The PHA will make these documents available for review at the PHA during normal business hours. The cost for reproduction of allowable documents will be $.25 per page.</w:t>
      </w:r>
    </w:p>
    <w:p w:rsidR="004E13A5" w:rsidRDefault="004E13A5">
      <w:pPr>
        <w:pStyle w:val="BodyText"/>
        <w:spacing w:before="9"/>
        <w:ind w:left="0"/>
        <w:rPr>
          <w:sz w:val="20"/>
        </w:rPr>
      </w:pPr>
    </w:p>
    <w:p w:rsidR="004E13A5" w:rsidRDefault="00681463">
      <w:pPr>
        <w:pStyle w:val="Heading4"/>
      </w:pPr>
      <w:bookmarkStart w:id="332" w:name="_TOC_250099"/>
      <w:bookmarkEnd w:id="332"/>
      <w:r>
        <w:t>17-II.C. HOUSING TYPE [24 CFR 983.52]</w:t>
      </w:r>
    </w:p>
    <w:p w:rsidR="004E13A5" w:rsidRDefault="00681463">
      <w:pPr>
        <w:pStyle w:val="BodyText"/>
      </w:pPr>
      <w:r>
        <w:t xml:space="preserve">The PHA may attach PBV assistance for units in existing housing or for newly constructed or rehabilitated housing developed under and in accordance with an agreement to enter into a housing assistance payments contract that was executed prior to the start of construction. A housing unit is considered an existing unit for purposes of the PBV program, if, at the time of notice of PHA selection, the units substantially comply with </w:t>
      </w:r>
      <w:r w:rsidR="002C4221">
        <w:t>NSPIRE</w:t>
      </w:r>
      <w:r>
        <w:t>. Units for which new construction or rehabilitation began after the owner's proposal submission but prior to the execution of the HAP do not subsequently qualify as existing housing. Units that were newly constructed or rehabilitated in violation of program requirements also do not qualify as existing housing.</w:t>
      </w:r>
    </w:p>
    <w:p w:rsidR="004E13A5" w:rsidRDefault="00681463">
      <w:pPr>
        <w:pStyle w:val="BodyText"/>
        <w:ind w:right="137"/>
        <w:jc w:val="both"/>
      </w:pPr>
      <w:r>
        <w:t>The PHA must decide what housing type, new construction, rehabilitation, or existing housing,</w:t>
      </w:r>
      <w:r>
        <w:rPr>
          <w:spacing w:val="-16"/>
        </w:rPr>
        <w:t xml:space="preserve"> </w:t>
      </w:r>
      <w:r>
        <w:t>will be used to develop project-based housing. The PHA choice of housing type must be reflected in its solicitation for</w:t>
      </w:r>
      <w:r>
        <w:rPr>
          <w:spacing w:val="-6"/>
        </w:rPr>
        <w:t xml:space="preserve"> </w:t>
      </w:r>
      <w:r>
        <w:t>proposals.</w:t>
      </w:r>
    </w:p>
    <w:p w:rsidR="004E13A5" w:rsidRDefault="004E13A5">
      <w:pPr>
        <w:jc w:val="both"/>
        <w:sectPr w:rsidR="004E13A5">
          <w:pgSz w:w="12240" w:h="15840"/>
          <w:pgMar w:top="1000" w:right="1220" w:bottom="1240" w:left="1220" w:header="0" w:footer="998" w:gutter="0"/>
          <w:cols w:space="720"/>
        </w:sectPr>
      </w:pPr>
    </w:p>
    <w:p w:rsidR="004E13A5" w:rsidRDefault="00681463">
      <w:pPr>
        <w:pStyle w:val="Heading4"/>
        <w:spacing w:before="79"/>
      </w:pPr>
      <w:bookmarkStart w:id="333" w:name="_TOC_250098"/>
      <w:bookmarkEnd w:id="333"/>
      <w:r>
        <w:lastRenderedPageBreak/>
        <w:t>17-II.D. PROHIBITION OF ASSISTANCE FOR CERTAIN UNITS</w:t>
      </w:r>
    </w:p>
    <w:p w:rsidR="004E13A5" w:rsidRDefault="00681463">
      <w:pPr>
        <w:pStyle w:val="Heading4"/>
        <w:spacing w:before="120"/>
      </w:pPr>
      <w:bookmarkStart w:id="334" w:name="_TOC_250097"/>
      <w:bookmarkEnd w:id="334"/>
      <w:r>
        <w:t>Ineligible Housing Types [24 CFR 983.53]</w:t>
      </w:r>
    </w:p>
    <w:p w:rsidR="004E13A5" w:rsidRDefault="00681463">
      <w:pPr>
        <w:pStyle w:val="BodyText"/>
        <w:ind w:right="96"/>
      </w:pPr>
      <w:r>
        <w:t>The PHA may not attach or pay PBV assistance to shared housing units; units on the grounds of a penal reformatory, medical, mental, or similar public or private institution; nursing homes or facilities providing continuous psychiatric, medical, nursing services, board and care, or intermediate care (except that assistance may be provided in assisted living facilities); units that are owned or controlled by an educational institution or its affiliate and are designated for occupancy by students; manufactured homes; and transitional housing. In addition, the PHA may not attach or pay PBV assistance for a unit occupied by an owner and the PHA may not select or enter into an agreement to enter into a HAP contract or HAP contract for a unit occupied by a family ineligible for participation in the PBV program. A member of a cooperative who owns shares in the project assisted under the PBV program is not considered an owner for purposes of participation in the PBV program. Finally, PBV assistance may not be attached to units for which construction or rehabilitation has started after the proposal submission and prior to the execution of an AHAP.</w:t>
      </w:r>
    </w:p>
    <w:p w:rsidR="004E13A5" w:rsidRDefault="00681463">
      <w:pPr>
        <w:pStyle w:val="Heading4"/>
        <w:spacing w:before="119"/>
      </w:pPr>
      <w:bookmarkStart w:id="335" w:name="_TOC_250096"/>
      <w:bookmarkEnd w:id="335"/>
      <w:r>
        <w:t>Subsidized Housing [24 CFR 983.54]</w:t>
      </w:r>
    </w:p>
    <w:p w:rsidR="004E13A5" w:rsidRDefault="00681463">
      <w:pPr>
        <w:pStyle w:val="BodyText"/>
      </w:pPr>
      <w:r>
        <w:t>A PHA may not attach or pay PBV assistance to units in any of the following types of subsidized housing:</w:t>
      </w:r>
    </w:p>
    <w:p w:rsidR="004E13A5" w:rsidRDefault="00681463">
      <w:pPr>
        <w:pStyle w:val="ListParagraph"/>
        <w:numPr>
          <w:ilvl w:val="0"/>
          <w:numId w:val="93"/>
        </w:numPr>
        <w:tabs>
          <w:tab w:val="left" w:pos="460"/>
          <w:tab w:val="left" w:pos="461"/>
        </w:tabs>
        <w:rPr>
          <w:rFonts w:ascii="Symbol"/>
          <w:sz w:val="24"/>
        </w:rPr>
      </w:pPr>
      <w:r>
        <w:rPr>
          <w:sz w:val="24"/>
        </w:rPr>
        <w:t>A public housing</w:t>
      </w:r>
      <w:r>
        <w:rPr>
          <w:spacing w:val="-5"/>
          <w:sz w:val="24"/>
        </w:rPr>
        <w:t xml:space="preserve"> </w:t>
      </w:r>
      <w:r>
        <w:rPr>
          <w:sz w:val="24"/>
        </w:rPr>
        <w:t>unit;</w:t>
      </w:r>
    </w:p>
    <w:p w:rsidR="004E13A5" w:rsidRDefault="00681463">
      <w:pPr>
        <w:pStyle w:val="ListParagraph"/>
        <w:numPr>
          <w:ilvl w:val="0"/>
          <w:numId w:val="93"/>
        </w:numPr>
        <w:tabs>
          <w:tab w:val="left" w:pos="460"/>
          <w:tab w:val="left" w:pos="461"/>
        </w:tabs>
        <w:rPr>
          <w:rFonts w:ascii="Symbol"/>
          <w:sz w:val="24"/>
        </w:rPr>
      </w:pPr>
      <w:r>
        <w:rPr>
          <w:sz w:val="24"/>
        </w:rPr>
        <w:t>A unit subsidized with any other form of Section 8</w:t>
      </w:r>
      <w:r>
        <w:rPr>
          <w:spacing w:val="-12"/>
          <w:sz w:val="24"/>
        </w:rPr>
        <w:t xml:space="preserve"> </w:t>
      </w:r>
      <w:r>
        <w:rPr>
          <w:sz w:val="24"/>
        </w:rPr>
        <w:t>assistance;</w:t>
      </w:r>
    </w:p>
    <w:p w:rsidR="004E13A5" w:rsidRDefault="00681463">
      <w:pPr>
        <w:pStyle w:val="ListParagraph"/>
        <w:numPr>
          <w:ilvl w:val="0"/>
          <w:numId w:val="93"/>
        </w:numPr>
        <w:tabs>
          <w:tab w:val="left" w:pos="460"/>
          <w:tab w:val="left" w:pos="461"/>
        </w:tabs>
        <w:rPr>
          <w:rFonts w:ascii="Symbol"/>
          <w:sz w:val="24"/>
        </w:rPr>
      </w:pPr>
      <w:r>
        <w:rPr>
          <w:sz w:val="24"/>
        </w:rPr>
        <w:t>A unit subsidized with any governmental rent</w:t>
      </w:r>
      <w:r>
        <w:rPr>
          <w:spacing w:val="-11"/>
          <w:sz w:val="24"/>
        </w:rPr>
        <w:t xml:space="preserve"> </w:t>
      </w:r>
      <w:r>
        <w:rPr>
          <w:sz w:val="24"/>
        </w:rPr>
        <w:t>subsidy;</w:t>
      </w:r>
    </w:p>
    <w:p w:rsidR="004E13A5" w:rsidRDefault="00681463">
      <w:pPr>
        <w:pStyle w:val="ListParagraph"/>
        <w:numPr>
          <w:ilvl w:val="0"/>
          <w:numId w:val="93"/>
        </w:numPr>
        <w:tabs>
          <w:tab w:val="left" w:pos="460"/>
          <w:tab w:val="left" w:pos="461"/>
        </w:tabs>
        <w:ind w:right="470"/>
        <w:rPr>
          <w:rFonts w:ascii="Symbol"/>
          <w:sz w:val="24"/>
        </w:rPr>
      </w:pPr>
      <w:r>
        <w:rPr>
          <w:sz w:val="24"/>
        </w:rPr>
        <w:t>A unit subsidized with any governmental subsidy that covers all or any part of the</w:t>
      </w:r>
      <w:r>
        <w:rPr>
          <w:spacing w:val="-17"/>
          <w:sz w:val="24"/>
        </w:rPr>
        <w:t xml:space="preserve"> </w:t>
      </w:r>
      <w:r>
        <w:rPr>
          <w:sz w:val="24"/>
        </w:rPr>
        <w:t>operating costs of the</w:t>
      </w:r>
      <w:r>
        <w:rPr>
          <w:spacing w:val="-7"/>
          <w:sz w:val="24"/>
        </w:rPr>
        <w:t xml:space="preserve"> </w:t>
      </w:r>
      <w:r>
        <w:rPr>
          <w:sz w:val="24"/>
        </w:rPr>
        <w:t>housing;</w:t>
      </w:r>
    </w:p>
    <w:p w:rsidR="004E13A5" w:rsidRDefault="00681463">
      <w:pPr>
        <w:pStyle w:val="ListParagraph"/>
        <w:numPr>
          <w:ilvl w:val="0"/>
          <w:numId w:val="93"/>
        </w:numPr>
        <w:tabs>
          <w:tab w:val="left" w:pos="460"/>
          <w:tab w:val="left" w:pos="461"/>
        </w:tabs>
        <w:spacing w:line="242" w:lineRule="auto"/>
        <w:ind w:right="332"/>
        <w:rPr>
          <w:rFonts w:ascii="Symbol"/>
          <w:sz w:val="24"/>
        </w:rPr>
      </w:pPr>
      <w:r>
        <w:rPr>
          <w:sz w:val="24"/>
        </w:rPr>
        <w:t>A unit subsidized with Section 236 rental assistance payments (except that a PHA may</w:t>
      </w:r>
      <w:r>
        <w:rPr>
          <w:spacing w:val="-18"/>
          <w:sz w:val="24"/>
        </w:rPr>
        <w:t xml:space="preserve"> </w:t>
      </w:r>
      <w:r>
        <w:rPr>
          <w:sz w:val="24"/>
        </w:rPr>
        <w:t>attach assistance to a unit subsidized with Section 236 interest reduction</w:t>
      </w:r>
      <w:r>
        <w:rPr>
          <w:spacing w:val="-13"/>
          <w:sz w:val="24"/>
        </w:rPr>
        <w:t xml:space="preserve"> </w:t>
      </w:r>
      <w:r>
        <w:rPr>
          <w:sz w:val="24"/>
        </w:rPr>
        <w:t>payments);</w:t>
      </w:r>
    </w:p>
    <w:p w:rsidR="004E13A5" w:rsidRDefault="00681463">
      <w:pPr>
        <w:pStyle w:val="ListParagraph"/>
        <w:numPr>
          <w:ilvl w:val="0"/>
          <w:numId w:val="93"/>
        </w:numPr>
        <w:tabs>
          <w:tab w:val="left" w:pos="460"/>
          <w:tab w:val="left" w:pos="461"/>
        </w:tabs>
        <w:spacing w:before="116"/>
        <w:rPr>
          <w:rFonts w:ascii="Symbol"/>
          <w:sz w:val="24"/>
        </w:rPr>
      </w:pPr>
      <w:r>
        <w:rPr>
          <w:sz w:val="24"/>
        </w:rPr>
        <w:t>A Section 202 project for non-elderly with</w:t>
      </w:r>
      <w:r>
        <w:rPr>
          <w:spacing w:val="-11"/>
          <w:sz w:val="24"/>
        </w:rPr>
        <w:t xml:space="preserve"> </w:t>
      </w:r>
      <w:r>
        <w:rPr>
          <w:sz w:val="24"/>
        </w:rPr>
        <w:t>disabilities;</w:t>
      </w:r>
    </w:p>
    <w:p w:rsidR="004E13A5" w:rsidRDefault="00681463">
      <w:pPr>
        <w:pStyle w:val="ListParagraph"/>
        <w:numPr>
          <w:ilvl w:val="0"/>
          <w:numId w:val="93"/>
        </w:numPr>
        <w:tabs>
          <w:tab w:val="left" w:pos="460"/>
          <w:tab w:val="left" w:pos="461"/>
        </w:tabs>
        <w:spacing w:before="118"/>
        <w:rPr>
          <w:rFonts w:ascii="Symbol"/>
          <w:sz w:val="24"/>
        </w:rPr>
      </w:pPr>
      <w:r>
        <w:rPr>
          <w:sz w:val="24"/>
        </w:rPr>
        <w:t>Section 811 project-based supportive housing for persons with</w:t>
      </w:r>
      <w:r>
        <w:rPr>
          <w:spacing w:val="-6"/>
          <w:sz w:val="24"/>
        </w:rPr>
        <w:t xml:space="preserve"> </w:t>
      </w:r>
      <w:r>
        <w:rPr>
          <w:sz w:val="24"/>
        </w:rPr>
        <w:t>disabilities;</w:t>
      </w:r>
    </w:p>
    <w:p w:rsidR="004E13A5" w:rsidRDefault="00681463">
      <w:pPr>
        <w:pStyle w:val="ListParagraph"/>
        <w:numPr>
          <w:ilvl w:val="0"/>
          <w:numId w:val="93"/>
        </w:numPr>
        <w:tabs>
          <w:tab w:val="left" w:pos="460"/>
          <w:tab w:val="left" w:pos="461"/>
        </w:tabs>
        <w:spacing w:before="118"/>
        <w:rPr>
          <w:rFonts w:ascii="Symbol"/>
          <w:sz w:val="24"/>
        </w:rPr>
      </w:pPr>
      <w:r>
        <w:rPr>
          <w:sz w:val="24"/>
        </w:rPr>
        <w:t>Section 202 supportive housing for the</w:t>
      </w:r>
      <w:r>
        <w:rPr>
          <w:spacing w:val="-9"/>
          <w:sz w:val="24"/>
        </w:rPr>
        <w:t xml:space="preserve"> </w:t>
      </w:r>
      <w:r>
        <w:rPr>
          <w:sz w:val="24"/>
        </w:rPr>
        <w:t>elderly;</w:t>
      </w:r>
    </w:p>
    <w:p w:rsidR="004E13A5" w:rsidRDefault="00681463">
      <w:pPr>
        <w:pStyle w:val="ListParagraph"/>
        <w:numPr>
          <w:ilvl w:val="0"/>
          <w:numId w:val="93"/>
        </w:numPr>
        <w:tabs>
          <w:tab w:val="left" w:pos="460"/>
          <w:tab w:val="left" w:pos="461"/>
        </w:tabs>
        <w:spacing w:before="118"/>
        <w:rPr>
          <w:rFonts w:ascii="Symbol"/>
          <w:sz w:val="24"/>
        </w:rPr>
      </w:pPr>
      <w:r>
        <w:rPr>
          <w:sz w:val="24"/>
        </w:rPr>
        <w:t>A Section 101 rent supplement</w:t>
      </w:r>
      <w:r>
        <w:rPr>
          <w:spacing w:val="-8"/>
          <w:sz w:val="24"/>
        </w:rPr>
        <w:t xml:space="preserve"> </w:t>
      </w:r>
      <w:r>
        <w:rPr>
          <w:sz w:val="24"/>
        </w:rPr>
        <w:t>project;</w:t>
      </w:r>
    </w:p>
    <w:p w:rsidR="004E13A5" w:rsidRDefault="00681463">
      <w:pPr>
        <w:pStyle w:val="ListParagraph"/>
        <w:numPr>
          <w:ilvl w:val="0"/>
          <w:numId w:val="93"/>
        </w:numPr>
        <w:tabs>
          <w:tab w:val="left" w:pos="460"/>
          <w:tab w:val="left" w:pos="461"/>
        </w:tabs>
        <w:spacing w:before="118"/>
        <w:rPr>
          <w:rFonts w:ascii="Symbol"/>
          <w:sz w:val="24"/>
        </w:rPr>
      </w:pPr>
      <w:r>
        <w:rPr>
          <w:sz w:val="24"/>
        </w:rPr>
        <w:t>A unit subsidized with any form of tenant-based rental</w:t>
      </w:r>
      <w:r>
        <w:rPr>
          <w:spacing w:val="-10"/>
          <w:sz w:val="24"/>
        </w:rPr>
        <w:t xml:space="preserve"> </w:t>
      </w:r>
      <w:r>
        <w:rPr>
          <w:sz w:val="24"/>
        </w:rPr>
        <w:t>assistance;</w:t>
      </w:r>
    </w:p>
    <w:p w:rsidR="004E13A5" w:rsidRDefault="00681463">
      <w:pPr>
        <w:pStyle w:val="ListParagraph"/>
        <w:numPr>
          <w:ilvl w:val="0"/>
          <w:numId w:val="93"/>
        </w:numPr>
        <w:tabs>
          <w:tab w:val="left" w:pos="460"/>
          <w:tab w:val="left" w:pos="461"/>
        </w:tabs>
        <w:spacing w:before="118"/>
        <w:ind w:right="615"/>
        <w:rPr>
          <w:rFonts w:ascii="Symbol"/>
          <w:sz w:val="24"/>
        </w:rPr>
      </w:pPr>
      <w:r>
        <w:rPr>
          <w:sz w:val="24"/>
        </w:rPr>
        <w:t>A unit with any other duplicative federal, state, or local housing subsidy, as determined</w:t>
      </w:r>
      <w:r>
        <w:rPr>
          <w:spacing w:val="-15"/>
          <w:sz w:val="24"/>
        </w:rPr>
        <w:t xml:space="preserve"> </w:t>
      </w:r>
      <w:r>
        <w:rPr>
          <w:sz w:val="24"/>
        </w:rPr>
        <w:t>by HUD or the PHA in accordance with HUD</w:t>
      </w:r>
      <w:r>
        <w:rPr>
          <w:spacing w:val="-5"/>
          <w:sz w:val="24"/>
        </w:rPr>
        <w:t xml:space="preserve"> </w:t>
      </w:r>
      <w:r>
        <w:rPr>
          <w:sz w:val="24"/>
        </w:rPr>
        <w:t>requirements.</w:t>
      </w:r>
    </w:p>
    <w:p w:rsidR="004E13A5" w:rsidRDefault="004E13A5">
      <w:pPr>
        <w:pStyle w:val="BodyText"/>
        <w:spacing w:before="10"/>
        <w:ind w:left="0"/>
        <w:rPr>
          <w:sz w:val="20"/>
        </w:rPr>
      </w:pPr>
    </w:p>
    <w:p w:rsidR="004E13A5" w:rsidRDefault="00681463">
      <w:pPr>
        <w:pStyle w:val="Heading4"/>
      </w:pPr>
      <w:r>
        <w:t>17-II.E. SUBSIDY LAYERING REQUIREMENTS [24 CFR 983.55, Notice PIH 2013-11, and</w:t>
      </w:r>
    </w:p>
    <w:p w:rsidR="004E13A5" w:rsidRDefault="00681463">
      <w:pPr>
        <w:ind w:left="100"/>
        <w:rPr>
          <w:b/>
          <w:sz w:val="24"/>
        </w:rPr>
      </w:pPr>
      <w:r>
        <w:rPr>
          <w:b/>
          <w:sz w:val="24"/>
        </w:rPr>
        <w:t>FR Notice 2/28/20]</w:t>
      </w:r>
    </w:p>
    <w:p w:rsidR="004E13A5" w:rsidRDefault="00681463">
      <w:pPr>
        <w:pStyle w:val="BodyText"/>
        <w:spacing w:before="139"/>
        <w:ind w:right="136"/>
      </w:pPr>
      <w:r>
        <w:t>The subsidy layering review is intended to prevent excessive public assistance by combining (layering) housing assistance payment subsidy under the PBV program with other governmental housing assistance from federal, state, or local agencies, including assistance such as tax concessions or tax credits.</w:t>
      </w:r>
    </w:p>
    <w:p w:rsidR="004E13A5" w:rsidRDefault="00681463">
      <w:pPr>
        <w:pStyle w:val="BodyText"/>
        <w:ind w:right="135"/>
      </w:pPr>
      <w:r>
        <w:t>HUD requires new construction and rehabilitation housing that will include forms of governmental assistance other than PBVs to undergo a subsidy layering review (SLR) prior to entering into an</w:t>
      </w:r>
    </w:p>
    <w:p w:rsidR="004E13A5" w:rsidRDefault="004E13A5">
      <w:pPr>
        <w:sectPr w:rsidR="004E13A5">
          <w:pgSz w:w="12240" w:h="15840"/>
          <w:pgMar w:top="1000" w:right="1260" w:bottom="1240" w:left="1220" w:header="0" w:footer="998" w:gutter="0"/>
          <w:cols w:space="720"/>
        </w:sectPr>
      </w:pPr>
    </w:p>
    <w:p w:rsidR="004E13A5" w:rsidRDefault="00681463">
      <w:pPr>
        <w:pStyle w:val="BodyText"/>
        <w:spacing w:before="79"/>
        <w:ind w:right="156"/>
      </w:pPr>
      <w:r>
        <w:lastRenderedPageBreak/>
        <w:t>Agreement to Enter into Housing Assistance Payments Contract (AHAP). Subsidy layering requirements do not apply to existing housing, when PBV is the only governmental assistance, or for projects already subject to a PBV HAP contract, even if the project is recapitalized with outside sources of funding.</w:t>
      </w:r>
    </w:p>
    <w:p w:rsidR="004E13A5" w:rsidRDefault="00681463">
      <w:pPr>
        <w:pStyle w:val="BodyText"/>
        <w:spacing w:before="120"/>
        <w:ind w:right="89"/>
      </w:pPr>
      <w:r>
        <w:t>When a PHA selects a new construction or rehabilitation project, the PHA must require information regarding all HUD and/or other federal, state, or local governmental assistance to be disclosed by the project owner using Form HUD-2880. Appendix A of FR Notice 2/28/20 contains a list of all required documentation.</w:t>
      </w:r>
    </w:p>
    <w:p w:rsidR="004E13A5" w:rsidRDefault="00681463">
      <w:pPr>
        <w:pStyle w:val="BodyText"/>
        <w:spacing w:before="120"/>
        <w:ind w:right="271"/>
        <w:jc w:val="both"/>
      </w:pPr>
      <w:r>
        <w:t>Either HUD or a HUD-approved housing credit agency (HCA) in the PHA’s jurisdiction</w:t>
      </w:r>
      <w:r>
        <w:rPr>
          <w:spacing w:val="-17"/>
        </w:rPr>
        <w:t xml:space="preserve"> </w:t>
      </w:r>
      <w:r>
        <w:t>performs the subsidy layering review. The PHA must request an SLR through their local HUD Field Office or, if eligible, through a participating</w:t>
      </w:r>
      <w:r>
        <w:rPr>
          <w:spacing w:val="-8"/>
        </w:rPr>
        <w:t xml:space="preserve"> </w:t>
      </w:r>
      <w:r>
        <w:t>HCA.</w:t>
      </w:r>
    </w:p>
    <w:p w:rsidR="004E13A5" w:rsidRDefault="00681463">
      <w:pPr>
        <w:pStyle w:val="BodyText"/>
        <w:spacing w:before="120"/>
        <w:ind w:right="135"/>
      </w:pPr>
      <w:r>
        <w:t>If the SLR request is submitted to an approved HCA, and the proposed project-based voucher assistance meets HUD subsidy layering requirements, the HCA must submit a certification to HUD and notify the PHA. The PHA may proceed to execute an AHAP at that time if the environmental approval is received.</w:t>
      </w:r>
    </w:p>
    <w:p w:rsidR="004E13A5" w:rsidRDefault="00681463">
      <w:pPr>
        <w:pStyle w:val="BodyText"/>
        <w:spacing w:before="120"/>
        <w:ind w:right="183"/>
      </w:pPr>
      <w:r>
        <w:t>The HAP contract must contain the owner's certification that the project has not received and will not receive (before or during the term of the HAP contract) any public assistance for acquisition, development, or operation of the housing other than assistance disclosed in the subsidy layering review in accordance with HUD requirements.</w:t>
      </w:r>
    </w:p>
    <w:p w:rsidR="004E13A5" w:rsidRDefault="004E13A5">
      <w:pPr>
        <w:pStyle w:val="BodyText"/>
        <w:spacing w:before="9"/>
        <w:ind w:left="0"/>
        <w:rPr>
          <w:sz w:val="20"/>
        </w:rPr>
      </w:pPr>
    </w:p>
    <w:p w:rsidR="004E13A5" w:rsidRDefault="00681463">
      <w:pPr>
        <w:pStyle w:val="Heading4"/>
        <w:spacing w:before="1"/>
      </w:pPr>
      <w:bookmarkStart w:id="336" w:name="_TOC_250095"/>
      <w:bookmarkEnd w:id="336"/>
      <w:r>
        <w:t>17-II.F. CAP ON NUMBER OF PBV UNITS IN EACH PROJECT</w:t>
      </w:r>
    </w:p>
    <w:p w:rsidR="004E13A5" w:rsidRDefault="00681463">
      <w:pPr>
        <w:spacing w:before="120"/>
        <w:ind w:left="100"/>
        <w:rPr>
          <w:b/>
          <w:sz w:val="24"/>
        </w:rPr>
      </w:pPr>
      <w:r>
        <w:rPr>
          <w:b/>
          <w:sz w:val="24"/>
        </w:rPr>
        <w:t>25 Percent per Project Cap [24 CFR 983.56, FR Notice 1/18/17, and Notice PIH 2017-21]</w:t>
      </w:r>
    </w:p>
    <w:p w:rsidR="004E13A5" w:rsidRDefault="00681463">
      <w:pPr>
        <w:pStyle w:val="BodyText"/>
        <w:spacing w:before="120"/>
        <w:ind w:right="183"/>
      </w:pPr>
      <w:r>
        <w:t>In general, the PHA may not select a proposal to provide PBV assistance for units in a project or enter into an agreement to enter into a HAP or a HAP contract to provide PBV assistance for units in a project, if the total number of dwelling units in the project that will receive PBV assistance during the term of the PBV HAP contract is more than the greater of 25 units or 25 percent of the number of dwelling units (assisted or unassisted) in the project.</w:t>
      </w:r>
    </w:p>
    <w:p w:rsidR="004E13A5" w:rsidRDefault="00681463">
      <w:pPr>
        <w:pStyle w:val="Heading4"/>
        <w:spacing w:before="120"/>
        <w:ind w:right="116"/>
      </w:pPr>
      <w:r>
        <w:t>Exceptions to 25 Percent per Project Cap [FR Notice 1/18/17; Notice PIH 2017-21 ; FR Notice 1/24/22]</w:t>
      </w:r>
    </w:p>
    <w:p w:rsidR="004E13A5" w:rsidRDefault="00681463">
      <w:pPr>
        <w:pStyle w:val="BodyText"/>
        <w:spacing w:before="120"/>
      </w:pPr>
      <w:r>
        <w:t>As of April 18, 2018, units are not counted against the 25 percent or 25-unit per project cap if:</w:t>
      </w:r>
    </w:p>
    <w:p w:rsidR="004E13A5" w:rsidRDefault="00681463">
      <w:pPr>
        <w:pStyle w:val="ListParagraph"/>
        <w:numPr>
          <w:ilvl w:val="0"/>
          <w:numId w:val="93"/>
        </w:numPr>
        <w:tabs>
          <w:tab w:val="left" w:pos="460"/>
          <w:tab w:val="left" w:pos="461"/>
        </w:tabs>
        <w:rPr>
          <w:rFonts w:ascii="Symbol"/>
          <w:sz w:val="24"/>
        </w:rPr>
      </w:pPr>
      <w:r>
        <w:rPr>
          <w:sz w:val="24"/>
        </w:rPr>
        <w:t>The units are exclusively for elderly</w:t>
      </w:r>
      <w:r>
        <w:rPr>
          <w:spacing w:val="-9"/>
          <w:sz w:val="24"/>
        </w:rPr>
        <w:t xml:space="preserve"> </w:t>
      </w:r>
      <w:r>
        <w:rPr>
          <w:sz w:val="24"/>
        </w:rPr>
        <w:t>families</w:t>
      </w:r>
    </w:p>
    <w:p w:rsidR="004E13A5" w:rsidRDefault="00681463">
      <w:pPr>
        <w:pStyle w:val="ListParagraph"/>
        <w:numPr>
          <w:ilvl w:val="0"/>
          <w:numId w:val="93"/>
        </w:numPr>
        <w:tabs>
          <w:tab w:val="left" w:pos="460"/>
          <w:tab w:val="left" w:pos="461"/>
        </w:tabs>
        <w:spacing w:before="118"/>
        <w:ind w:right="319"/>
        <w:rPr>
          <w:rFonts w:ascii="Symbol"/>
          <w:sz w:val="24"/>
        </w:rPr>
      </w:pPr>
      <w:r>
        <w:rPr>
          <w:sz w:val="24"/>
        </w:rPr>
        <w:t>The units are for households eligible for supportive services available to all families receiving PBV assistance in the</w:t>
      </w:r>
      <w:r>
        <w:rPr>
          <w:spacing w:val="-8"/>
          <w:sz w:val="24"/>
        </w:rPr>
        <w:t xml:space="preserve"> </w:t>
      </w:r>
      <w:r>
        <w:rPr>
          <w:sz w:val="24"/>
        </w:rPr>
        <w:t>project</w:t>
      </w:r>
    </w:p>
    <w:p w:rsidR="004E13A5" w:rsidRDefault="00681463">
      <w:pPr>
        <w:pStyle w:val="ListParagraph"/>
        <w:numPr>
          <w:ilvl w:val="0"/>
          <w:numId w:val="14"/>
        </w:numPr>
        <w:tabs>
          <w:tab w:val="left" w:pos="1540"/>
          <w:tab w:val="left" w:pos="1541"/>
        </w:tabs>
        <w:ind w:right="256"/>
        <w:rPr>
          <w:sz w:val="24"/>
        </w:rPr>
      </w:pPr>
      <w:r>
        <w:rPr>
          <w:sz w:val="24"/>
        </w:rPr>
        <w:t>If the project is located in a census tract with a poverty rate of 20 percent or less,</w:t>
      </w:r>
      <w:r>
        <w:rPr>
          <w:spacing w:val="-16"/>
          <w:sz w:val="24"/>
        </w:rPr>
        <w:t xml:space="preserve"> </w:t>
      </w:r>
      <w:r>
        <w:rPr>
          <w:sz w:val="24"/>
        </w:rPr>
        <w:t>as determined in the most recent American Community Survey Five-Year estimates, the project cap is the greater of 25 units or 40 percent (instead of 25 percent) of the units in the project [FR Notice</w:t>
      </w:r>
      <w:r>
        <w:rPr>
          <w:spacing w:val="-6"/>
          <w:sz w:val="24"/>
        </w:rPr>
        <w:t xml:space="preserve"> </w:t>
      </w:r>
      <w:r>
        <w:rPr>
          <w:sz w:val="24"/>
        </w:rPr>
        <w:t>7/14/17].</w:t>
      </w:r>
    </w:p>
    <w:p w:rsidR="004E13A5" w:rsidRDefault="00681463">
      <w:pPr>
        <w:pStyle w:val="BodyText"/>
        <w:ind w:right="361"/>
        <w:jc w:val="both"/>
      </w:pPr>
      <w:r>
        <w:t>The Housing Opportunity Through Modernization Act of 2016 (HOTMA) eliminated the project cap exemption for projects that serve disabled families and modified the exception for supportive services.</w:t>
      </w:r>
    </w:p>
    <w:p w:rsidR="004E13A5" w:rsidRDefault="00681463">
      <w:pPr>
        <w:pStyle w:val="BodyText"/>
        <w:spacing w:before="138"/>
      </w:pPr>
      <w:r>
        <w:t>Under the Fostering Stable Housing Opportunities (FSHO) amendments, units exclusively made available to youth receiving FUPY/FYI assistance may be excepted from the project cap for HAP</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683"/>
      </w:pPr>
      <w:r>
        <w:lastRenderedPageBreak/>
        <w:t>contracts first effective after December 27, 2020. For more information on excepted units for FUPY, see Chapter 19.</w:t>
      </w:r>
    </w:p>
    <w:p w:rsidR="004E13A5" w:rsidRDefault="004E13A5">
      <w:pPr>
        <w:pStyle w:val="BodyText"/>
        <w:spacing w:before="0"/>
        <w:ind w:left="0"/>
        <w:rPr>
          <w:sz w:val="26"/>
        </w:rPr>
      </w:pPr>
    </w:p>
    <w:p w:rsidR="004E13A5" w:rsidRDefault="004E13A5">
      <w:pPr>
        <w:pStyle w:val="BodyText"/>
        <w:spacing w:before="6"/>
        <w:ind w:left="0"/>
        <w:rPr>
          <w:sz w:val="20"/>
        </w:rPr>
      </w:pPr>
    </w:p>
    <w:p w:rsidR="004E13A5" w:rsidRDefault="00681463">
      <w:pPr>
        <w:pStyle w:val="BodyText"/>
        <w:spacing w:before="0"/>
        <w:ind w:firstLine="60"/>
      </w:pPr>
      <w:r>
        <w:t>Projects where these caps were implemented prior to HOTMA (HAP contracts executed prior to 4/18/17) or FSHO (contract in effect on or prior to December 27, 2020) may continue to use the former exceptions and may renew their HAP contracts under the old requirements, unless the PHA and owner agree to change the conditions of the HAP contract. However, this change may not be made if it would jeopardize an assisted family’s eligibility for continued assistance in the project.</w:t>
      </w:r>
    </w:p>
    <w:p w:rsidR="004E13A5" w:rsidRDefault="00681463">
      <w:pPr>
        <w:pStyle w:val="Heading5"/>
      </w:pPr>
      <w:r>
        <w:rPr>
          <w:u w:val="thick"/>
        </w:rPr>
        <w:t>Supportive Services</w:t>
      </w:r>
    </w:p>
    <w:p w:rsidR="004E13A5" w:rsidRDefault="00681463">
      <w:pPr>
        <w:pStyle w:val="BodyText"/>
        <w:ind w:right="102"/>
      </w:pPr>
      <w:r>
        <w:t>PHAs must include in the PHA administrative plan the type of services offered to families for a project to qualify for the exception and the extent to which such services will be provided. As of 4/18/17, the project must make supportive services available to all families receiving PBV assistance in the project, but the family does not actually have to accept and receive supportive services for the exception to apply to the unit, although the family must be eligible to receive the supportive services. It is not necessary that the services be provided at or by the project, but it must be reasonable available to families receiving PBV assistance at the project and designed to help families in the project achieve self-sufficiency or live in the community as independently as possible. A PHA may not require participation in the supportive service as a condition of living in the excepted unit, although such services may be offered.</w:t>
      </w:r>
    </w:p>
    <w:p w:rsidR="004E13A5" w:rsidRDefault="00681463">
      <w:pPr>
        <w:pStyle w:val="BodyText"/>
        <w:ind w:left="820"/>
      </w:pPr>
      <w:r>
        <w:rPr>
          <w:u w:val="single"/>
        </w:rPr>
        <w:t>PHA Policy</w:t>
      </w:r>
    </w:p>
    <w:p w:rsidR="004E13A5" w:rsidRDefault="00681463">
      <w:pPr>
        <w:spacing w:before="119"/>
        <w:ind w:left="820"/>
      </w:pPr>
      <w:r>
        <w:t>Excepted units will be limited to units for elderly families.</w:t>
      </w:r>
    </w:p>
    <w:p w:rsidR="004E13A5" w:rsidRDefault="00681463">
      <w:pPr>
        <w:pStyle w:val="Heading4"/>
        <w:spacing w:before="122"/>
      </w:pPr>
      <w:r>
        <w:t>Projects not Subject to a Project Cap [FR Notice 1/18/17; Notice PIH 2017-21]</w:t>
      </w:r>
    </w:p>
    <w:p w:rsidR="004E13A5" w:rsidRDefault="00681463">
      <w:pPr>
        <w:pStyle w:val="BodyText"/>
        <w:spacing w:before="120"/>
      </w:pPr>
      <w:r>
        <w:t>PBV units that were previously subject to certain federal rent restrictions or receiving another type of long-term housing subsidy provided by HUD are exempt from the project cap. In other words, 100 percent of the units in these projects may receive PBV assistance. To qualify for the exception, the unit must:</w:t>
      </w:r>
    </w:p>
    <w:p w:rsidR="004E13A5" w:rsidRDefault="00681463">
      <w:pPr>
        <w:pStyle w:val="ListParagraph"/>
        <w:numPr>
          <w:ilvl w:val="0"/>
          <w:numId w:val="93"/>
        </w:numPr>
        <w:tabs>
          <w:tab w:val="left" w:pos="460"/>
          <w:tab w:val="left" w:pos="461"/>
        </w:tabs>
        <w:rPr>
          <w:rFonts w:ascii="Symbol"/>
          <w:sz w:val="24"/>
        </w:rPr>
      </w:pPr>
      <w:r>
        <w:rPr>
          <w:sz w:val="24"/>
        </w:rPr>
        <w:t>Be covered by a PBV HAP contract that first became effective on or after 4/18/17;</w:t>
      </w:r>
      <w:r>
        <w:rPr>
          <w:spacing w:val="-11"/>
          <w:sz w:val="24"/>
        </w:rPr>
        <w:t xml:space="preserve"> </w:t>
      </w:r>
      <w:r>
        <w:rPr>
          <w:sz w:val="24"/>
        </w:rPr>
        <w:t>and</w:t>
      </w:r>
    </w:p>
    <w:p w:rsidR="004E13A5" w:rsidRDefault="00681463">
      <w:pPr>
        <w:pStyle w:val="ListParagraph"/>
        <w:numPr>
          <w:ilvl w:val="0"/>
          <w:numId w:val="93"/>
        </w:numPr>
        <w:tabs>
          <w:tab w:val="left" w:pos="461"/>
        </w:tabs>
        <w:spacing w:before="120"/>
        <w:ind w:right="376"/>
        <w:jc w:val="both"/>
        <w:rPr>
          <w:rFonts w:ascii="Symbol"/>
          <w:sz w:val="24"/>
        </w:rPr>
      </w:pPr>
      <w:r>
        <w:rPr>
          <w:sz w:val="24"/>
        </w:rPr>
        <w:t>In the five years prior to the date the PHA either issued the RFP under which the project</w:t>
      </w:r>
      <w:r>
        <w:rPr>
          <w:spacing w:val="-17"/>
          <w:sz w:val="24"/>
        </w:rPr>
        <w:t xml:space="preserve"> </w:t>
      </w:r>
      <w:r>
        <w:rPr>
          <w:sz w:val="24"/>
        </w:rPr>
        <w:t>was selected or the PHA selected the project without competition, the unit met at least one of the two following</w:t>
      </w:r>
      <w:r>
        <w:rPr>
          <w:spacing w:val="-5"/>
          <w:sz w:val="24"/>
        </w:rPr>
        <w:t xml:space="preserve"> </w:t>
      </w:r>
      <w:r>
        <w:rPr>
          <w:sz w:val="24"/>
        </w:rPr>
        <w:t>conditions:</w:t>
      </w:r>
    </w:p>
    <w:p w:rsidR="004E13A5" w:rsidRDefault="00681463">
      <w:pPr>
        <w:pStyle w:val="ListParagraph"/>
        <w:numPr>
          <w:ilvl w:val="1"/>
          <w:numId w:val="93"/>
        </w:numPr>
        <w:tabs>
          <w:tab w:val="left" w:pos="820"/>
          <w:tab w:val="left" w:pos="821"/>
        </w:tabs>
        <w:spacing w:before="118"/>
        <w:ind w:right="469"/>
        <w:rPr>
          <w:sz w:val="24"/>
        </w:rPr>
      </w:pPr>
      <w:r>
        <w:rPr>
          <w:sz w:val="24"/>
        </w:rPr>
        <w:t>The unit received Public Housing Capital or Operating Funds, Project-Based Rental Assistance, Housing for the Elderly (Section 202), Housing for Persons with disabilities (Section 811), the Rental Supplement</w:t>
      </w:r>
      <w:r>
        <w:rPr>
          <w:spacing w:val="-7"/>
          <w:sz w:val="24"/>
        </w:rPr>
        <w:t xml:space="preserve"> </w:t>
      </w:r>
      <w:r>
        <w:rPr>
          <w:sz w:val="24"/>
        </w:rPr>
        <w:t>program,</w:t>
      </w:r>
    </w:p>
    <w:p w:rsidR="004E13A5" w:rsidRDefault="00681463">
      <w:pPr>
        <w:pStyle w:val="ListParagraph"/>
        <w:numPr>
          <w:ilvl w:val="1"/>
          <w:numId w:val="93"/>
        </w:numPr>
        <w:tabs>
          <w:tab w:val="left" w:pos="820"/>
          <w:tab w:val="left" w:pos="821"/>
        </w:tabs>
        <w:spacing w:before="118" w:line="242" w:lineRule="auto"/>
        <w:ind w:right="359"/>
        <w:rPr>
          <w:sz w:val="24"/>
        </w:rPr>
      </w:pPr>
      <w:r>
        <w:rPr>
          <w:sz w:val="24"/>
        </w:rPr>
        <w:t>The unit was subject to a rent restriction as a result of one of the following HUD loans or insurance programs: Section 236, Section 221(d)(3) or (d)(4) BMIR, Housing for the Elderly (Section 202), or Housing for Persons with Disabilities (Section</w:t>
      </w:r>
      <w:r>
        <w:rPr>
          <w:spacing w:val="-12"/>
          <w:sz w:val="24"/>
        </w:rPr>
        <w:t xml:space="preserve"> </w:t>
      </w:r>
      <w:r>
        <w:rPr>
          <w:sz w:val="24"/>
        </w:rPr>
        <w:t>811)</w:t>
      </w:r>
    </w:p>
    <w:p w:rsidR="004E13A5" w:rsidRDefault="00681463">
      <w:pPr>
        <w:pStyle w:val="BodyText"/>
        <w:spacing w:before="116"/>
        <w:ind w:right="286"/>
      </w:pPr>
      <w:r>
        <w:t xml:space="preserve">Units that were previously receiving PBV assistance are not covered by the exception. Both existing and rehabilitation units are eligible for this exception. Newly constructed units qualify if they meet the definition of </w:t>
      </w:r>
      <w:r>
        <w:rPr>
          <w:i/>
        </w:rPr>
        <w:t xml:space="preserve">replacement unit </w:t>
      </w:r>
      <w:r>
        <w:t>described in FR Notice 1/18/17.</w:t>
      </w:r>
    </w:p>
    <w:p w:rsidR="004E13A5" w:rsidRDefault="004E13A5">
      <w:pPr>
        <w:sectPr w:rsidR="004E13A5">
          <w:pgSz w:w="12240" w:h="15840"/>
          <w:pgMar w:top="1000" w:right="128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pPr>
      <w:r>
        <w:t>The PHA does not have any PBV units that are subject to the per project cap exception.</w:t>
      </w:r>
    </w:p>
    <w:p w:rsidR="004E13A5" w:rsidRDefault="004E13A5">
      <w:pPr>
        <w:pStyle w:val="BodyText"/>
        <w:spacing w:before="0"/>
        <w:ind w:left="0"/>
        <w:rPr>
          <w:sz w:val="26"/>
        </w:rPr>
      </w:pPr>
    </w:p>
    <w:p w:rsidR="004E13A5" w:rsidRDefault="00681463">
      <w:pPr>
        <w:pStyle w:val="Heading4"/>
        <w:spacing w:before="216"/>
      </w:pPr>
      <w:r>
        <w:t>Promoting Partially-Assisted Projects [24 CFR 983.56(c)]</w:t>
      </w:r>
    </w:p>
    <w:p w:rsidR="004E13A5" w:rsidRDefault="00681463">
      <w:pPr>
        <w:pStyle w:val="BodyText"/>
        <w:ind w:right="275"/>
        <w:jc w:val="both"/>
      </w:pPr>
      <w:r>
        <w:t xml:space="preserve">A PHA may establish local requirements designed to promote PBV assistance in partially assisted projects. A </w:t>
      </w:r>
      <w:r>
        <w:rPr>
          <w:i/>
        </w:rPr>
        <w:t xml:space="preserve">partially assisted project </w:t>
      </w:r>
      <w:r>
        <w:t>is a project in which there are fewer units covered by a HAP contract than residential units [24 CFR 983.3].</w:t>
      </w:r>
    </w:p>
    <w:p w:rsidR="004E13A5" w:rsidRDefault="00681463">
      <w:pPr>
        <w:pStyle w:val="BodyText"/>
        <w:ind w:right="255"/>
      </w:pPr>
      <w:r>
        <w:t>A PHA may establish a per-project cap on the number of units that will receive PBV assistance or other project-based assistance in a multifamily project containing excepted units or in a single- family building. A PHA may also determine not to provide PBV assistance for excepted units, or the PHA may establish a per-project cap of less than 25 percent.</w:t>
      </w:r>
    </w:p>
    <w:p w:rsidR="004E13A5" w:rsidRDefault="00681463">
      <w:pPr>
        <w:pStyle w:val="BodyText"/>
        <w:ind w:left="820"/>
      </w:pPr>
      <w:r>
        <w:rPr>
          <w:u w:val="single"/>
        </w:rPr>
        <w:t>PHA Policy:</w:t>
      </w:r>
    </w:p>
    <w:p w:rsidR="004E13A5" w:rsidRDefault="00681463">
      <w:pPr>
        <w:pStyle w:val="BodyText"/>
        <w:spacing w:before="120"/>
        <w:ind w:left="820" w:right="594"/>
      </w:pPr>
      <w:r>
        <w:t>The PHA will not provide assistance for excepted units. Beyond that, the PHA will not impose any further cap on the number of PBV units assisted per project.</w:t>
      </w:r>
    </w:p>
    <w:p w:rsidR="004E13A5" w:rsidRDefault="004E13A5">
      <w:pPr>
        <w:pStyle w:val="BodyText"/>
        <w:spacing w:before="9"/>
        <w:ind w:left="0"/>
        <w:rPr>
          <w:sz w:val="20"/>
        </w:rPr>
      </w:pPr>
    </w:p>
    <w:p w:rsidR="004E13A5" w:rsidRDefault="00681463">
      <w:pPr>
        <w:pStyle w:val="Heading4"/>
      </w:pPr>
      <w:bookmarkStart w:id="337" w:name="_TOC_250094"/>
      <w:bookmarkEnd w:id="337"/>
      <w:r>
        <w:t>17-II.G. SITE SELECTION STANDARDS</w:t>
      </w:r>
    </w:p>
    <w:p w:rsidR="004E13A5" w:rsidRDefault="00681463">
      <w:pPr>
        <w:spacing w:before="119"/>
        <w:ind w:left="100" w:right="1215"/>
        <w:rPr>
          <w:b/>
          <w:sz w:val="24"/>
        </w:rPr>
      </w:pPr>
      <w:r>
        <w:rPr>
          <w:b/>
          <w:sz w:val="24"/>
        </w:rPr>
        <w:t xml:space="preserve">Compliance with PBV Goals, Civil Rights Requirements, and </w:t>
      </w:r>
      <w:r w:rsidR="002C4221">
        <w:rPr>
          <w:b/>
          <w:sz w:val="24"/>
        </w:rPr>
        <w:t>NSPIRE</w:t>
      </w:r>
      <w:r>
        <w:rPr>
          <w:b/>
          <w:sz w:val="24"/>
        </w:rPr>
        <w:t xml:space="preserve"> Site Standards [24 CFR 983.57(b)]</w:t>
      </w:r>
    </w:p>
    <w:p w:rsidR="004E13A5" w:rsidRDefault="00681463">
      <w:pPr>
        <w:pStyle w:val="BodyText"/>
        <w:ind w:right="120"/>
      </w:pPr>
      <w:r>
        <w:t>The PHA may not select a proposal for existing, newly constructed, or rehabilitated PBV housing on a site or enter into an agreement to enter into a HAP contract or HAP contract for units on the site, unless the PHA has determined that PBV assistance for housing at the selected site is consistent with the goal of deconcentrating poverty and expanding housing and economic opportunities. The standard for deconcentrating poverty and expanding housing and economic opportunities must be consistent with the PHA Plan under 24 CFR 903 and the PHA administrative plan.</w:t>
      </w:r>
    </w:p>
    <w:p w:rsidR="004E13A5" w:rsidRDefault="00681463">
      <w:pPr>
        <w:pStyle w:val="BodyText"/>
        <w:ind w:right="89"/>
      </w:pPr>
      <w:r>
        <w:t xml:space="preserve">In addition, prior to selecting a proposal, the PHA must determine that the site is suitable from the standpoint of facilitating and furthering full compliance with the applicable Civil Rights Laws, regulations, and Executive Orders, and that the site meets the </w:t>
      </w:r>
      <w:r w:rsidR="002C4221">
        <w:t>NSPIRE</w:t>
      </w:r>
      <w:r>
        <w:t xml:space="preserve"> site and neighborhood standards at 24 CFR 982.401(l).</w:t>
      </w:r>
    </w:p>
    <w:p w:rsidR="004E13A5" w:rsidRDefault="00681463">
      <w:pPr>
        <w:pStyle w:val="BodyText"/>
        <w:ind w:left="820"/>
      </w:pPr>
      <w:r>
        <w:rPr>
          <w:u w:val="single"/>
        </w:rPr>
        <w:t>PHA Policy</w:t>
      </w:r>
    </w:p>
    <w:p w:rsidR="004E13A5" w:rsidRDefault="00681463">
      <w:pPr>
        <w:pStyle w:val="BodyText"/>
        <w:ind w:left="820" w:right="241"/>
      </w:pPr>
      <w:r>
        <w:t>It is the PHA goal to select sites for PBV housing that provide for deconcentrating poverty and expanding housing and economic opportunities. In complying with this goal the PHA will limit approval of sites for PBV housing in census tracts that have poverty concentrations of 20 percent or less.</w:t>
      </w:r>
    </w:p>
    <w:p w:rsidR="004E13A5" w:rsidRDefault="00681463">
      <w:pPr>
        <w:pStyle w:val="BodyText"/>
        <w:spacing w:before="120"/>
        <w:ind w:left="820" w:right="395"/>
      </w:pPr>
      <w:r>
        <w:t>However, the PHA will grant exceptions to the 20 percent standard where the PHA determines that the PBV assistance will complement other local redevelopment activities designed to deconcentrate poverty and expand housing and economic opportunities in census tracts with poverty concentrations greater than 20 percent, such as sites in:</w:t>
      </w:r>
    </w:p>
    <w:p w:rsidR="004E13A5" w:rsidRDefault="00681463">
      <w:pPr>
        <w:pStyle w:val="BodyText"/>
        <w:ind w:left="820" w:right="548"/>
      </w:pPr>
      <w:r>
        <w:t>A census tract in which the proposed PBV development will be located in a HUD- designated Enterprise Zone, Economic Community, Choice Neighborhood, or Renewal Community;</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right="101"/>
      </w:pPr>
      <w:r>
        <w:lastRenderedPageBreak/>
        <w:t>A census tract where the concentration of assisted units will be or has decreased as a result of public housing demolition and HOPE VI redevelopment;</w:t>
      </w:r>
    </w:p>
    <w:p w:rsidR="004E13A5" w:rsidRDefault="00681463">
      <w:pPr>
        <w:pStyle w:val="BodyText"/>
        <w:spacing w:before="120"/>
        <w:ind w:left="820"/>
      </w:pPr>
      <w:r>
        <w:t>A census tract in which the proposed PBV development will be located is undergoing significant revitalization as a result of state, local, or federal dollars invested in the area;</w:t>
      </w:r>
    </w:p>
    <w:p w:rsidR="004E13A5" w:rsidRDefault="00681463">
      <w:pPr>
        <w:pStyle w:val="BodyText"/>
        <w:ind w:left="820" w:right="286"/>
      </w:pPr>
      <w:r>
        <w:t>A census tract where new market rate units are being developed where such market rate units will positively impact the poverty rate in the area;</w:t>
      </w:r>
    </w:p>
    <w:p w:rsidR="004E13A5" w:rsidRDefault="00681463">
      <w:pPr>
        <w:pStyle w:val="BodyText"/>
        <w:ind w:left="820" w:right="286"/>
      </w:pPr>
      <w:r>
        <w:t>A census tract where there has been an overall decline in the poverty rate within the past five years; or</w:t>
      </w:r>
    </w:p>
    <w:p w:rsidR="004E13A5" w:rsidRDefault="00681463">
      <w:pPr>
        <w:pStyle w:val="BodyText"/>
        <w:ind w:left="820" w:right="616"/>
      </w:pPr>
      <w:r>
        <w:t>A census tract where there are meaningful opportunities for educational and economic advancement.</w:t>
      </w:r>
    </w:p>
    <w:p w:rsidR="004E13A5" w:rsidRDefault="00681463">
      <w:pPr>
        <w:pStyle w:val="Heading4"/>
        <w:spacing w:before="119"/>
      </w:pPr>
      <w:r>
        <w:t>Existing and Rehabilitated Housing Site and Neighborhood Standards [24 CFR 983.57(d)]</w:t>
      </w:r>
    </w:p>
    <w:p w:rsidR="004E13A5" w:rsidRDefault="00681463">
      <w:pPr>
        <w:pStyle w:val="BodyText"/>
        <w:ind w:right="202"/>
      </w:pPr>
      <w:r>
        <w:t>The PHA may not enter into an agreement to enter into a HAP contract nor enter into a HAP contract for existing or rehabilitated housing until it has determined that the site complies with the HUD required site and neighborhood standards. The site must:</w:t>
      </w:r>
    </w:p>
    <w:p w:rsidR="004E13A5" w:rsidRDefault="00681463">
      <w:pPr>
        <w:pStyle w:val="ListParagraph"/>
        <w:numPr>
          <w:ilvl w:val="0"/>
          <w:numId w:val="93"/>
        </w:numPr>
        <w:tabs>
          <w:tab w:val="left" w:pos="460"/>
          <w:tab w:val="left" w:pos="461"/>
        </w:tabs>
        <w:ind w:right="724"/>
        <w:rPr>
          <w:rFonts w:ascii="Symbol"/>
          <w:sz w:val="24"/>
        </w:rPr>
      </w:pPr>
      <w:r>
        <w:rPr>
          <w:sz w:val="24"/>
        </w:rPr>
        <w:t>Be adequate in size, exposure, and contour to accommodate the number and type of</w:t>
      </w:r>
      <w:r>
        <w:rPr>
          <w:spacing w:val="-13"/>
          <w:sz w:val="24"/>
        </w:rPr>
        <w:t xml:space="preserve"> </w:t>
      </w:r>
      <w:r>
        <w:rPr>
          <w:sz w:val="24"/>
        </w:rPr>
        <w:t>units proposed;</w:t>
      </w:r>
    </w:p>
    <w:p w:rsidR="004E13A5" w:rsidRDefault="00681463">
      <w:pPr>
        <w:pStyle w:val="ListParagraph"/>
        <w:numPr>
          <w:ilvl w:val="0"/>
          <w:numId w:val="93"/>
        </w:numPr>
        <w:tabs>
          <w:tab w:val="left" w:pos="460"/>
          <w:tab w:val="left" w:pos="461"/>
        </w:tabs>
        <w:rPr>
          <w:rFonts w:ascii="Symbol"/>
          <w:sz w:val="24"/>
        </w:rPr>
      </w:pPr>
      <w:r>
        <w:rPr>
          <w:sz w:val="24"/>
        </w:rPr>
        <w:t>Have adequate utilities and streets available to service the</w:t>
      </w:r>
      <w:r>
        <w:rPr>
          <w:spacing w:val="-10"/>
          <w:sz w:val="24"/>
        </w:rPr>
        <w:t xml:space="preserve"> </w:t>
      </w:r>
      <w:r>
        <w:rPr>
          <w:sz w:val="24"/>
        </w:rPr>
        <w:t>site;</w:t>
      </w:r>
    </w:p>
    <w:p w:rsidR="004E13A5" w:rsidRDefault="00681463">
      <w:pPr>
        <w:pStyle w:val="ListParagraph"/>
        <w:numPr>
          <w:ilvl w:val="0"/>
          <w:numId w:val="93"/>
        </w:numPr>
        <w:tabs>
          <w:tab w:val="left" w:pos="460"/>
          <w:tab w:val="left" w:pos="461"/>
        </w:tabs>
        <w:spacing w:before="118"/>
        <w:ind w:right="402"/>
        <w:rPr>
          <w:rFonts w:ascii="Symbol"/>
          <w:sz w:val="24"/>
        </w:rPr>
      </w:pPr>
      <w:r>
        <w:rPr>
          <w:sz w:val="24"/>
        </w:rPr>
        <w:t>Promote a greater choice of housing opportunities and avoid undue concentration of</w:t>
      </w:r>
      <w:r>
        <w:rPr>
          <w:spacing w:val="-13"/>
          <w:sz w:val="24"/>
        </w:rPr>
        <w:t xml:space="preserve"> </w:t>
      </w:r>
      <w:r>
        <w:rPr>
          <w:sz w:val="24"/>
        </w:rPr>
        <w:t>assisted persons in areas containing a high proportion of low-income</w:t>
      </w:r>
      <w:r>
        <w:rPr>
          <w:spacing w:val="-8"/>
          <w:sz w:val="24"/>
        </w:rPr>
        <w:t xml:space="preserve"> </w:t>
      </w:r>
      <w:r>
        <w:rPr>
          <w:sz w:val="24"/>
        </w:rPr>
        <w:t>persons;</w:t>
      </w:r>
    </w:p>
    <w:p w:rsidR="004E13A5" w:rsidRDefault="00681463">
      <w:pPr>
        <w:pStyle w:val="ListParagraph"/>
        <w:numPr>
          <w:ilvl w:val="0"/>
          <w:numId w:val="93"/>
        </w:numPr>
        <w:tabs>
          <w:tab w:val="left" w:pos="460"/>
          <w:tab w:val="left" w:pos="461"/>
        </w:tabs>
        <w:ind w:right="141"/>
        <w:rPr>
          <w:rFonts w:ascii="Symbol"/>
          <w:sz w:val="24"/>
        </w:rPr>
      </w:pPr>
      <w:r>
        <w:rPr>
          <w:sz w:val="24"/>
        </w:rPr>
        <w:t>Be accessible to social, recreational, educational, commercial, and health facilities and services and other municipal facilities and services equivalent to those found in neighborhoods consisting largely of unassisted similar units;</w:t>
      </w:r>
      <w:r>
        <w:rPr>
          <w:spacing w:val="-7"/>
          <w:sz w:val="24"/>
        </w:rPr>
        <w:t xml:space="preserve"> </w:t>
      </w:r>
      <w:r>
        <w:rPr>
          <w:sz w:val="24"/>
        </w:rPr>
        <w:t>and</w:t>
      </w:r>
    </w:p>
    <w:p w:rsidR="004E13A5" w:rsidRDefault="00681463">
      <w:pPr>
        <w:pStyle w:val="ListParagraph"/>
        <w:numPr>
          <w:ilvl w:val="0"/>
          <w:numId w:val="93"/>
        </w:numPr>
        <w:tabs>
          <w:tab w:val="left" w:pos="460"/>
          <w:tab w:val="left" w:pos="461"/>
        </w:tabs>
        <w:ind w:right="204"/>
        <w:rPr>
          <w:rFonts w:ascii="Symbol"/>
          <w:sz w:val="24"/>
        </w:rPr>
      </w:pPr>
      <w:r>
        <w:rPr>
          <w:sz w:val="24"/>
        </w:rPr>
        <w:t>Be located so that travel time and cost via public transportation or private automobile from the neighborhood to places of employment is not</w:t>
      </w:r>
      <w:r>
        <w:rPr>
          <w:spacing w:val="-9"/>
          <w:sz w:val="24"/>
        </w:rPr>
        <w:t xml:space="preserve"> </w:t>
      </w:r>
      <w:r>
        <w:rPr>
          <w:sz w:val="24"/>
        </w:rPr>
        <w:t>excessive.</w:t>
      </w:r>
    </w:p>
    <w:p w:rsidR="004E13A5" w:rsidRDefault="00681463">
      <w:pPr>
        <w:pStyle w:val="Heading4"/>
        <w:spacing w:before="119"/>
      </w:pPr>
      <w:r>
        <w:t>New Construction Site and Neighborhood Standards [24 CFR 983.57(e)]</w:t>
      </w:r>
    </w:p>
    <w:p w:rsidR="004E13A5" w:rsidRDefault="00681463">
      <w:pPr>
        <w:pStyle w:val="BodyText"/>
      </w:pPr>
      <w:r>
        <w:t>In order to be selected for PBV assistance, a site for newly constructed housing must meet the following HUD required site and neighborhood standards:</w:t>
      </w:r>
    </w:p>
    <w:p w:rsidR="004E13A5" w:rsidRDefault="00681463">
      <w:pPr>
        <w:pStyle w:val="ListParagraph"/>
        <w:numPr>
          <w:ilvl w:val="0"/>
          <w:numId w:val="93"/>
        </w:numPr>
        <w:tabs>
          <w:tab w:val="left" w:pos="460"/>
          <w:tab w:val="left" w:pos="461"/>
        </w:tabs>
        <w:ind w:right="199"/>
        <w:rPr>
          <w:rFonts w:ascii="Symbol"/>
          <w:sz w:val="24"/>
        </w:rPr>
      </w:pPr>
      <w:r>
        <w:rPr>
          <w:sz w:val="24"/>
        </w:rPr>
        <w:t>The site must be adequate in size, exposure, and contour to accommodate the number and</w:t>
      </w:r>
      <w:r>
        <w:rPr>
          <w:spacing w:val="-12"/>
          <w:sz w:val="24"/>
        </w:rPr>
        <w:t xml:space="preserve"> </w:t>
      </w:r>
      <w:r>
        <w:rPr>
          <w:sz w:val="24"/>
        </w:rPr>
        <w:t>type of units</w:t>
      </w:r>
      <w:r>
        <w:rPr>
          <w:spacing w:val="-4"/>
          <w:sz w:val="24"/>
        </w:rPr>
        <w:t xml:space="preserve"> </w:t>
      </w:r>
      <w:r>
        <w:rPr>
          <w:sz w:val="24"/>
        </w:rPr>
        <w:t>proposed;</w:t>
      </w:r>
    </w:p>
    <w:p w:rsidR="004E13A5" w:rsidRDefault="00681463">
      <w:pPr>
        <w:pStyle w:val="ListParagraph"/>
        <w:numPr>
          <w:ilvl w:val="0"/>
          <w:numId w:val="93"/>
        </w:numPr>
        <w:tabs>
          <w:tab w:val="left" w:pos="460"/>
          <w:tab w:val="left" w:pos="461"/>
        </w:tabs>
        <w:rPr>
          <w:rFonts w:ascii="Symbol"/>
          <w:sz w:val="24"/>
        </w:rPr>
      </w:pPr>
      <w:r>
        <w:rPr>
          <w:sz w:val="24"/>
        </w:rPr>
        <w:t>The site must have adequate utilities and streets available to service the</w:t>
      </w:r>
      <w:r>
        <w:rPr>
          <w:spacing w:val="-14"/>
          <w:sz w:val="24"/>
        </w:rPr>
        <w:t xml:space="preserve"> </w:t>
      </w:r>
      <w:r>
        <w:rPr>
          <w:sz w:val="24"/>
        </w:rPr>
        <w:t>site;</w:t>
      </w:r>
    </w:p>
    <w:p w:rsidR="004E13A5" w:rsidRDefault="00681463">
      <w:pPr>
        <w:pStyle w:val="ListParagraph"/>
        <w:numPr>
          <w:ilvl w:val="0"/>
          <w:numId w:val="93"/>
        </w:numPr>
        <w:tabs>
          <w:tab w:val="left" w:pos="460"/>
          <w:tab w:val="left" w:pos="461"/>
        </w:tabs>
        <w:spacing w:before="118"/>
        <w:ind w:right="103"/>
        <w:rPr>
          <w:rFonts w:ascii="Symbol"/>
          <w:sz w:val="24"/>
        </w:rPr>
      </w:pPr>
      <w:r>
        <w:rPr>
          <w:sz w:val="24"/>
        </w:rPr>
        <w:t>The site must not be located in an area of minority concentration unless the PHA determines that sufficient, comparable opportunities exist for housing for minority families in the income range to be served by the proposed project outside areas of minority concentration or that the project is necessary to meet overriding housing needs that cannot be met in that housing</w:t>
      </w:r>
      <w:r>
        <w:rPr>
          <w:spacing w:val="-15"/>
          <w:sz w:val="24"/>
        </w:rPr>
        <w:t xml:space="preserve"> </w:t>
      </w:r>
      <w:r>
        <w:rPr>
          <w:sz w:val="24"/>
        </w:rPr>
        <w:t>market area;</w:t>
      </w:r>
    </w:p>
    <w:p w:rsidR="004E13A5" w:rsidRDefault="00681463">
      <w:pPr>
        <w:pStyle w:val="ListParagraph"/>
        <w:numPr>
          <w:ilvl w:val="0"/>
          <w:numId w:val="93"/>
        </w:numPr>
        <w:tabs>
          <w:tab w:val="left" w:pos="460"/>
          <w:tab w:val="left" w:pos="461"/>
        </w:tabs>
        <w:ind w:right="717"/>
        <w:rPr>
          <w:rFonts w:ascii="Symbol"/>
          <w:sz w:val="24"/>
        </w:rPr>
      </w:pPr>
      <w:r>
        <w:rPr>
          <w:sz w:val="24"/>
        </w:rPr>
        <w:t>The site must not be located in a racially mixed area if the project will cause a</w:t>
      </w:r>
      <w:r>
        <w:rPr>
          <w:spacing w:val="-15"/>
          <w:sz w:val="24"/>
        </w:rPr>
        <w:t xml:space="preserve"> </w:t>
      </w:r>
      <w:r>
        <w:rPr>
          <w:sz w:val="24"/>
        </w:rPr>
        <w:t>significant increase in the proportion of minority to non-minority residents in the</w:t>
      </w:r>
      <w:r>
        <w:rPr>
          <w:spacing w:val="-10"/>
          <w:sz w:val="24"/>
        </w:rPr>
        <w:t xml:space="preserve"> </w:t>
      </w:r>
      <w:r>
        <w:rPr>
          <w:sz w:val="24"/>
        </w:rPr>
        <w:t>area.</w:t>
      </w:r>
    </w:p>
    <w:p w:rsidR="004E13A5" w:rsidRDefault="00681463">
      <w:pPr>
        <w:pStyle w:val="ListParagraph"/>
        <w:numPr>
          <w:ilvl w:val="0"/>
          <w:numId w:val="93"/>
        </w:numPr>
        <w:tabs>
          <w:tab w:val="left" w:pos="460"/>
          <w:tab w:val="left" w:pos="461"/>
        </w:tabs>
        <w:ind w:right="128"/>
        <w:rPr>
          <w:rFonts w:ascii="Symbol"/>
          <w:sz w:val="24"/>
        </w:rPr>
      </w:pPr>
      <w:r>
        <w:rPr>
          <w:sz w:val="24"/>
        </w:rPr>
        <w:t>The site must promote a greater choice of housing opportunities and avoid undue</w:t>
      </w:r>
      <w:r>
        <w:rPr>
          <w:spacing w:val="-13"/>
          <w:sz w:val="24"/>
        </w:rPr>
        <w:t xml:space="preserve"> </w:t>
      </w:r>
      <w:r>
        <w:rPr>
          <w:sz w:val="24"/>
        </w:rPr>
        <w:t>concentration of assisted persons in areas containing a high proportion of low-income</w:t>
      </w:r>
      <w:r>
        <w:rPr>
          <w:spacing w:val="-6"/>
          <w:sz w:val="24"/>
        </w:rPr>
        <w:t xml:space="preserve"> </w:t>
      </w:r>
      <w:r>
        <w:rPr>
          <w:sz w:val="24"/>
        </w:rPr>
        <w:t>persons;</w:t>
      </w:r>
    </w:p>
    <w:p w:rsidR="004E13A5" w:rsidRDefault="004E13A5">
      <w:pPr>
        <w:rPr>
          <w:rFonts w:ascii="Symbol"/>
          <w:sz w:val="24"/>
        </w:rPr>
        <w:sectPr w:rsidR="004E13A5">
          <w:pgSz w:w="12240" w:h="15840"/>
          <w:pgMar w:top="1000" w:right="1280" w:bottom="1240" w:left="1220" w:header="0" w:footer="998" w:gutter="0"/>
          <w:cols w:space="720"/>
        </w:sectPr>
      </w:pPr>
    </w:p>
    <w:p w:rsidR="004E13A5" w:rsidRDefault="00681463">
      <w:pPr>
        <w:pStyle w:val="ListParagraph"/>
        <w:numPr>
          <w:ilvl w:val="0"/>
          <w:numId w:val="93"/>
        </w:numPr>
        <w:tabs>
          <w:tab w:val="left" w:pos="460"/>
          <w:tab w:val="left" w:pos="461"/>
        </w:tabs>
        <w:spacing w:before="78"/>
        <w:ind w:right="764"/>
        <w:rPr>
          <w:rFonts w:ascii="Symbol"/>
          <w:sz w:val="24"/>
        </w:rPr>
      </w:pPr>
      <w:r>
        <w:rPr>
          <w:sz w:val="24"/>
        </w:rPr>
        <w:lastRenderedPageBreak/>
        <w:t>The neighborhood must not be one that is seriously detrimental to family life or in</w:t>
      </w:r>
      <w:r>
        <w:rPr>
          <w:spacing w:val="-16"/>
          <w:sz w:val="24"/>
        </w:rPr>
        <w:t xml:space="preserve"> </w:t>
      </w:r>
      <w:r>
        <w:rPr>
          <w:sz w:val="24"/>
        </w:rPr>
        <w:t>which substandard dwellings or other undesirable conditions</w:t>
      </w:r>
      <w:r>
        <w:rPr>
          <w:spacing w:val="-14"/>
          <w:sz w:val="24"/>
        </w:rPr>
        <w:t xml:space="preserve"> </w:t>
      </w:r>
      <w:r>
        <w:rPr>
          <w:sz w:val="24"/>
        </w:rPr>
        <w:t>predominate;</w:t>
      </w:r>
    </w:p>
    <w:p w:rsidR="004E13A5" w:rsidRDefault="00681463">
      <w:pPr>
        <w:pStyle w:val="ListParagraph"/>
        <w:numPr>
          <w:ilvl w:val="0"/>
          <w:numId w:val="93"/>
        </w:numPr>
        <w:tabs>
          <w:tab w:val="left" w:pos="460"/>
          <w:tab w:val="left" w:pos="461"/>
        </w:tabs>
        <w:ind w:right="386"/>
        <w:rPr>
          <w:rFonts w:ascii="Symbol"/>
          <w:sz w:val="24"/>
        </w:rPr>
      </w:pPr>
      <w:r>
        <w:rPr>
          <w:sz w:val="24"/>
        </w:rPr>
        <w:t>The housing must be accessible to social, recreational, educational, commercial, and health facilities and services and other municipal facilities and services equivalent to those found in neighborhoods consisting largely of unassisted similar units;</w:t>
      </w:r>
      <w:r>
        <w:rPr>
          <w:spacing w:val="-8"/>
          <w:sz w:val="24"/>
        </w:rPr>
        <w:t xml:space="preserve"> </w:t>
      </w:r>
      <w:r>
        <w:rPr>
          <w:sz w:val="24"/>
        </w:rPr>
        <w:t>and</w:t>
      </w:r>
    </w:p>
    <w:p w:rsidR="004E13A5" w:rsidRDefault="00681463">
      <w:pPr>
        <w:pStyle w:val="ListParagraph"/>
        <w:numPr>
          <w:ilvl w:val="0"/>
          <w:numId w:val="93"/>
        </w:numPr>
        <w:tabs>
          <w:tab w:val="left" w:pos="460"/>
          <w:tab w:val="left" w:pos="461"/>
        </w:tabs>
        <w:ind w:right="116"/>
        <w:rPr>
          <w:rFonts w:ascii="Symbol"/>
          <w:sz w:val="24"/>
        </w:rPr>
      </w:pPr>
      <w:r>
        <w:rPr>
          <w:sz w:val="24"/>
        </w:rPr>
        <w:t>Except for housing designed for elderly persons, the housing must be located so that travel</w:t>
      </w:r>
      <w:r>
        <w:rPr>
          <w:spacing w:val="-15"/>
          <w:sz w:val="24"/>
        </w:rPr>
        <w:t xml:space="preserve"> </w:t>
      </w:r>
      <w:r>
        <w:rPr>
          <w:sz w:val="24"/>
        </w:rPr>
        <w:t>time and cost via public transportation or private automobile from the neighborhood to places of employment is not</w:t>
      </w:r>
      <w:r>
        <w:rPr>
          <w:spacing w:val="-4"/>
          <w:sz w:val="24"/>
        </w:rPr>
        <w:t xml:space="preserve"> </w:t>
      </w:r>
      <w:r>
        <w:rPr>
          <w:sz w:val="24"/>
        </w:rPr>
        <w:t>excessive.</w:t>
      </w:r>
    </w:p>
    <w:p w:rsidR="004E13A5" w:rsidRDefault="004E13A5">
      <w:pPr>
        <w:pStyle w:val="BodyText"/>
        <w:spacing w:before="9"/>
        <w:ind w:left="0"/>
        <w:rPr>
          <w:sz w:val="20"/>
        </w:rPr>
      </w:pPr>
    </w:p>
    <w:p w:rsidR="004E13A5" w:rsidRDefault="00681463">
      <w:pPr>
        <w:pStyle w:val="Heading4"/>
      </w:pPr>
      <w:bookmarkStart w:id="338" w:name="_TOC_250093"/>
      <w:bookmarkEnd w:id="338"/>
      <w:r>
        <w:t>17-II.H. ENVIRONMENTAL REVIEW [24 CFR 983.58]</w:t>
      </w:r>
    </w:p>
    <w:p w:rsidR="004E13A5" w:rsidRDefault="00681463">
      <w:pPr>
        <w:pStyle w:val="BodyText"/>
        <w:ind w:right="136"/>
      </w:pPr>
      <w:r>
        <w:t xml:space="preserve">The PHA activities under the PBV program are subject to HUD environmental regulations in 24 CFR parts 50 and 58. The </w:t>
      </w:r>
      <w:r>
        <w:rPr>
          <w:i/>
        </w:rPr>
        <w:t xml:space="preserve">responsible entity </w:t>
      </w:r>
      <w:r>
        <w:t>is responsible for performing the federal environmental review under the National Environmental Policy Act of 1969 (42 U.S.C. 4321 et seq.). The PHA may not enter into an agreement to enter into a HAP contract nor enter into a HAP contract until it has complied with the environmental review requirements.</w:t>
      </w:r>
    </w:p>
    <w:p w:rsidR="004E13A5" w:rsidRDefault="00681463">
      <w:pPr>
        <w:pStyle w:val="BodyText"/>
        <w:ind w:right="415"/>
      </w:pPr>
      <w:r>
        <w:t>In the case of existing housing, the responsible entity that is responsible for the environmental review under 24 CFR part 58 must determine whether or not PBV assistance is categorically excluded from review under the National Environmental Policy Act and whether or not the assistance is subject to review under the laws and authorities listed in 24 CFR 58.5.</w:t>
      </w:r>
    </w:p>
    <w:p w:rsidR="004E13A5" w:rsidRDefault="00681463">
      <w:pPr>
        <w:pStyle w:val="BodyText"/>
      </w:pPr>
      <w:r>
        <w:t>The PHA may not enter into an agreement to enter into a HAP contract or a HAP contract with an owner, and the PHA, the owner, and its contractors may not acquire, rehabilitate, convert, lease, repair, dispose of, demolish, or construct real property or commit or expend program or local funds for PBV activities under this part, until the environmental review is completed.</w:t>
      </w:r>
    </w:p>
    <w:p w:rsidR="004E13A5" w:rsidRDefault="00681463">
      <w:pPr>
        <w:pStyle w:val="BodyText"/>
        <w:ind w:right="116"/>
      </w:pPr>
      <w:r>
        <w:t>The PHA must supply all available, relevant information necessary for the responsible entity to perform any required environmental review for any site. The PHA must require the owner to carry out mitigating measures required by the responsible entity (or HUD, if applicable) as a result of the environmental review.</w:t>
      </w:r>
    </w:p>
    <w:p w:rsidR="004E13A5" w:rsidRDefault="00681463">
      <w:pPr>
        <w:pStyle w:val="Heading4"/>
        <w:spacing w:before="119"/>
        <w:ind w:left="3264"/>
      </w:pPr>
      <w:bookmarkStart w:id="339" w:name="_TOC_250092"/>
      <w:bookmarkEnd w:id="339"/>
      <w:r>
        <w:t>PART III: DWELLING UNITS</w:t>
      </w:r>
    </w:p>
    <w:p w:rsidR="004E13A5" w:rsidRDefault="004E13A5">
      <w:pPr>
        <w:pStyle w:val="BodyText"/>
        <w:spacing w:before="9"/>
        <w:ind w:left="0"/>
        <w:rPr>
          <w:b/>
          <w:sz w:val="20"/>
        </w:rPr>
      </w:pPr>
    </w:p>
    <w:p w:rsidR="004E13A5" w:rsidRDefault="00681463">
      <w:pPr>
        <w:pStyle w:val="Heading4"/>
      </w:pPr>
      <w:bookmarkStart w:id="340" w:name="_TOC_250091"/>
      <w:bookmarkEnd w:id="340"/>
      <w:r>
        <w:t>17-III.A. OVERVIEW</w:t>
      </w:r>
    </w:p>
    <w:p w:rsidR="004E13A5" w:rsidRDefault="00681463">
      <w:pPr>
        <w:pStyle w:val="BodyText"/>
      </w:pPr>
      <w:r>
        <w:t>This part identifies the special housing quality standards that apply to the PBV program, housing accessibility for persons with disabilities, and special procedures for conducting housing quality standards inspections.</w:t>
      </w:r>
    </w:p>
    <w:p w:rsidR="004E13A5" w:rsidRDefault="004E13A5">
      <w:pPr>
        <w:pStyle w:val="BodyText"/>
        <w:spacing w:before="9"/>
        <w:ind w:left="0"/>
        <w:rPr>
          <w:sz w:val="20"/>
        </w:rPr>
      </w:pPr>
    </w:p>
    <w:p w:rsidR="004E13A5" w:rsidRDefault="00681463">
      <w:pPr>
        <w:pStyle w:val="Heading4"/>
      </w:pPr>
      <w:bookmarkStart w:id="341" w:name="_TOC_250090"/>
      <w:bookmarkEnd w:id="341"/>
      <w:r>
        <w:t>17-III.B. HOUSING QUALITY STANDARDS [24 CFR 983.101]</w:t>
      </w:r>
    </w:p>
    <w:p w:rsidR="004E13A5" w:rsidRDefault="00681463">
      <w:pPr>
        <w:pStyle w:val="BodyText"/>
        <w:ind w:right="555"/>
      </w:pPr>
      <w:r>
        <w:t>The housing quality standards (</w:t>
      </w:r>
      <w:r w:rsidR="002C4221">
        <w:t>NSPIRE</w:t>
      </w:r>
      <w:r>
        <w:t xml:space="preserve">) for the tenant-based program, including those for special housing types, generally apply to the PBV program. </w:t>
      </w:r>
      <w:r w:rsidR="002C4221">
        <w:t>NSPIRE</w:t>
      </w:r>
      <w:r>
        <w:t xml:space="preserve"> requirements for shared housing, manufactured home space rental, and the homeownership option do not apply because these housing types are not assisted under the PBV program.</w:t>
      </w:r>
    </w:p>
    <w:p w:rsidR="004E13A5" w:rsidRDefault="00681463">
      <w:pPr>
        <w:pStyle w:val="BodyText"/>
      </w:pPr>
      <w:r>
        <w:t>The physical condition standards at 24 CFR 5.703 do not apply to the PBV program.</w:t>
      </w:r>
    </w:p>
    <w:p w:rsidR="004E13A5" w:rsidRDefault="004E13A5">
      <w:pPr>
        <w:sectPr w:rsidR="004E13A5">
          <w:pgSz w:w="12240" w:h="15840"/>
          <w:pgMar w:top="1000" w:right="1260" w:bottom="1240" w:left="1220" w:header="0" w:footer="998" w:gutter="0"/>
          <w:cols w:space="720"/>
        </w:sectPr>
      </w:pPr>
    </w:p>
    <w:p w:rsidR="004E13A5" w:rsidRDefault="00681463">
      <w:pPr>
        <w:pStyle w:val="Heading4"/>
        <w:spacing w:before="79"/>
      </w:pPr>
      <w:bookmarkStart w:id="342" w:name="_TOC_250089"/>
      <w:bookmarkEnd w:id="342"/>
      <w:r>
        <w:lastRenderedPageBreak/>
        <w:t>Lead-based Paint [24 CFR 983.101(c)]</w:t>
      </w:r>
    </w:p>
    <w:p w:rsidR="004E13A5" w:rsidRDefault="00681463">
      <w:pPr>
        <w:pStyle w:val="BodyText"/>
        <w:spacing w:before="120"/>
        <w:ind w:right="120"/>
      </w:pPr>
      <w:r>
        <w:t>The lead-based paint requirements for the tenant-based voucher program do not apply to the PBV program. Instead, The Lead-based Paint Poisoning Prevention Act (42 U.S.C. 4821-4846), the Residential Lead-based Paint Hazard Reduction Act of 1992 (42 U.S.C. 4851-4856), and implementing regulations at 24 CFR Part 35, Subparts A, B, H, and R, and 40 CFR 745.227, apply to the PBV program.</w:t>
      </w:r>
    </w:p>
    <w:p w:rsidR="004E13A5" w:rsidRDefault="004E13A5">
      <w:pPr>
        <w:pStyle w:val="BodyText"/>
        <w:spacing w:before="9"/>
        <w:ind w:left="0"/>
        <w:rPr>
          <w:sz w:val="20"/>
        </w:rPr>
      </w:pPr>
    </w:p>
    <w:p w:rsidR="004E13A5" w:rsidRDefault="00681463">
      <w:pPr>
        <w:pStyle w:val="Heading4"/>
      </w:pPr>
      <w:bookmarkStart w:id="343" w:name="_TOC_250088"/>
      <w:bookmarkEnd w:id="343"/>
      <w:r>
        <w:t>17-III.C. HOUSING ACCESSIBILITY FOR PERSONS WITH DISABILITIES</w:t>
      </w:r>
    </w:p>
    <w:p w:rsidR="004E13A5" w:rsidRDefault="00681463">
      <w:pPr>
        <w:pStyle w:val="BodyText"/>
        <w:ind w:right="235"/>
      </w:pPr>
      <w:r>
        <w:t>The housing must comply with program accessibility requirements of section 504 of the Rehabilitation Act of 1973 (29 U.S.C. 794) and implementing regulations at 24 CFR part 8. The PHA must ensure that the percentage of accessible dwelling units complies with the requirements of section 504 of the Rehabilitation Act of 1973 (29 U.S.C. 794), as implemented by HUD's regulations at 24 CFR 8, subpart C.</w:t>
      </w:r>
    </w:p>
    <w:p w:rsidR="004E13A5" w:rsidRDefault="00681463">
      <w:pPr>
        <w:pStyle w:val="BodyText"/>
        <w:spacing w:before="120"/>
      </w:pPr>
      <w:r>
        <w:t>Housing first occupied after March 13, 1991, must comply with design and construction requirements of the Fair Housing Amendments Act of 1988 and implementing regulations at 24 CFR 100.205, as applicable. (24 CFR 983.102)</w:t>
      </w:r>
    </w:p>
    <w:p w:rsidR="004E13A5" w:rsidRDefault="004E13A5">
      <w:pPr>
        <w:pStyle w:val="BodyText"/>
        <w:spacing w:before="9"/>
        <w:ind w:left="0"/>
        <w:rPr>
          <w:sz w:val="20"/>
        </w:rPr>
      </w:pPr>
    </w:p>
    <w:p w:rsidR="004E13A5" w:rsidRDefault="00681463">
      <w:pPr>
        <w:pStyle w:val="Heading4"/>
      </w:pPr>
      <w:bookmarkStart w:id="344" w:name="_TOC_250087"/>
      <w:bookmarkEnd w:id="344"/>
      <w:r>
        <w:t>17-III.D. INSPECTING UNITS</w:t>
      </w:r>
    </w:p>
    <w:p w:rsidR="004E13A5" w:rsidRDefault="00681463">
      <w:pPr>
        <w:pStyle w:val="Heading4"/>
        <w:spacing w:before="119"/>
      </w:pPr>
      <w:bookmarkStart w:id="345" w:name="_TOC_250086"/>
      <w:bookmarkEnd w:id="345"/>
      <w:r>
        <w:t>Pre-selection Inspection [24 CFR 983.103(a)]</w:t>
      </w:r>
    </w:p>
    <w:p w:rsidR="004E13A5" w:rsidRDefault="00681463">
      <w:pPr>
        <w:pStyle w:val="BodyText"/>
        <w:ind w:right="111"/>
      </w:pPr>
      <w:r>
        <w:t xml:space="preserve">The PHA must examine the proposed site before the proposal selection date. If the units to be assisted already exist, the PHA must inspect all the units before the proposal selection date, and must determine whether the units substantially comply with </w:t>
      </w:r>
      <w:r w:rsidR="002C4221">
        <w:t>NSPIRE</w:t>
      </w:r>
      <w:r>
        <w:t xml:space="preserve">. To qualify as existing housing, units must substantially comply with </w:t>
      </w:r>
      <w:r w:rsidR="002C4221">
        <w:t>NSPIRE</w:t>
      </w:r>
      <w:r>
        <w:t xml:space="preserve"> on the proposal selection date. However, the PHA may not execute the HAP contract until the units fully comply with </w:t>
      </w:r>
      <w:r w:rsidR="002C4221">
        <w:t>NSPIRE</w:t>
      </w:r>
      <w:r>
        <w:t xml:space="preserve">, unless the PHA has adopted a policy to enter into a HAP contract for units that fail the initial </w:t>
      </w:r>
      <w:r w:rsidR="002C4221">
        <w:t>NSPIRE</w:t>
      </w:r>
      <w:r>
        <w:t xml:space="preserve"> inspections as a result of only non-life-threatening conditions.</w:t>
      </w:r>
    </w:p>
    <w:p w:rsidR="004E13A5" w:rsidRDefault="00681463">
      <w:pPr>
        <w:pStyle w:val="Heading4"/>
        <w:spacing w:before="119"/>
      </w:pPr>
      <w:r>
        <w:t>Pre-HAP Contract Inspections [24 CFR 983.103(b); FR Notice 1/18/17]</w:t>
      </w:r>
    </w:p>
    <w:p w:rsidR="004E13A5" w:rsidRDefault="00681463">
      <w:pPr>
        <w:pStyle w:val="BodyText"/>
        <w:ind w:right="89"/>
      </w:pPr>
      <w:r>
        <w:t xml:space="preserve">The PHA must inspect each contract unit before execution of the HAP contract. The PHA may not enter into a HAP contract covering a unit until the unit fully complies with </w:t>
      </w:r>
      <w:r w:rsidR="002C4221">
        <w:t>NSPIRE</w:t>
      </w:r>
      <w:r>
        <w:t xml:space="preserve">, unless the PHA has adopted a policy to enter into a HAP contract for units that fail the initial </w:t>
      </w:r>
      <w:r w:rsidR="002C4221">
        <w:t>NSPIRE</w:t>
      </w:r>
      <w:r>
        <w:t xml:space="preserve"> inspection as a result of only non-life-threatening conditions.</w:t>
      </w:r>
    </w:p>
    <w:p w:rsidR="004E13A5" w:rsidRDefault="00681463">
      <w:pPr>
        <w:pStyle w:val="Heading4"/>
        <w:spacing w:before="119"/>
      </w:pPr>
      <w:r>
        <w:t>Turnover Inspections [24 CFR 983.103(c), FR Notice 1/18/17, and Notice PIH 2017-20]</w:t>
      </w:r>
    </w:p>
    <w:p w:rsidR="004E13A5" w:rsidRDefault="00681463">
      <w:pPr>
        <w:pStyle w:val="BodyText"/>
        <w:ind w:right="141"/>
      </w:pPr>
      <w:r>
        <w:t xml:space="preserve">Before providing assistance to a new family in a contract unit, the PHA must inspect the unit. The PHA may not provide assistance on behalf of the family until the unit fully complies with </w:t>
      </w:r>
      <w:r w:rsidR="002C4221">
        <w:t>NSPIRE</w:t>
      </w:r>
      <w:r>
        <w:t xml:space="preserve">, unless the PHA has adopted a policy to enter into a HAP contract for units that fail the initial </w:t>
      </w:r>
      <w:r w:rsidR="002C4221">
        <w:t>NSPIRE</w:t>
      </w:r>
      <w:r>
        <w:t xml:space="preserve"> inspection as a result of only non-life threatening conditions or if the unit passed an alternate inspection.</w:t>
      </w:r>
    </w:p>
    <w:p w:rsidR="004E13A5" w:rsidRDefault="00681463">
      <w:pPr>
        <w:pStyle w:val="BodyText"/>
        <w:ind w:left="820"/>
      </w:pPr>
      <w:r>
        <w:rPr>
          <w:u w:val="single"/>
        </w:rPr>
        <w:t>PHA Policy</w:t>
      </w:r>
    </w:p>
    <w:p w:rsidR="004E13A5" w:rsidRDefault="00681463">
      <w:pPr>
        <w:pStyle w:val="BodyText"/>
        <w:ind w:left="820" w:right="221"/>
      </w:pPr>
      <w:r>
        <w:t xml:space="preserve">The PHA will not enter into a PBV HAP contract until all units that will be under contract fully comply with </w:t>
      </w:r>
      <w:r w:rsidR="002C4221">
        <w:t>NSPIRE</w:t>
      </w:r>
      <w:r>
        <w:t>.</w:t>
      </w:r>
    </w:p>
    <w:p w:rsidR="004E13A5" w:rsidRDefault="004E13A5">
      <w:pPr>
        <w:sectPr w:rsidR="004E13A5">
          <w:pgSz w:w="12240" w:h="15840"/>
          <w:pgMar w:top="1000" w:right="1300" w:bottom="1240" w:left="1220" w:header="0" w:footer="998" w:gutter="0"/>
          <w:cols w:space="720"/>
        </w:sectPr>
      </w:pPr>
    </w:p>
    <w:p w:rsidR="004E13A5" w:rsidRDefault="00681463">
      <w:pPr>
        <w:pStyle w:val="Heading4"/>
        <w:spacing w:before="79"/>
      </w:pPr>
      <w:r>
        <w:lastRenderedPageBreak/>
        <w:t>Annual/Biennial Inspections [24 CFR 983.103(d); FR Notice 6/25/14]</w:t>
      </w:r>
    </w:p>
    <w:p w:rsidR="004E13A5" w:rsidRDefault="00681463">
      <w:pPr>
        <w:pStyle w:val="BodyText"/>
        <w:spacing w:before="120"/>
        <w:ind w:right="121"/>
      </w:pPr>
      <w:r>
        <w:t xml:space="preserve">At least once every 24 months during the term of the HAP contract, the PHA must inspect a random sample consisting of at least 20 percent of the contract units in each building to determine if the contract units and the premises are maintained in accordance with </w:t>
      </w:r>
      <w:r w:rsidR="002C4221">
        <w:t>NSPIRE</w:t>
      </w:r>
      <w:r>
        <w:t>. Turnover inspections are not counted toward meeting this inspection requirement. The PHA also has the option in certain mixed finance properties to rely on alternative inspections conducted at least</w:t>
      </w:r>
      <w:r>
        <w:rPr>
          <w:spacing w:val="-21"/>
        </w:rPr>
        <w:t xml:space="preserve"> </w:t>
      </w:r>
      <w:r>
        <w:t>triennially.</w:t>
      </w:r>
    </w:p>
    <w:p w:rsidR="004E13A5" w:rsidRDefault="00681463">
      <w:pPr>
        <w:pStyle w:val="BodyText"/>
        <w:ind w:left="820"/>
        <w:jc w:val="both"/>
      </w:pPr>
      <w:r>
        <w:rPr>
          <w:u w:val="single"/>
        </w:rPr>
        <w:t>PHA Policy</w:t>
      </w:r>
    </w:p>
    <w:p w:rsidR="004E13A5" w:rsidRDefault="00681463">
      <w:pPr>
        <w:pStyle w:val="BodyText"/>
        <w:ind w:left="820" w:right="246"/>
        <w:jc w:val="both"/>
      </w:pPr>
      <w:r>
        <w:t xml:space="preserve">The PHA will inspect on a biennial basis a random sample consisting of at least 20 percent of the contract units in each building to determine if the contract units and the premises are maintained in accordance with </w:t>
      </w:r>
      <w:r w:rsidR="002C4221">
        <w:t>NSPIRE</w:t>
      </w:r>
      <w:r>
        <w:t>.</w:t>
      </w:r>
    </w:p>
    <w:p w:rsidR="004E13A5" w:rsidRDefault="00681463">
      <w:pPr>
        <w:pStyle w:val="BodyText"/>
        <w:ind w:right="862"/>
      </w:pPr>
      <w:r>
        <w:t>If more than 20 percent of the sample of inspected contract units in a building fail the initial inspection, the PHA must re-inspect 100 percent of the contract units in the building.</w:t>
      </w:r>
    </w:p>
    <w:p w:rsidR="004E13A5" w:rsidRDefault="00681463">
      <w:pPr>
        <w:pStyle w:val="Heading4"/>
        <w:spacing w:before="120"/>
      </w:pPr>
      <w:bookmarkStart w:id="346" w:name="_TOC_250085"/>
      <w:bookmarkEnd w:id="346"/>
      <w:r>
        <w:t>Other Inspections [24 CFR 983.103(e)]</w:t>
      </w:r>
    </w:p>
    <w:p w:rsidR="004E13A5" w:rsidRDefault="00681463">
      <w:pPr>
        <w:pStyle w:val="BodyText"/>
        <w:spacing w:before="120"/>
        <w:ind w:right="229"/>
      </w:pPr>
      <w:r>
        <w:t xml:space="preserve">The PHA must inspect contract units whenever needed to determine that the contract units comply with </w:t>
      </w:r>
      <w:r w:rsidR="002C4221">
        <w:t>NSPIRE</w:t>
      </w:r>
      <w:r>
        <w:t xml:space="preserve"> and that the owner is providing maintenance, utilities, and other services in accordance with the HAP contract. The PHA must take into account complaints and any other information coming to its attention in scheduling inspections.</w:t>
      </w:r>
    </w:p>
    <w:p w:rsidR="004E13A5" w:rsidRDefault="00681463">
      <w:pPr>
        <w:pStyle w:val="BodyText"/>
        <w:spacing w:before="120"/>
        <w:ind w:right="95"/>
      </w:pPr>
      <w:r>
        <w:t xml:space="preserve">The PHA must conduct follow-up inspections needed to determine if the owner (or, if applicable, the family) has corrected an </w:t>
      </w:r>
      <w:r w:rsidR="002C4221">
        <w:t>NSPIRE</w:t>
      </w:r>
      <w:r>
        <w:t xml:space="preserve"> violation, and must conduct inspections to determine the basis for exercise of contractual and other remedies for owner or family violation of </w:t>
      </w:r>
      <w:r w:rsidR="002C4221">
        <w:t>NSPIRE</w:t>
      </w:r>
      <w:r>
        <w:t>.</w:t>
      </w:r>
    </w:p>
    <w:p w:rsidR="004E13A5" w:rsidRDefault="00681463">
      <w:pPr>
        <w:pStyle w:val="BodyText"/>
        <w:spacing w:before="120"/>
      </w:pPr>
      <w:r>
        <w:t xml:space="preserve">In conducting PHA supervisory quality control </w:t>
      </w:r>
      <w:r w:rsidR="002C4221">
        <w:t>NSPIRE</w:t>
      </w:r>
      <w:r>
        <w:t xml:space="preserve"> inspections, the PHA should include a representative sample of both tenant-based and project-based units.</w:t>
      </w:r>
    </w:p>
    <w:p w:rsidR="004E13A5" w:rsidRDefault="00681463">
      <w:pPr>
        <w:pStyle w:val="Heading4"/>
        <w:spacing w:before="120"/>
      </w:pPr>
      <w:bookmarkStart w:id="347" w:name="_TOC_250084"/>
      <w:bookmarkEnd w:id="347"/>
      <w:r>
        <w:t>Inspecting PHA-Owned Units [24 CFR 983.103(f)]</w:t>
      </w:r>
    </w:p>
    <w:p w:rsidR="004E13A5" w:rsidRDefault="00681463">
      <w:pPr>
        <w:pStyle w:val="BodyText"/>
        <w:spacing w:before="120"/>
        <w:ind w:right="100"/>
      </w:pPr>
      <w:r>
        <w:t>In the case of PHA-owned units, the inspections must be performed by an independent agency designated by the PHA and approved by HUD. The independent entity must furnish a copy of each inspection report to the PHA and to the HUD field office where the project is located. The PHA must take all necessary actions in response to inspection reports from the independent agency, including exercise of contractual remedies for violation of the HAP contract by the PHA-owner.</w:t>
      </w:r>
    </w:p>
    <w:p w:rsidR="004E13A5" w:rsidRDefault="00681463">
      <w:pPr>
        <w:pStyle w:val="Heading4"/>
        <w:spacing w:before="5" w:line="510" w:lineRule="atLeast"/>
        <w:ind w:right="1207" w:firstLine="1103"/>
      </w:pPr>
      <w:r>
        <w:t>PART IV: REHABILITATED AND NEWLY CONSTRUCTED UNITS 17-IV.A. OVERVIEW [24 CFR 983.151]</w:t>
      </w:r>
    </w:p>
    <w:p w:rsidR="004E13A5" w:rsidRDefault="00681463">
      <w:pPr>
        <w:pStyle w:val="BodyText"/>
        <w:ind w:right="170"/>
      </w:pPr>
      <w:r>
        <w:t>There are specific requirements that apply to PBV assistance for newly constructed or rehabilitated housing that do not apply to PBV assistance in existing housing. This part describes the requirements unique to this type of assistance.</w:t>
      </w:r>
    </w:p>
    <w:p w:rsidR="004E13A5" w:rsidRDefault="00681463">
      <w:pPr>
        <w:pStyle w:val="BodyText"/>
        <w:spacing w:before="120"/>
        <w:ind w:right="83"/>
      </w:pPr>
      <w:r>
        <w:t>Housing selected for this type of assistance may not at a later date be selected for PBV assistance as existing housing.</w:t>
      </w:r>
    </w:p>
    <w:p w:rsidR="004E13A5" w:rsidRDefault="004E13A5">
      <w:pPr>
        <w:pStyle w:val="BodyText"/>
        <w:spacing w:before="9"/>
        <w:ind w:left="0"/>
        <w:rPr>
          <w:sz w:val="20"/>
        </w:rPr>
      </w:pPr>
    </w:p>
    <w:p w:rsidR="004E13A5" w:rsidRDefault="00681463">
      <w:pPr>
        <w:pStyle w:val="Heading4"/>
        <w:spacing w:before="1"/>
      </w:pPr>
      <w:bookmarkStart w:id="348" w:name="_TOC_250083"/>
      <w:bookmarkEnd w:id="348"/>
      <w:r>
        <w:t>17-IV.B. AGREEMENT TO ENTER INTO HAP CONTRACT</w:t>
      </w:r>
    </w:p>
    <w:p w:rsidR="004E13A5" w:rsidRDefault="00681463">
      <w:pPr>
        <w:pStyle w:val="BodyText"/>
        <w:spacing w:before="120"/>
        <w:ind w:right="428"/>
      </w:pPr>
      <w:r>
        <w:t xml:space="preserve">In order to offer PBV assistance in rehabilitated or newly constructed units, the PHA must enter into an agreement to enter into HAP contract (Agreement) with the owner of the property. The Agreement must be in the form required by HUD [24 CFR 983.152(b)]. The PHA may not enter </w:t>
      </w:r>
      <w:r>
        <w:lastRenderedPageBreak/>
        <w:t>into an Agreement if commencement of construction or rehabilitation has commencement after</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pPr>
      <w:r>
        <w:lastRenderedPageBreak/>
        <w:t>proposal submission [24 CFR 983.152(c)]. Construction begins when excavation or site preparation (including clearing of the land) begins for the housing. Rehabilitation begins with the physical commencement of rehabilitation activity on the housing.</w:t>
      </w:r>
    </w:p>
    <w:p w:rsidR="004E13A5" w:rsidRDefault="00681463">
      <w:pPr>
        <w:pStyle w:val="BodyText"/>
        <w:spacing w:before="120"/>
      </w:pPr>
      <w:r>
        <w:t xml:space="preserve">In the Agreement the owner agrees to develop the PBV contract units to comply with </w:t>
      </w:r>
      <w:r w:rsidR="002C4221">
        <w:t>NSPIRE</w:t>
      </w:r>
      <w:r>
        <w:t>, and the PHA agrees that upon timely completion of such development in accordance with the terms of the Agreement, the PHA will enter into a HAP contract with the owner for the contract units [24 CFR 983.152(a)].</w:t>
      </w:r>
    </w:p>
    <w:p w:rsidR="004E13A5" w:rsidRDefault="00681463">
      <w:pPr>
        <w:pStyle w:val="Heading4"/>
        <w:spacing w:before="120"/>
      </w:pPr>
      <w:bookmarkStart w:id="349" w:name="_TOC_250082"/>
      <w:bookmarkEnd w:id="349"/>
      <w:r>
        <w:t>Content of the Agreement [24 CFR 983.152(d)]</w:t>
      </w:r>
    </w:p>
    <w:p w:rsidR="004E13A5" w:rsidRDefault="00681463">
      <w:pPr>
        <w:pStyle w:val="BodyText"/>
        <w:spacing w:before="120"/>
        <w:ind w:right="155"/>
      </w:pPr>
      <w:r>
        <w:t>At a minimum, the Agreement must describe the following features of the housing to be developed and assisted under the PBV program:</w:t>
      </w:r>
    </w:p>
    <w:p w:rsidR="004E13A5" w:rsidRDefault="00681463">
      <w:pPr>
        <w:pStyle w:val="ListParagraph"/>
        <w:numPr>
          <w:ilvl w:val="0"/>
          <w:numId w:val="93"/>
        </w:numPr>
        <w:tabs>
          <w:tab w:val="left" w:pos="460"/>
          <w:tab w:val="left" w:pos="461"/>
        </w:tabs>
        <w:rPr>
          <w:rFonts w:ascii="Symbol"/>
          <w:sz w:val="24"/>
        </w:rPr>
      </w:pPr>
      <w:r>
        <w:rPr>
          <w:sz w:val="24"/>
        </w:rPr>
        <w:t>Site and the location of the contract</w:t>
      </w:r>
      <w:r>
        <w:rPr>
          <w:spacing w:val="-8"/>
          <w:sz w:val="24"/>
        </w:rPr>
        <w:t xml:space="preserve"> </w:t>
      </w:r>
      <w:r>
        <w:rPr>
          <w:sz w:val="24"/>
        </w:rPr>
        <w:t>units;</w:t>
      </w:r>
    </w:p>
    <w:p w:rsidR="004E13A5" w:rsidRDefault="00681463">
      <w:pPr>
        <w:pStyle w:val="ListParagraph"/>
        <w:numPr>
          <w:ilvl w:val="0"/>
          <w:numId w:val="93"/>
        </w:numPr>
        <w:tabs>
          <w:tab w:val="left" w:pos="460"/>
          <w:tab w:val="left" w:pos="461"/>
        </w:tabs>
        <w:spacing w:before="118"/>
        <w:rPr>
          <w:rFonts w:ascii="Symbol"/>
          <w:sz w:val="24"/>
        </w:rPr>
      </w:pPr>
      <w:r>
        <w:rPr>
          <w:sz w:val="24"/>
        </w:rPr>
        <w:t>Number of contract units by area (size) and number of bedrooms and</w:t>
      </w:r>
      <w:r>
        <w:rPr>
          <w:spacing w:val="-10"/>
          <w:sz w:val="24"/>
        </w:rPr>
        <w:t xml:space="preserve"> </w:t>
      </w:r>
      <w:r>
        <w:rPr>
          <w:sz w:val="24"/>
        </w:rPr>
        <w:t>bathrooms;</w:t>
      </w:r>
    </w:p>
    <w:p w:rsidR="004E13A5" w:rsidRDefault="00681463">
      <w:pPr>
        <w:pStyle w:val="ListParagraph"/>
        <w:numPr>
          <w:ilvl w:val="0"/>
          <w:numId w:val="93"/>
        </w:numPr>
        <w:tabs>
          <w:tab w:val="left" w:pos="460"/>
          <w:tab w:val="left" w:pos="461"/>
        </w:tabs>
        <w:ind w:right="133"/>
        <w:rPr>
          <w:rFonts w:ascii="Symbol"/>
          <w:sz w:val="24"/>
        </w:rPr>
      </w:pPr>
      <w:r>
        <w:rPr>
          <w:sz w:val="24"/>
        </w:rPr>
        <w:t>Services, maintenance, or equipment to be supplied by the owner without charges in addition to the</w:t>
      </w:r>
      <w:r>
        <w:rPr>
          <w:spacing w:val="-3"/>
          <w:sz w:val="24"/>
        </w:rPr>
        <w:t xml:space="preserve"> </w:t>
      </w:r>
      <w:r>
        <w:rPr>
          <w:sz w:val="24"/>
        </w:rPr>
        <w:t>rent;</w:t>
      </w:r>
    </w:p>
    <w:p w:rsidR="004E13A5" w:rsidRDefault="00681463">
      <w:pPr>
        <w:pStyle w:val="ListParagraph"/>
        <w:numPr>
          <w:ilvl w:val="0"/>
          <w:numId w:val="93"/>
        </w:numPr>
        <w:tabs>
          <w:tab w:val="left" w:pos="460"/>
          <w:tab w:val="left" w:pos="461"/>
        </w:tabs>
        <w:ind w:right="148"/>
        <w:rPr>
          <w:rFonts w:ascii="Symbol"/>
          <w:sz w:val="24"/>
        </w:rPr>
      </w:pPr>
      <w:r>
        <w:rPr>
          <w:sz w:val="24"/>
        </w:rPr>
        <w:t>Utilities available to the contract units, including a specification of utility services to be paid</w:t>
      </w:r>
      <w:r>
        <w:rPr>
          <w:spacing w:val="-21"/>
          <w:sz w:val="24"/>
        </w:rPr>
        <w:t xml:space="preserve"> </w:t>
      </w:r>
      <w:r>
        <w:rPr>
          <w:spacing w:val="2"/>
          <w:sz w:val="24"/>
        </w:rPr>
        <w:t xml:space="preserve">by </w:t>
      </w:r>
      <w:r>
        <w:rPr>
          <w:sz w:val="24"/>
        </w:rPr>
        <w:t xml:space="preserve">the owner and utility services to be paid </w:t>
      </w:r>
      <w:r>
        <w:rPr>
          <w:spacing w:val="2"/>
          <w:sz w:val="24"/>
        </w:rPr>
        <w:t xml:space="preserve">by </w:t>
      </w:r>
      <w:r>
        <w:rPr>
          <w:sz w:val="24"/>
        </w:rPr>
        <w:t>the</w:t>
      </w:r>
      <w:r>
        <w:rPr>
          <w:spacing w:val="-17"/>
          <w:sz w:val="24"/>
        </w:rPr>
        <w:t xml:space="preserve"> </w:t>
      </w:r>
      <w:r>
        <w:rPr>
          <w:sz w:val="24"/>
        </w:rPr>
        <w:t>tenant;</w:t>
      </w:r>
    </w:p>
    <w:p w:rsidR="004E13A5" w:rsidRDefault="00681463">
      <w:pPr>
        <w:pStyle w:val="ListParagraph"/>
        <w:numPr>
          <w:ilvl w:val="0"/>
          <w:numId w:val="93"/>
        </w:numPr>
        <w:tabs>
          <w:tab w:val="left" w:pos="460"/>
          <w:tab w:val="left" w:pos="461"/>
        </w:tabs>
        <w:ind w:right="344"/>
        <w:rPr>
          <w:rFonts w:ascii="Symbol"/>
          <w:sz w:val="24"/>
        </w:rPr>
      </w:pPr>
      <w:r>
        <w:rPr>
          <w:sz w:val="24"/>
        </w:rPr>
        <w:t>An indication of whether or not the design and construction requirements of the Fair Housing Act and section 504 of the Rehabilitation Act of 1973 apply to units under the Agreement. If applicable, any required work item resulting from these requirements must be included in the description of work to be performed under the</w:t>
      </w:r>
      <w:r>
        <w:rPr>
          <w:spacing w:val="-9"/>
          <w:sz w:val="24"/>
        </w:rPr>
        <w:t xml:space="preserve"> </w:t>
      </w:r>
      <w:r>
        <w:rPr>
          <w:sz w:val="24"/>
        </w:rPr>
        <w:t>Agreement;</w:t>
      </w:r>
    </w:p>
    <w:p w:rsidR="004E13A5" w:rsidRDefault="00681463">
      <w:pPr>
        <w:pStyle w:val="ListParagraph"/>
        <w:numPr>
          <w:ilvl w:val="0"/>
          <w:numId w:val="93"/>
        </w:numPr>
        <w:tabs>
          <w:tab w:val="left" w:pos="460"/>
          <w:tab w:val="left" w:pos="461"/>
        </w:tabs>
        <w:rPr>
          <w:rFonts w:ascii="Symbol"/>
          <w:sz w:val="24"/>
        </w:rPr>
      </w:pPr>
      <w:r>
        <w:rPr>
          <w:sz w:val="24"/>
        </w:rPr>
        <w:t>Estimated initial rents to owner for the contract</w:t>
      </w:r>
      <w:r>
        <w:rPr>
          <w:spacing w:val="-11"/>
          <w:sz w:val="24"/>
        </w:rPr>
        <w:t xml:space="preserve"> </w:t>
      </w:r>
      <w:r>
        <w:rPr>
          <w:sz w:val="24"/>
        </w:rPr>
        <w:t>units;</w:t>
      </w:r>
    </w:p>
    <w:p w:rsidR="004E13A5" w:rsidRDefault="00681463">
      <w:pPr>
        <w:pStyle w:val="ListParagraph"/>
        <w:numPr>
          <w:ilvl w:val="0"/>
          <w:numId w:val="93"/>
        </w:numPr>
        <w:tabs>
          <w:tab w:val="left" w:pos="460"/>
          <w:tab w:val="left" w:pos="461"/>
        </w:tabs>
        <w:spacing w:before="118"/>
        <w:ind w:right="201"/>
        <w:rPr>
          <w:rFonts w:ascii="Symbol"/>
          <w:sz w:val="24"/>
        </w:rPr>
      </w:pPr>
      <w:r>
        <w:rPr>
          <w:sz w:val="24"/>
        </w:rPr>
        <w:t>Description of the work to be performed under the Agreement. For rehabilitated units, the description must include the rehabilitation work write up and, where determined necessary by the PHA, specifications and plans. For new construction units, the description must include</w:t>
      </w:r>
      <w:r>
        <w:rPr>
          <w:spacing w:val="-14"/>
          <w:sz w:val="24"/>
        </w:rPr>
        <w:t xml:space="preserve"> </w:t>
      </w:r>
      <w:r>
        <w:rPr>
          <w:sz w:val="24"/>
        </w:rPr>
        <w:t>the working drawings and</w:t>
      </w:r>
      <w:r>
        <w:rPr>
          <w:spacing w:val="-9"/>
          <w:sz w:val="24"/>
        </w:rPr>
        <w:t xml:space="preserve"> </w:t>
      </w:r>
      <w:r>
        <w:rPr>
          <w:sz w:val="24"/>
        </w:rPr>
        <w:t>specifications.</w:t>
      </w:r>
    </w:p>
    <w:p w:rsidR="004E13A5" w:rsidRDefault="00681463">
      <w:pPr>
        <w:pStyle w:val="ListParagraph"/>
        <w:numPr>
          <w:ilvl w:val="0"/>
          <w:numId w:val="93"/>
        </w:numPr>
        <w:tabs>
          <w:tab w:val="left" w:pos="460"/>
          <w:tab w:val="left" w:pos="461"/>
        </w:tabs>
        <w:rPr>
          <w:rFonts w:ascii="Symbol"/>
          <w:sz w:val="24"/>
        </w:rPr>
      </w:pPr>
      <w:r>
        <w:rPr>
          <w:sz w:val="24"/>
        </w:rPr>
        <w:t>Any additional requirements for quality, architecture, or design over and above</w:t>
      </w:r>
      <w:r>
        <w:rPr>
          <w:spacing w:val="-17"/>
          <w:sz w:val="24"/>
        </w:rPr>
        <w:t xml:space="preserve"> </w:t>
      </w:r>
      <w:r w:rsidR="002C4221">
        <w:rPr>
          <w:sz w:val="24"/>
        </w:rPr>
        <w:t>NSPIRE</w:t>
      </w:r>
      <w:r>
        <w:rPr>
          <w:sz w:val="24"/>
        </w:rPr>
        <w:t>.</w:t>
      </w:r>
    </w:p>
    <w:p w:rsidR="004E13A5" w:rsidRDefault="00681463">
      <w:pPr>
        <w:pStyle w:val="Heading4"/>
        <w:spacing w:before="119"/>
      </w:pPr>
      <w:r>
        <w:t>Execution of the Agreement [24 CFR 983.153]</w:t>
      </w:r>
    </w:p>
    <w:p w:rsidR="004E13A5" w:rsidRDefault="00681463">
      <w:pPr>
        <w:pStyle w:val="BodyText"/>
        <w:spacing w:before="120"/>
        <w:ind w:right="108"/>
      </w:pPr>
      <w:r>
        <w:t>The Agreement must be executed promptly after PHA notice of proposal selection to the selected owner. The PHA may not enter into the Agreement if construction or rehabilitation has started after proposal submission. Generally, the PHA may not enter into the Agreement with the owner until the subsidy layering review is completed. Likewise, the PHA may not enter into the Agreement until the environmental review is completed and the PHA has received environmental approval.</w:t>
      </w:r>
    </w:p>
    <w:p w:rsidR="004E13A5" w:rsidRDefault="00681463">
      <w:pPr>
        <w:pStyle w:val="BodyText"/>
        <w:spacing w:before="0"/>
        <w:ind w:right="116"/>
      </w:pPr>
      <w:r>
        <w:t>However, the PHA does not need to conduct a subsidy layering review in the case of a HAP contract for existing housing or if the applicable state or local agency has conducted such a review. Similarly, environmental reviews are not required for existing structures unless otherwise required by law or regulation.</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enter into the Agreement with the owner within 10 business days of receiving both environmental approval and notice that subsidy layering requirements have been met, and before construction or rehabilitation work is started.</w:t>
      </w:r>
    </w:p>
    <w:p w:rsidR="004E13A5" w:rsidRDefault="004E13A5">
      <w:pPr>
        <w:sectPr w:rsidR="004E13A5">
          <w:pgSz w:w="12240" w:h="15840"/>
          <w:pgMar w:top="1000" w:right="1240" w:bottom="1240" w:left="1220" w:header="0" w:footer="998" w:gutter="0"/>
          <w:cols w:space="720"/>
        </w:sectPr>
      </w:pPr>
    </w:p>
    <w:p w:rsidR="004E13A5" w:rsidRDefault="00681463">
      <w:pPr>
        <w:pStyle w:val="Heading4"/>
        <w:spacing w:before="95"/>
      </w:pPr>
      <w:bookmarkStart w:id="350" w:name="_TOC_250081"/>
      <w:bookmarkEnd w:id="350"/>
      <w:r>
        <w:lastRenderedPageBreak/>
        <w:t>17-IV.C. CONDUCT OF DEVELOPMENT WORK</w:t>
      </w:r>
    </w:p>
    <w:p w:rsidR="004E13A5" w:rsidRDefault="00681463">
      <w:pPr>
        <w:pStyle w:val="Heading4"/>
        <w:spacing w:before="119"/>
      </w:pPr>
      <w:bookmarkStart w:id="351" w:name="_TOC_250080"/>
      <w:bookmarkEnd w:id="351"/>
      <w:r>
        <w:t>Labor Standards [24 CFR 983.154(b)]</w:t>
      </w:r>
    </w:p>
    <w:p w:rsidR="004E13A5" w:rsidRDefault="00681463">
      <w:pPr>
        <w:pStyle w:val="BodyText"/>
        <w:ind w:right="219"/>
      </w:pPr>
      <w:r>
        <w:t>If an Agreement covers the development of nine or more contract units (whether or not completed in stages), the owner and the owner’s contractors and subcontractors must pay Davis-Bacon wages to laborers and mechanics employed in the development of housing. The HUD-prescribed form of the Agreement will include the labor standards clauses required by HUD, such as those involving Davis-Bacon wage rates.</w:t>
      </w:r>
    </w:p>
    <w:p w:rsidR="004E13A5" w:rsidRDefault="00681463">
      <w:pPr>
        <w:pStyle w:val="BodyText"/>
        <w:ind w:right="183"/>
      </w:pPr>
      <w:r>
        <w:t>The owner, contractors, and subcontractors must also comply with the Contract Work Hours and Safety Standards Act, Department of Labor regulations in 29 CFR part 5, and other applicable federal labor relations laws and regulations. The PHA must monitor compliance with labor standards.</w:t>
      </w:r>
    </w:p>
    <w:p w:rsidR="004E13A5" w:rsidRDefault="00681463">
      <w:pPr>
        <w:pStyle w:val="Heading4"/>
        <w:spacing w:before="120"/>
      </w:pPr>
      <w:bookmarkStart w:id="352" w:name="_TOC_250079"/>
      <w:bookmarkEnd w:id="352"/>
      <w:r>
        <w:t>Owner Disclosure [24 CFR 983.154(d) and (e)]</w:t>
      </w:r>
    </w:p>
    <w:p w:rsidR="004E13A5" w:rsidRDefault="00681463">
      <w:pPr>
        <w:pStyle w:val="BodyText"/>
        <w:spacing w:before="120"/>
        <w:ind w:right="149"/>
      </w:pPr>
      <w:r>
        <w:t>The Agreement and HAP contract must include a certification by the owner that the owner and other project principals are not on the U.S. General Services Administration list of parties excluded from federal procurement and non-procurement programs.</w:t>
      </w:r>
    </w:p>
    <w:p w:rsidR="004E13A5" w:rsidRDefault="00681463">
      <w:pPr>
        <w:pStyle w:val="BodyText"/>
        <w:spacing w:before="120"/>
        <w:ind w:right="708"/>
      </w:pPr>
      <w:r>
        <w:t>The owner must also disclose any possible conflict of interest that would be a violation of the Agreement, the HAP contract, or HUD regulations.</w:t>
      </w:r>
    </w:p>
    <w:p w:rsidR="004E13A5" w:rsidRDefault="004E13A5">
      <w:pPr>
        <w:pStyle w:val="BodyText"/>
        <w:spacing w:before="9"/>
        <w:ind w:left="0"/>
        <w:rPr>
          <w:sz w:val="20"/>
        </w:rPr>
      </w:pPr>
    </w:p>
    <w:p w:rsidR="004E13A5" w:rsidRDefault="00681463">
      <w:pPr>
        <w:pStyle w:val="Heading4"/>
        <w:spacing w:before="1"/>
      </w:pPr>
      <w:bookmarkStart w:id="353" w:name="_TOC_250078"/>
      <w:bookmarkEnd w:id="353"/>
      <w:r>
        <w:t>17-IV.D. COMPLETION OF HOUSING</w:t>
      </w:r>
    </w:p>
    <w:p w:rsidR="004E13A5" w:rsidRDefault="00681463">
      <w:pPr>
        <w:pStyle w:val="BodyText"/>
        <w:spacing w:before="120"/>
      </w:pPr>
      <w:r>
        <w:t>The Agreement must specify the deadlines for completion of the housing, and the owner must develop and complete the housing in accordance with these deadlines. The Agreement must also specify the deadline for submission by the owner of the required evidence of completion.</w:t>
      </w:r>
    </w:p>
    <w:p w:rsidR="004E13A5" w:rsidRDefault="00681463">
      <w:pPr>
        <w:pStyle w:val="Heading4"/>
        <w:spacing w:before="120"/>
      </w:pPr>
      <w:bookmarkStart w:id="354" w:name="_TOC_250077"/>
      <w:bookmarkEnd w:id="354"/>
      <w:r>
        <w:t>Evidence of Completion [24 CFR 983.155(b)]</w:t>
      </w:r>
    </w:p>
    <w:p w:rsidR="004E13A5" w:rsidRDefault="00681463">
      <w:pPr>
        <w:pStyle w:val="BodyText"/>
        <w:ind w:right="568"/>
      </w:pPr>
      <w:r>
        <w:t>At a minimum, the owner must submit the following evidence of completion to the PHA in the form and manner required by the PHA:</w:t>
      </w:r>
    </w:p>
    <w:p w:rsidR="004E13A5" w:rsidRDefault="00681463">
      <w:pPr>
        <w:pStyle w:val="ListParagraph"/>
        <w:numPr>
          <w:ilvl w:val="0"/>
          <w:numId w:val="93"/>
        </w:numPr>
        <w:tabs>
          <w:tab w:val="left" w:pos="460"/>
          <w:tab w:val="left" w:pos="461"/>
        </w:tabs>
        <w:ind w:right="1066"/>
        <w:rPr>
          <w:rFonts w:ascii="Symbol"/>
          <w:sz w:val="24"/>
        </w:rPr>
      </w:pPr>
      <w:r>
        <w:rPr>
          <w:sz w:val="24"/>
        </w:rPr>
        <w:t xml:space="preserve">Owner certification that the work has been completed in accordance with </w:t>
      </w:r>
      <w:r w:rsidR="002C4221">
        <w:rPr>
          <w:sz w:val="24"/>
        </w:rPr>
        <w:t>NSPIRE</w:t>
      </w:r>
      <w:r>
        <w:rPr>
          <w:sz w:val="24"/>
        </w:rPr>
        <w:t xml:space="preserve"> and all requirements of the Agreement;</w:t>
      </w:r>
      <w:r>
        <w:rPr>
          <w:spacing w:val="-7"/>
          <w:sz w:val="24"/>
        </w:rPr>
        <w:t xml:space="preserve"> </w:t>
      </w:r>
      <w:r>
        <w:rPr>
          <w:sz w:val="24"/>
        </w:rPr>
        <w:t>and</w:t>
      </w:r>
    </w:p>
    <w:p w:rsidR="004E13A5" w:rsidRDefault="00681463">
      <w:pPr>
        <w:pStyle w:val="ListParagraph"/>
        <w:numPr>
          <w:ilvl w:val="0"/>
          <w:numId w:val="93"/>
        </w:numPr>
        <w:tabs>
          <w:tab w:val="left" w:pos="460"/>
          <w:tab w:val="left" w:pos="461"/>
        </w:tabs>
        <w:ind w:right="524"/>
        <w:rPr>
          <w:rFonts w:ascii="Symbol"/>
          <w:sz w:val="24"/>
        </w:rPr>
      </w:pPr>
      <w:r>
        <w:rPr>
          <w:sz w:val="24"/>
        </w:rPr>
        <w:t>Owner certification that the owner has complied with labor standards and equal opportunity requirements in development of the</w:t>
      </w:r>
      <w:r>
        <w:rPr>
          <w:spacing w:val="-10"/>
          <w:sz w:val="24"/>
        </w:rPr>
        <w:t xml:space="preserve"> </w:t>
      </w:r>
      <w:r>
        <w:rPr>
          <w:sz w:val="24"/>
        </w:rPr>
        <w:t>housing.</w:t>
      </w:r>
    </w:p>
    <w:p w:rsidR="004E13A5" w:rsidRDefault="00681463">
      <w:pPr>
        <w:pStyle w:val="BodyText"/>
        <w:ind w:right="862"/>
      </w:pPr>
      <w:r>
        <w:t>At the PHA’s discretion, the Agreement may specify additional documentation that must be submitted by the owner as evidence of housing completion.</w:t>
      </w:r>
    </w:p>
    <w:p w:rsidR="004E13A5" w:rsidRDefault="00681463">
      <w:pPr>
        <w:pStyle w:val="BodyText"/>
        <w:ind w:left="820"/>
      </w:pPr>
      <w:r>
        <w:rPr>
          <w:u w:val="single"/>
        </w:rPr>
        <w:t>PHA Policy</w:t>
      </w:r>
    </w:p>
    <w:p w:rsidR="004E13A5" w:rsidRDefault="00681463">
      <w:pPr>
        <w:pStyle w:val="BodyText"/>
        <w:spacing w:before="120"/>
        <w:ind w:left="820" w:right="82"/>
      </w:pPr>
      <w:r>
        <w:t>The PHA will determine the need for the owner to submit additional documentation as evidence of housing completion on a case-by-case basis depending on the nature of the PBV project. The PHA will specify any additional documentation requirements in the Agreement to enter into HAP contract.</w:t>
      </w:r>
    </w:p>
    <w:p w:rsidR="004E13A5" w:rsidRDefault="00681463">
      <w:pPr>
        <w:pStyle w:val="Heading4"/>
        <w:spacing w:before="120"/>
      </w:pPr>
      <w:bookmarkStart w:id="355" w:name="_TOC_250076"/>
      <w:bookmarkEnd w:id="355"/>
      <w:r>
        <w:t>PHA Acceptance of Completed Units [24 CFR 983.156]</w:t>
      </w:r>
    </w:p>
    <w:p w:rsidR="004E13A5" w:rsidRDefault="00681463">
      <w:pPr>
        <w:pStyle w:val="BodyText"/>
        <w:spacing w:before="120"/>
        <w:ind w:right="395"/>
      </w:pPr>
      <w:r>
        <w:t>Upon notice from the owner that the housing is completed, the PHA must inspect to determine if the housing has been completed in accordance with the Agreement, including compliance with</w:t>
      </w:r>
    </w:p>
    <w:p w:rsidR="004E13A5" w:rsidRDefault="004E13A5">
      <w:pPr>
        <w:sectPr w:rsidR="004E13A5">
          <w:pgSz w:w="12240" w:h="15840"/>
          <w:pgMar w:top="1500" w:right="1220" w:bottom="1240" w:left="1220" w:header="0" w:footer="998" w:gutter="0"/>
          <w:cols w:space="720"/>
        </w:sectPr>
      </w:pPr>
    </w:p>
    <w:p w:rsidR="004E13A5" w:rsidRDefault="002C4221">
      <w:pPr>
        <w:pStyle w:val="BodyText"/>
        <w:spacing w:before="79"/>
        <w:ind w:right="1088"/>
      </w:pPr>
      <w:r>
        <w:lastRenderedPageBreak/>
        <w:t>NSPIRE</w:t>
      </w:r>
      <w:r w:rsidR="00681463">
        <w:t xml:space="preserve"> and any additional requirements imposed under the Agreement. The PHA must also determine if the owner has submitted all required evidence of completion.</w:t>
      </w:r>
    </w:p>
    <w:p w:rsidR="004E13A5" w:rsidRDefault="00681463">
      <w:pPr>
        <w:pStyle w:val="BodyText"/>
        <w:spacing w:before="120"/>
      </w:pPr>
      <w:r>
        <w:t>If the work has not been completed in accordance with the Agreement, the PHA must not enter into the HAP contract.</w:t>
      </w:r>
    </w:p>
    <w:p w:rsidR="004E13A5" w:rsidRDefault="00681463">
      <w:pPr>
        <w:pStyle w:val="BodyText"/>
        <w:ind w:right="100"/>
      </w:pPr>
      <w:r>
        <w:t>If the PHA determines the work has been completed in accordance with the Agreement and that the owner has submitted all required evidence of completion, the PHA must submit the HAP contract for execution by the owner and must then execute the HAP contract.</w:t>
      </w:r>
    </w:p>
    <w:p w:rsidR="004E13A5" w:rsidRDefault="00681463">
      <w:pPr>
        <w:pStyle w:val="Heading4"/>
        <w:spacing w:before="5" w:line="510" w:lineRule="atLeast"/>
        <w:ind w:right="1215" w:firstLine="1151"/>
      </w:pPr>
      <w:r>
        <w:t>PART V: HOUSING ASSISTANCE PAYMENTS CONTRACT (HAP) 17-V.A. OVERVIEW</w:t>
      </w:r>
    </w:p>
    <w:p w:rsidR="004E13A5" w:rsidRDefault="00681463">
      <w:pPr>
        <w:pStyle w:val="BodyText"/>
      </w:pPr>
      <w:r>
        <w:t>The PHA must enter into a HAP contract with an owner for units that are receiving PBV assistance. The purpose of the HAP contract is to provide housing assistance payments for eligible families.</w:t>
      </w:r>
    </w:p>
    <w:p w:rsidR="004E13A5" w:rsidRDefault="00681463">
      <w:pPr>
        <w:pStyle w:val="BodyText"/>
        <w:spacing w:before="0"/>
        <w:ind w:right="478"/>
        <w:jc w:val="both"/>
      </w:pPr>
      <w:r>
        <w:t>Housing assistance is paid for contract units leased and occupied by eligible families during the HAP contract term. With the exception of single-family scattered-site projects, a HAP contract shall cover a single project. If multiple projects exist, each project is covered by a separate</w:t>
      </w:r>
      <w:r>
        <w:rPr>
          <w:spacing w:val="-19"/>
        </w:rPr>
        <w:t xml:space="preserve"> </w:t>
      </w:r>
      <w:r>
        <w:t>HAP contract. The HAP contract must be in the form required by HUD [24 CFR</w:t>
      </w:r>
      <w:r>
        <w:rPr>
          <w:spacing w:val="-16"/>
        </w:rPr>
        <w:t xml:space="preserve"> </w:t>
      </w:r>
      <w:r>
        <w:t>983.202(a)].</w:t>
      </w:r>
    </w:p>
    <w:p w:rsidR="004E13A5" w:rsidRDefault="004E13A5">
      <w:pPr>
        <w:pStyle w:val="BodyText"/>
        <w:spacing w:before="10"/>
        <w:ind w:left="0"/>
        <w:rPr>
          <w:sz w:val="20"/>
        </w:rPr>
      </w:pPr>
    </w:p>
    <w:p w:rsidR="004E13A5" w:rsidRDefault="00681463">
      <w:pPr>
        <w:pStyle w:val="Heading4"/>
      </w:pPr>
      <w:bookmarkStart w:id="356" w:name="_TOC_250075"/>
      <w:bookmarkEnd w:id="356"/>
      <w:r>
        <w:t>17-V.B. HAP CONTRACT REQUIREMENTS</w:t>
      </w:r>
    </w:p>
    <w:p w:rsidR="004E13A5" w:rsidRDefault="00681463">
      <w:pPr>
        <w:pStyle w:val="Heading4"/>
        <w:spacing w:before="120"/>
      </w:pPr>
      <w:bookmarkStart w:id="357" w:name="_TOC_250074"/>
      <w:bookmarkEnd w:id="357"/>
      <w:r>
        <w:t>Contract Information [24 CFR 983.203]</w:t>
      </w:r>
    </w:p>
    <w:p w:rsidR="004E13A5" w:rsidRDefault="00681463">
      <w:pPr>
        <w:pStyle w:val="BodyText"/>
        <w:spacing w:before="120"/>
      </w:pPr>
      <w:r>
        <w:t>The HAP contract must specify the following information:</w:t>
      </w:r>
    </w:p>
    <w:p w:rsidR="004E13A5" w:rsidRDefault="00681463">
      <w:pPr>
        <w:pStyle w:val="ListParagraph"/>
        <w:numPr>
          <w:ilvl w:val="0"/>
          <w:numId w:val="93"/>
        </w:numPr>
        <w:tabs>
          <w:tab w:val="left" w:pos="460"/>
          <w:tab w:val="left" w:pos="461"/>
        </w:tabs>
        <w:rPr>
          <w:rFonts w:ascii="Symbol"/>
          <w:sz w:val="24"/>
        </w:rPr>
      </w:pPr>
      <w:r>
        <w:rPr>
          <w:sz w:val="24"/>
        </w:rPr>
        <w:t>The total number of contract units by number of</w:t>
      </w:r>
      <w:r>
        <w:rPr>
          <w:spacing w:val="-11"/>
          <w:sz w:val="24"/>
        </w:rPr>
        <w:t xml:space="preserve"> </w:t>
      </w:r>
      <w:r>
        <w:rPr>
          <w:sz w:val="24"/>
        </w:rPr>
        <w:t>bedrooms;</w:t>
      </w:r>
    </w:p>
    <w:p w:rsidR="004E13A5" w:rsidRDefault="00681463">
      <w:pPr>
        <w:pStyle w:val="ListParagraph"/>
        <w:numPr>
          <w:ilvl w:val="0"/>
          <w:numId w:val="93"/>
        </w:numPr>
        <w:tabs>
          <w:tab w:val="left" w:pos="460"/>
          <w:tab w:val="left" w:pos="461"/>
        </w:tabs>
        <w:spacing w:before="118"/>
        <w:ind w:right="326"/>
        <w:rPr>
          <w:rFonts w:ascii="Symbol" w:hAnsi="Symbol"/>
          <w:sz w:val="24"/>
        </w:rPr>
      </w:pPr>
      <w:r>
        <w:rPr>
          <w:sz w:val="24"/>
        </w:rPr>
        <w:t>The project’s name, street address, city or county, state and zip code, block and lot number (if known), and any other information necessary to clearly identify the site and the</w:t>
      </w:r>
      <w:r>
        <w:rPr>
          <w:spacing w:val="-15"/>
          <w:sz w:val="24"/>
        </w:rPr>
        <w:t xml:space="preserve"> </w:t>
      </w:r>
      <w:r>
        <w:rPr>
          <w:sz w:val="24"/>
        </w:rPr>
        <w:t>building;</w:t>
      </w:r>
    </w:p>
    <w:p w:rsidR="004E13A5" w:rsidRDefault="00681463">
      <w:pPr>
        <w:pStyle w:val="ListParagraph"/>
        <w:numPr>
          <w:ilvl w:val="0"/>
          <w:numId w:val="93"/>
        </w:numPr>
        <w:tabs>
          <w:tab w:val="left" w:pos="460"/>
          <w:tab w:val="left" w:pos="461"/>
        </w:tabs>
        <w:ind w:right="543"/>
        <w:rPr>
          <w:rFonts w:ascii="Symbol"/>
          <w:sz w:val="24"/>
        </w:rPr>
      </w:pPr>
      <w:r>
        <w:rPr>
          <w:sz w:val="24"/>
        </w:rPr>
        <w:t>The number of contract units in each building, the location of each contract unit, the area</w:t>
      </w:r>
      <w:r>
        <w:rPr>
          <w:spacing w:val="-13"/>
          <w:sz w:val="24"/>
        </w:rPr>
        <w:t xml:space="preserve"> </w:t>
      </w:r>
      <w:r>
        <w:rPr>
          <w:sz w:val="24"/>
        </w:rPr>
        <w:t>of each contract unit, and the number of bedrooms and bathrooms in each contract</w:t>
      </w:r>
      <w:r>
        <w:rPr>
          <w:spacing w:val="-11"/>
          <w:sz w:val="24"/>
        </w:rPr>
        <w:t xml:space="preserve"> </w:t>
      </w:r>
      <w:r>
        <w:rPr>
          <w:sz w:val="24"/>
        </w:rPr>
        <w:t>unit;</w:t>
      </w:r>
    </w:p>
    <w:p w:rsidR="004E13A5" w:rsidRDefault="00681463">
      <w:pPr>
        <w:pStyle w:val="ListParagraph"/>
        <w:numPr>
          <w:ilvl w:val="0"/>
          <w:numId w:val="93"/>
        </w:numPr>
        <w:tabs>
          <w:tab w:val="left" w:pos="460"/>
          <w:tab w:val="left" w:pos="461"/>
        </w:tabs>
        <w:ind w:right="609"/>
        <w:rPr>
          <w:rFonts w:ascii="Symbol"/>
          <w:sz w:val="24"/>
        </w:rPr>
      </w:pPr>
      <w:r>
        <w:rPr>
          <w:sz w:val="24"/>
        </w:rPr>
        <w:t>Services, maintenance, and equipment to be supplied by the owner and included in the</w:t>
      </w:r>
      <w:r>
        <w:rPr>
          <w:spacing w:val="-13"/>
          <w:sz w:val="24"/>
        </w:rPr>
        <w:t xml:space="preserve"> </w:t>
      </w:r>
      <w:r>
        <w:rPr>
          <w:sz w:val="24"/>
        </w:rPr>
        <w:t>rent to</w:t>
      </w:r>
      <w:r>
        <w:rPr>
          <w:spacing w:val="-2"/>
          <w:sz w:val="24"/>
        </w:rPr>
        <w:t xml:space="preserve"> </w:t>
      </w:r>
      <w:r>
        <w:rPr>
          <w:sz w:val="24"/>
        </w:rPr>
        <w:t>owner;</w:t>
      </w:r>
    </w:p>
    <w:p w:rsidR="004E13A5" w:rsidRDefault="00681463">
      <w:pPr>
        <w:pStyle w:val="ListParagraph"/>
        <w:numPr>
          <w:ilvl w:val="0"/>
          <w:numId w:val="93"/>
        </w:numPr>
        <w:tabs>
          <w:tab w:val="left" w:pos="460"/>
          <w:tab w:val="left" w:pos="461"/>
        </w:tabs>
        <w:ind w:right="168"/>
        <w:rPr>
          <w:rFonts w:ascii="Symbol"/>
          <w:sz w:val="24"/>
        </w:rPr>
      </w:pPr>
      <w:r>
        <w:rPr>
          <w:sz w:val="24"/>
        </w:rPr>
        <w:t>Utilities available to the contract units, including a specification of utility services to be paid</w:t>
      </w:r>
      <w:r>
        <w:rPr>
          <w:spacing w:val="-21"/>
          <w:sz w:val="24"/>
        </w:rPr>
        <w:t xml:space="preserve"> </w:t>
      </w:r>
      <w:r>
        <w:rPr>
          <w:spacing w:val="2"/>
          <w:sz w:val="24"/>
        </w:rPr>
        <w:t xml:space="preserve">by </w:t>
      </w:r>
      <w:r>
        <w:rPr>
          <w:sz w:val="24"/>
        </w:rPr>
        <w:t xml:space="preserve">the owner (included in rent) and utility services to be paid </w:t>
      </w:r>
      <w:r>
        <w:rPr>
          <w:spacing w:val="2"/>
          <w:sz w:val="24"/>
        </w:rPr>
        <w:t xml:space="preserve">by </w:t>
      </w:r>
      <w:r>
        <w:rPr>
          <w:sz w:val="24"/>
        </w:rPr>
        <w:t>the</w:t>
      </w:r>
      <w:r>
        <w:rPr>
          <w:spacing w:val="-21"/>
          <w:sz w:val="24"/>
        </w:rPr>
        <w:t xml:space="preserve"> </w:t>
      </w:r>
      <w:r>
        <w:rPr>
          <w:sz w:val="24"/>
        </w:rPr>
        <w:t>tenant;</w:t>
      </w:r>
    </w:p>
    <w:p w:rsidR="004E13A5" w:rsidRDefault="00681463">
      <w:pPr>
        <w:pStyle w:val="ListParagraph"/>
        <w:numPr>
          <w:ilvl w:val="0"/>
          <w:numId w:val="93"/>
        </w:numPr>
        <w:tabs>
          <w:tab w:val="left" w:pos="460"/>
          <w:tab w:val="left" w:pos="461"/>
        </w:tabs>
        <w:ind w:right="594"/>
        <w:rPr>
          <w:rFonts w:ascii="Symbol"/>
          <w:sz w:val="24"/>
        </w:rPr>
      </w:pPr>
      <w:r>
        <w:rPr>
          <w:sz w:val="24"/>
        </w:rPr>
        <w:t>Features provided to comply with program accessibility requirements of Section 504 of</w:t>
      </w:r>
      <w:r>
        <w:rPr>
          <w:spacing w:val="-15"/>
          <w:sz w:val="24"/>
        </w:rPr>
        <w:t xml:space="preserve"> </w:t>
      </w:r>
      <w:r>
        <w:rPr>
          <w:sz w:val="24"/>
        </w:rPr>
        <w:t>the Rehabilitation Act of 1973 and implementing regulations at 24 CFR part</w:t>
      </w:r>
      <w:r>
        <w:rPr>
          <w:spacing w:val="-15"/>
          <w:sz w:val="24"/>
        </w:rPr>
        <w:t xml:space="preserve"> </w:t>
      </w:r>
      <w:r>
        <w:rPr>
          <w:sz w:val="24"/>
        </w:rPr>
        <w:t>8;</w:t>
      </w:r>
    </w:p>
    <w:p w:rsidR="004E13A5" w:rsidRDefault="00681463">
      <w:pPr>
        <w:pStyle w:val="ListParagraph"/>
        <w:numPr>
          <w:ilvl w:val="0"/>
          <w:numId w:val="93"/>
        </w:numPr>
        <w:tabs>
          <w:tab w:val="left" w:pos="460"/>
          <w:tab w:val="left" w:pos="461"/>
        </w:tabs>
        <w:rPr>
          <w:rFonts w:ascii="Symbol"/>
          <w:sz w:val="24"/>
        </w:rPr>
      </w:pPr>
      <w:r>
        <w:rPr>
          <w:sz w:val="24"/>
        </w:rPr>
        <w:t>The HAP contract</w:t>
      </w:r>
      <w:r>
        <w:rPr>
          <w:spacing w:val="-6"/>
          <w:sz w:val="24"/>
        </w:rPr>
        <w:t xml:space="preserve"> </w:t>
      </w:r>
      <w:r>
        <w:rPr>
          <w:sz w:val="24"/>
        </w:rPr>
        <w:t>term;</w:t>
      </w:r>
    </w:p>
    <w:p w:rsidR="004E13A5" w:rsidRDefault="00681463">
      <w:pPr>
        <w:pStyle w:val="ListParagraph"/>
        <w:numPr>
          <w:ilvl w:val="0"/>
          <w:numId w:val="93"/>
        </w:numPr>
        <w:tabs>
          <w:tab w:val="left" w:pos="460"/>
          <w:tab w:val="left" w:pos="461"/>
        </w:tabs>
        <w:spacing w:before="118"/>
        <w:ind w:right="217"/>
        <w:rPr>
          <w:rFonts w:ascii="Symbol"/>
          <w:sz w:val="24"/>
        </w:rPr>
      </w:pPr>
      <w:r>
        <w:rPr>
          <w:sz w:val="24"/>
        </w:rPr>
        <w:t>The number of units in any project that will exceed the 25 percent per project cap, which will be set aside for occupancy by qualifying families (elderly and/or disabled families and</w:t>
      </w:r>
      <w:r>
        <w:rPr>
          <w:spacing w:val="-20"/>
          <w:sz w:val="24"/>
        </w:rPr>
        <w:t xml:space="preserve"> </w:t>
      </w:r>
      <w:r>
        <w:rPr>
          <w:sz w:val="24"/>
        </w:rPr>
        <w:t>families receiving supportive services);</w:t>
      </w:r>
      <w:r>
        <w:rPr>
          <w:spacing w:val="-8"/>
          <w:sz w:val="24"/>
        </w:rPr>
        <w:t xml:space="preserve"> </w:t>
      </w:r>
      <w:r>
        <w:rPr>
          <w:sz w:val="24"/>
        </w:rPr>
        <w:t>and</w:t>
      </w:r>
    </w:p>
    <w:p w:rsidR="004E13A5" w:rsidRDefault="00681463">
      <w:pPr>
        <w:pStyle w:val="ListParagraph"/>
        <w:numPr>
          <w:ilvl w:val="0"/>
          <w:numId w:val="93"/>
        </w:numPr>
        <w:tabs>
          <w:tab w:val="left" w:pos="460"/>
          <w:tab w:val="left" w:pos="461"/>
        </w:tabs>
        <w:rPr>
          <w:rFonts w:ascii="Symbol"/>
          <w:sz w:val="24"/>
        </w:rPr>
      </w:pPr>
      <w:r>
        <w:rPr>
          <w:sz w:val="24"/>
        </w:rPr>
        <w:t>The initial rent to owner for the first 12 months of the HAP contract</w:t>
      </w:r>
      <w:r>
        <w:rPr>
          <w:spacing w:val="-13"/>
          <w:sz w:val="24"/>
        </w:rPr>
        <w:t xml:space="preserve"> </w:t>
      </w:r>
      <w:r>
        <w:rPr>
          <w:sz w:val="24"/>
        </w:rPr>
        <w:t>term</w:t>
      </w:r>
    </w:p>
    <w:p w:rsidR="004E13A5" w:rsidRDefault="00681463">
      <w:pPr>
        <w:pStyle w:val="Heading4"/>
        <w:spacing w:before="118"/>
      </w:pPr>
      <w:bookmarkStart w:id="358" w:name="_TOC_250073"/>
      <w:bookmarkEnd w:id="358"/>
      <w:r>
        <w:t>Execution of the HAP Contract [24 CFR 983.204]</w:t>
      </w:r>
    </w:p>
    <w:p w:rsidR="004E13A5" w:rsidRDefault="00681463">
      <w:pPr>
        <w:pStyle w:val="BodyText"/>
        <w:ind w:right="188"/>
      </w:pPr>
      <w:r>
        <w:t>The PHA may not enter into a HAP contract until each contract unit has been inspected and the PHA has determined that the unit complies with the Housing Quality Standards (</w:t>
      </w:r>
      <w:r w:rsidR="002C4221">
        <w:t>NSPIRE</w:t>
      </w:r>
      <w:r>
        <w:t xml:space="preserve">), unless the PHA has adopted a policy to enter into a HAP contract for units that fail the initial </w:t>
      </w:r>
      <w:r w:rsidR="002C4221">
        <w:t>NSPIRE</w:t>
      </w:r>
      <w:r>
        <w:t xml:space="preserve"> inspection</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pPr>
      <w:r>
        <w:lastRenderedPageBreak/>
        <w:t>as a result of only non-life-threatening conditions. For existing housing, the HAP contract must be executed promptly after the PHA selects the owner proposal and inspects the housing units. For newly constructed or rehabilitated housing the HAP contract must be executed after the PHA has inspected the completed units and has determined that the units have been completed in accordance with the agreement to enter into HAP, and the owner furnishes all required evidence of completion.</w:t>
      </w:r>
    </w:p>
    <w:p w:rsidR="004E13A5" w:rsidRDefault="00681463">
      <w:pPr>
        <w:pStyle w:val="BodyText"/>
        <w:spacing w:before="120"/>
        <w:ind w:left="820"/>
      </w:pPr>
      <w:r>
        <w:rPr>
          <w:u w:val="single"/>
        </w:rPr>
        <w:t>PHA Policy</w:t>
      </w:r>
    </w:p>
    <w:p w:rsidR="004E13A5" w:rsidRDefault="00681463">
      <w:pPr>
        <w:pStyle w:val="BodyText"/>
        <w:spacing w:before="120"/>
        <w:ind w:left="820" w:right="607"/>
      </w:pPr>
      <w:r>
        <w:t xml:space="preserve">For existing housing, the HAP contract will be executed within 10 business days of the PHA determining that all units pass </w:t>
      </w:r>
      <w:r w:rsidR="002C4221">
        <w:t>NSPIRE</w:t>
      </w:r>
      <w:r>
        <w:t>.</w:t>
      </w:r>
    </w:p>
    <w:p w:rsidR="004E13A5" w:rsidRDefault="00681463">
      <w:pPr>
        <w:pStyle w:val="BodyText"/>
        <w:spacing w:before="120"/>
        <w:ind w:left="820" w:right="95"/>
      </w:pPr>
      <w:r>
        <w:t xml:space="preserve">For rehabilitated or newly constructed housing, the HAP contract will be executed within 10 business days of the PHA determining that the units have been completed in accordance with the agreement to enter into HAP, all units meet </w:t>
      </w:r>
      <w:r w:rsidR="002C4221">
        <w:t>NSPIRE</w:t>
      </w:r>
      <w:r>
        <w:t>, and the owner has submitted all required evidence of completion.</w:t>
      </w:r>
    </w:p>
    <w:p w:rsidR="004E13A5" w:rsidRDefault="00681463">
      <w:pPr>
        <w:pStyle w:val="Heading4"/>
        <w:spacing w:before="120"/>
      </w:pPr>
      <w:bookmarkStart w:id="359" w:name="_TOC_250072"/>
      <w:bookmarkEnd w:id="359"/>
      <w:r>
        <w:t>Term of HAP Contract [24 CFR 983.205, FR Notice 1/18/17, and Notice PIH 2017-21]</w:t>
      </w:r>
    </w:p>
    <w:p w:rsidR="004E13A5" w:rsidRDefault="00681463">
      <w:pPr>
        <w:pStyle w:val="BodyText"/>
        <w:ind w:right="169"/>
      </w:pPr>
      <w:r>
        <w:t>The PHA may enter into a HAP contract with an owner for an initial term of no less than one year and no more than 20 years for each contract unit. The length of the term of the HAP contract for any contract unit may not be less than one year, nor more than 20 years. In the case of PHA-owned units, the term of the HAP contract must be agreed upon by the PHA and the independent entity approved by HUD [24 CFR 983.59(b)(2)].</w:t>
      </w:r>
    </w:p>
    <w:p w:rsidR="004E13A5" w:rsidRDefault="00681463">
      <w:pPr>
        <w:pStyle w:val="BodyText"/>
        <w:ind w:left="820"/>
      </w:pPr>
      <w:r>
        <w:rPr>
          <w:u w:val="single"/>
        </w:rPr>
        <w:t>PHA Policy</w:t>
      </w:r>
    </w:p>
    <w:p w:rsidR="004E13A5" w:rsidRDefault="00681463">
      <w:pPr>
        <w:pStyle w:val="BodyText"/>
        <w:ind w:left="820" w:right="484"/>
      </w:pPr>
      <w:r>
        <w:t>The term of all PBV HAP contract</w:t>
      </w:r>
      <w:r>
        <w:rPr>
          <w:rFonts w:ascii="Arial"/>
          <w:sz w:val="22"/>
        </w:rPr>
        <w:t xml:space="preserve">s </w:t>
      </w:r>
      <w:r>
        <w:t>will be negotiated with the owner on a case-by-case basis.</w:t>
      </w:r>
    </w:p>
    <w:p w:rsidR="004E13A5" w:rsidRDefault="00681463">
      <w:pPr>
        <w:pStyle w:val="BodyText"/>
        <w:ind w:right="236"/>
      </w:pPr>
      <w:r>
        <w:t>At the time of the initial HAP contract term or any time before expiration of the HAP contract, the PHA may extend the term of the contract for an additional term of up to 20 years if the PHA determines an extension is appropriate to continue providing affordable housing for low-income families. A HAP contract extension may not exceed 20 years. A PHA may provide for multiple extensions; however, in no circumstances may such extensions exceed 20 years, cumulatively.</w:t>
      </w:r>
    </w:p>
    <w:p w:rsidR="004E13A5" w:rsidRDefault="00681463">
      <w:pPr>
        <w:pStyle w:val="BodyText"/>
        <w:spacing w:before="0"/>
        <w:ind w:right="122"/>
      </w:pPr>
      <w:r>
        <w:t>Extensions after the initial extension are allowed at the end of any extension term, provided that not more than 24 months prior to the expiration of the previous extension contract the PHA agrees to extend the term, and that such extension is appropriate to continue providing affordable housing for low-income families or to expand housing opportunities. Extensions after the initial extension term shall not begin prior to the expiration date of the previous extension term. Subsequent extensions are subject to the same limitations. All extensions must be on the form and subject to the conditions prescribed by HUD at the time of the extension. In the case of PHA-owned units, any extension of the term of the HAP contract must be agreed upon by the PHA and the independent entity approved by HUD [24 CFR 983.59(b)(2)].</w:t>
      </w:r>
    </w:p>
    <w:p w:rsidR="004E13A5" w:rsidRDefault="00681463">
      <w:pPr>
        <w:pStyle w:val="BodyText"/>
        <w:spacing w:before="121"/>
        <w:ind w:left="820"/>
      </w:pPr>
      <w:r>
        <w:rPr>
          <w:u w:val="single"/>
        </w:rPr>
        <w:t>PHA Policy</w:t>
      </w:r>
    </w:p>
    <w:p w:rsidR="004E13A5" w:rsidRDefault="00681463">
      <w:pPr>
        <w:pStyle w:val="BodyText"/>
        <w:ind w:left="820" w:right="183"/>
      </w:pPr>
      <w:r>
        <w:t>When determining whether or not to extend an expiring PBV contract, the PHA will consider several factors including, but not limited to:</w:t>
      </w:r>
    </w:p>
    <w:p w:rsidR="004E13A5" w:rsidRDefault="00681463">
      <w:pPr>
        <w:pStyle w:val="BodyText"/>
        <w:spacing w:line="343" w:lineRule="auto"/>
        <w:ind w:left="820" w:right="1008"/>
      </w:pPr>
      <w:r>
        <w:t>The cost of extending the contract and the amount of available budget authority; The condition of the contract units;</w:t>
      </w:r>
    </w:p>
    <w:p w:rsidR="004E13A5" w:rsidRDefault="00681463">
      <w:pPr>
        <w:pStyle w:val="BodyText"/>
        <w:spacing w:before="5"/>
        <w:ind w:left="820"/>
      </w:pPr>
      <w:r>
        <w:t>The owner’s record of compliance with obligations under the HAP contract and lease(s);</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right="235"/>
      </w:pPr>
      <w:r>
        <w:lastRenderedPageBreak/>
        <w:t>Whether the location of the units continues to support the goals of deconcentrating poverty and expanding housing opportunities; and</w:t>
      </w:r>
    </w:p>
    <w:p w:rsidR="004E13A5" w:rsidRDefault="00681463">
      <w:pPr>
        <w:pStyle w:val="BodyText"/>
        <w:spacing w:before="120"/>
        <w:ind w:left="820"/>
      </w:pPr>
      <w:r>
        <w:t>Whether the funding could be used more appropriately for tenant-based assistance.</w:t>
      </w:r>
    </w:p>
    <w:p w:rsidR="004E13A5" w:rsidRDefault="00681463">
      <w:pPr>
        <w:pStyle w:val="Heading5"/>
      </w:pPr>
      <w:r>
        <w:t>Termination by PHA [24 CFR 983.205(c) and FR Notice 1/18/17]</w:t>
      </w:r>
    </w:p>
    <w:p w:rsidR="004E13A5" w:rsidRDefault="00681463">
      <w:pPr>
        <w:pStyle w:val="BodyText"/>
        <w:ind w:right="175"/>
      </w:pPr>
      <w:r>
        <w:t>The HAP contract must provide that the term of the PHA’s contractual commitment is subject to the availability of sufficient appropriated funding as determined by HUD or by the PHA in accordance with HUD instructions. For these purposes, sufficient funding means the availability of appropriations, and of funding under the ACC from such appropriations, to make full payment of housing assistance payments payable to the owner for any contract year in accordance with the terms of the HAP contract.</w:t>
      </w:r>
    </w:p>
    <w:p w:rsidR="004E13A5" w:rsidRDefault="00681463">
      <w:pPr>
        <w:pStyle w:val="BodyText"/>
      </w:pPr>
      <w:r>
        <w:t>If it is determined that there may not be sufficient funding to continue housing assistance payments for all contract units and for the full term of the HAP contract, the PHA may terminate the HAP contract by notice to the owner. The termination must be implemented in accordance with HUD instructions.</w:t>
      </w:r>
    </w:p>
    <w:p w:rsidR="004E13A5" w:rsidRDefault="00681463">
      <w:pPr>
        <w:pStyle w:val="BodyText"/>
        <w:ind w:right="315"/>
      </w:pPr>
      <w:r>
        <w:t>In times of insufficient funding, HUD requires that PHAs first take all cost-saving measures prior to failing to make payments under existing PBV HAP contracts.</w:t>
      </w:r>
    </w:p>
    <w:p w:rsidR="004E13A5" w:rsidRDefault="00681463">
      <w:pPr>
        <w:pStyle w:val="Heading5"/>
      </w:pPr>
      <w:r>
        <w:t>Termination by Owner [24 CFR 983.205(d)]</w:t>
      </w:r>
    </w:p>
    <w:p w:rsidR="004E13A5" w:rsidRDefault="00681463">
      <w:pPr>
        <w:pStyle w:val="BodyText"/>
        <w:ind w:right="195"/>
      </w:pPr>
      <w:r>
        <w:t>If in accordance with program requirements the amount of rent to an owner for any contract unit is reduced below the amount of the rent to owner at the beginning of the HAP contract term, the owner may terminate the HAP contract by giving notice to the PHA. In this case, families living in the contract units must be offered tenant-based assistance.</w:t>
      </w:r>
    </w:p>
    <w:p w:rsidR="004E13A5" w:rsidRDefault="00681463">
      <w:pPr>
        <w:pStyle w:val="Heading4"/>
        <w:spacing w:before="119"/>
        <w:ind w:right="394"/>
      </w:pPr>
      <w:r>
        <w:t>Statutory Notice Requirements: Contract Termination or Expiration [24 CFR 983.206; FR Notice 1/18/17, and Notice PIH 2017-21]</w:t>
      </w:r>
    </w:p>
    <w:p w:rsidR="004E13A5" w:rsidRDefault="00681463">
      <w:pPr>
        <w:pStyle w:val="BodyText"/>
        <w:ind w:right="183"/>
      </w:pPr>
      <w:r>
        <w:t>Not less than one year before the HAP contract terminates, or if the owner refuses to renew the HAP contract, the owner must notify the PHA and assisted tenants of the termination. The notice must be provided in the form prescribed by HUD. If the owner does not give timely notice, the owner must permit the tenants in assisted units to remain in their units for the required notice period with no increase in the tenant portion of their rent, and with no eviction as a result of the owner's inability to collect an increased tenant portion of rent. An owner may renew the terminating contract for a period of time sufficient to give tenants one-year advance notice under such terms as HUD may require.</w:t>
      </w:r>
    </w:p>
    <w:p w:rsidR="004E13A5" w:rsidRDefault="00681463">
      <w:pPr>
        <w:pStyle w:val="BodyText"/>
        <w:ind w:right="104"/>
      </w:pPr>
      <w:r>
        <w:t>Upon termination or expiration of the contract, a family living at the property is entitled to receive</w:t>
      </w:r>
      <w:r>
        <w:rPr>
          <w:spacing w:val="-20"/>
        </w:rPr>
        <w:t xml:space="preserve"> </w:t>
      </w:r>
      <w:r>
        <w:t xml:space="preserve">a tenant-based voucher. Tenant-based assistance would not begin until the owner’s required notice period ends. The PHA must provide the family with a voucher and the family must also be given the option by the PHA and owner to remain in their unit with HCV tenant-based assistance as long as the unit complies with inspection and rent reasonableness requirements. The family must pay their total tenant payment (TTP) and any additional amount if the gross rent exceeds the applicable payment standard. The family has the right to remain in the project as long as the units are used for rental housing and are otherwise eligible for HCV assistance. The owner may not terminate the tenancy of a family that exercises its right to remain except for serious or repeated lease violations or other good cause. Families that receive a tenant-based voucher at the expiration or termination of the PBV HAP contract are not new admissions to the PHA HCV tenant-based program, and are not subject to income eligibility requirements or any other admission requirements. </w:t>
      </w:r>
      <w:r>
        <w:rPr>
          <w:spacing w:val="-3"/>
        </w:rPr>
        <w:t xml:space="preserve">If </w:t>
      </w:r>
      <w:r>
        <w:t>the family chooses to remain in their unit with tenant-based assistance, the family may do so regardless</w:t>
      </w:r>
      <w:r>
        <w:rPr>
          <w:spacing w:val="-15"/>
        </w:rPr>
        <w:t xml:space="preserve"> </w:t>
      </w:r>
      <w:r>
        <w:t>of</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829"/>
      </w:pPr>
      <w:r>
        <w:lastRenderedPageBreak/>
        <w:t>whether the family share would initially exceed 40 percent of the family’s adjusted monthly income.</w:t>
      </w:r>
    </w:p>
    <w:p w:rsidR="004E13A5" w:rsidRDefault="004E13A5">
      <w:pPr>
        <w:pStyle w:val="BodyText"/>
        <w:spacing w:before="0"/>
        <w:ind w:left="0"/>
        <w:rPr>
          <w:sz w:val="26"/>
        </w:rPr>
      </w:pPr>
    </w:p>
    <w:p w:rsidR="004E13A5" w:rsidRDefault="00681463">
      <w:pPr>
        <w:pStyle w:val="Heading4"/>
        <w:spacing w:before="217"/>
      </w:pPr>
      <w:bookmarkStart w:id="360" w:name="_TOC_250071"/>
      <w:bookmarkEnd w:id="360"/>
      <w:r>
        <w:t xml:space="preserve">Remedies for </w:t>
      </w:r>
      <w:r w:rsidR="002C4221">
        <w:t>NSPIRE</w:t>
      </w:r>
      <w:r>
        <w:t xml:space="preserve"> Violations [24 CFR 983.208(b)]</w:t>
      </w:r>
    </w:p>
    <w:p w:rsidR="004E13A5" w:rsidRDefault="00681463">
      <w:pPr>
        <w:pStyle w:val="BodyText"/>
        <w:ind w:right="229"/>
      </w:pPr>
      <w:r>
        <w:t xml:space="preserve">The PHA may not make any HAP payment to the owner for a contract unit during any period in which the unit does not comply with </w:t>
      </w:r>
      <w:r w:rsidR="002C4221">
        <w:t>NSPIRE</w:t>
      </w:r>
      <w:r>
        <w:t xml:space="preserve">. If the PHA determines that a contract does not comply with </w:t>
      </w:r>
      <w:r w:rsidR="002C4221">
        <w:t>NSPIRE</w:t>
      </w:r>
      <w:r>
        <w:t>, the PHA may exercise any of its remedies under the HAP contract, for any or all of the contract units. Available remedies include termination of housing assistance payments, abatement or reduction of housing assistance payments, reduction of contract units, and termination of the HAP contract.</w:t>
      </w:r>
    </w:p>
    <w:p w:rsidR="004E13A5" w:rsidRDefault="00681463">
      <w:pPr>
        <w:pStyle w:val="BodyText"/>
        <w:ind w:left="820"/>
      </w:pPr>
      <w:r>
        <w:rPr>
          <w:u w:val="single"/>
        </w:rPr>
        <w:t>PHA Policy</w:t>
      </w:r>
    </w:p>
    <w:p w:rsidR="004E13A5" w:rsidRDefault="00681463">
      <w:pPr>
        <w:pStyle w:val="BodyText"/>
        <w:ind w:left="820" w:right="283"/>
      </w:pPr>
      <w:r>
        <w:t xml:space="preserve">The PHA will abate and terminate PBV HAP contracts for non-compliance with </w:t>
      </w:r>
      <w:r w:rsidR="002C4221">
        <w:t>NSPIRE</w:t>
      </w:r>
      <w:r>
        <w:t xml:space="preserve"> in accordance with the policies used in the tenant-based voucher program. These policies are contained in Section 8-II.G., Enforcing Owner Compliance.</w:t>
      </w:r>
    </w:p>
    <w:p w:rsidR="004E13A5" w:rsidRDefault="004E13A5">
      <w:pPr>
        <w:pStyle w:val="BodyText"/>
        <w:spacing w:before="9"/>
        <w:ind w:left="0"/>
        <w:rPr>
          <w:sz w:val="20"/>
        </w:rPr>
      </w:pPr>
    </w:p>
    <w:p w:rsidR="004E13A5" w:rsidRDefault="00681463">
      <w:pPr>
        <w:pStyle w:val="Heading4"/>
      </w:pPr>
      <w:bookmarkStart w:id="361" w:name="_TOC_250070"/>
      <w:bookmarkEnd w:id="361"/>
      <w:r>
        <w:t>17-V.C. AMENDMENTS TO THE HAP CONTRACT</w:t>
      </w:r>
    </w:p>
    <w:p w:rsidR="004E13A5" w:rsidRDefault="00681463">
      <w:pPr>
        <w:pStyle w:val="Heading4"/>
        <w:spacing w:before="119"/>
      </w:pPr>
      <w:bookmarkStart w:id="362" w:name="_TOC_250069"/>
      <w:bookmarkEnd w:id="362"/>
      <w:r>
        <w:t>Substitution of Contract Units [24 CFR 983.207(a)]</w:t>
      </w:r>
    </w:p>
    <w:p w:rsidR="004E13A5" w:rsidRDefault="00681463">
      <w:pPr>
        <w:pStyle w:val="BodyText"/>
      </w:pPr>
      <w:r>
        <w:t>At the PHA’s discretion and subject to all PBV requirements, the HAP contract may be amended to substitute a different unit with the same number of bedrooms in the same project for a previously covered contract unit. Before any such substitution can take place, the PHA must inspect the proposed unit and determine the reasonable rent for the unit.</w:t>
      </w:r>
    </w:p>
    <w:p w:rsidR="004E13A5" w:rsidRDefault="00681463">
      <w:pPr>
        <w:pStyle w:val="Heading4"/>
        <w:spacing w:before="119"/>
      </w:pPr>
      <w:r>
        <w:t>Addition of Contract Units [FR Notice 1/18/17 and Notice PIH 2017-21]</w:t>
      </w:r>
    </w:p>
    <w:p w:rsidR="004E13A5" w:rsidRDefault="00681463">
      <w:pPr>
        <w:pStyle w:val="BodyText"/>
        <w:ind w:firstLine="719"/>
      </w:pPr>
      <w:r>
        <w:t>The PHA and owner may amend the HAP contract to add additional PBV contract units in projects that already have a HAP contract without having to fulfill the selection requirements found at 24 CFR 983.51(b) for those additional PBV units, regardless of when the HAP contract was signed. The additional PBV units, however, are still subject to the PBV program cap and individual project caps. Prior to attaching additional units without competition, the PHA must submit to the local field office information outlined in FR Notice 1/18/17. The PHA must also detail in the administrative plan their intent to add PBV units and the rationale for adding units to the specific PBV project.</w:t>
      </w:r>
    </w:p>
    <w:p w:rsidR="004E13A5" w:rsidRDefault="00681463">
      <w:pPr>
        <w:pStyle w:val="BodyText"/>
        <w:ind w:left="820"/>
      </w:pPr>
      <w:r>
        <w:rPr>
          <w:u w:val="single"/>
        </w:rPr>
        <w:t>PHA Policy</w:t>
      </w:r>
    </w:p>
    <w:p w:rsidR="004E13A5" w:rsidRDefault="00681463">
      <w:pPr>
        <w:pStyle w:val="BodyText"/>
        <w:ind w:left="820" w:right="249"/>
      </w:pPr>
      <w:r>
        <w:t>The PHA will add units to the contract on a case-by-case basis to ensure the availability of affordable housing as long as the addition of units does not exceed allowable project caps.</w:t>
      </w:r>
    </w:p>
    <w:p w:rsidR="004E13A5" w:rsidRDefault="004E13A5">
      <w:pPr>
        <w:pStyle w:val="BodyText"/>
        <w:spacing w:before="9"/>
        <w:ind w:left="0"/>
        <w:rPr>
          <w:sz w:val="20"/>
        </w:rPr>
      </w:pPr>
    </w:p>
    <w:p w:rsidR="004E13A5" w:rsidRDefault="00681463">
      <w:pPr>
        <w:pStyle w:val="Heading4"/>
      </w:pPr>
      <w:r>
        <w:t>17-V.D. HAP CONTRACT YEAR, ANNIVERSARY AND EXPIRATION DATES [24 CFR</w:t>
      </w:r>
    </w:p>
    <w:p w:rsidR="004E13A5" w:rsidRDefault="00681463">
      <w:pPr>
        <w:ind w:left="100"/>
        <w:rPr>
          <w:b/>
          <w:sz w:val="24"/>
        </w:rPr>
      </w:pPr>
      <w:r>
        <w:rPr>
          <w:b/>
          <w:sz w:val="24"/>
        </w:rPr>
        <w:t>983.207(b) and 983.302(e)]</w:t>
      </w:r>
    </w:p>
    <w:p w:rsidR="004E13A5" w:rsidRDefault="00681463">
      <w:pPr>
        <w:pStyle w:val="BodyText"/>
        <w:spacing w:before="120"/>
        <w:ind w:right="83"/>
      </w:pPr>
      <w:r>
        <w:t>The HAP contract year is the period of 12 calendar months preceding each annual anniversary of the HAP contract during the HAP contract term. The initial contract year is calculated from the first day of the first calendar month of the HAP contract term.</w:t>
      </w:r>
    </w:p>
    <w:p w:rsidR="004E13A5" w:rsidRDefault="00681463">
      <w:pPr>
        <w:pStyle w:val="BodyText"/>
        <w:spacing w:before="120"/>
        <w:ind w:right="130"/>
      </w:pPr>
      <w:r>
        <w:t>The annual anniversary of the HAP contract is the first day of the first calendar month after the end of the preceding contract year.</w:t>
      </w:r>
    </w:p>
    <w:p w:rsidR="004E13A5" w:rsidRDefault="00681463">
      <w:pPr>
        <w:pStyle w:val="BodyText"/>
        <w:spacing w:before="120"/>
        <w:ind w:right="843"/>
      </w:pPr>
      <w:r>
        <w:t>There is a single annual anniversary and expiration date for all units under a particular HAP contract, even in cases where contract units are placed under the HAP contract in stages (on</w:t>
      </w:r>
    </w:p>
    <w:p w:rsidR="004E13A5" w:rsidRDefault="004E13A5">
      <w:pPr>
        <w:sectPr w:rsidR="004E13A5">
          <w:pgSz w:w="12240" w:h="15840"/>
          <w:pgMar w:top="1000" w:right="1240" w:bottom="1220" w:left="1220" w:header="0" w:footer="998" w:gutter="0"/>
          <w:cols w:space="720"/>
        </w:sectPr>
      </w:pPr>
    </w:p>
    <w:p w:rsidR="004E13A5" w:rsidRDefault="00681463">
      <w:pPr>
        <w:pStyle w:val="BodyText"/>
        <w:spacing w:before="79"/>
        <w:ind w:right="136"/>
      </w:pPr>
      <w:r>
        <w:lastRenderedPageBreak/>
        <w:t>different dates) or units are added by amendment. The anniversary and expiration dates for all units coincide with the dates for the contract units that were originally placed under contract.</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58"/>
      </w:pPr>
      <w:bookmarkStart w:id="363" w:name="_TOC_250068"/>
      <w:bookmarkEnd w:id="363"/>
      <w:r>
        <w:t>17-V.E. OWNER RESPONSIBILITIES UNDER THE HAP [24 CFR 983.210]</w:t>
      </w:r>
    </w:p>
    <w:p w:rsidR="004E13A5" w:rsidRDefault="00681463">
      <w:pPr>
        <w:pStyle w:val="BodyText"/>
        <w:ind w:right="536"/>
      </w:pPr>
      <w:r>
        <w:t>When the owner executes the HAP contract s/he certifies that at such execution and at all times during the term of the HAP contract:</w:t>
      </w:r>
    </w:p>
    <w:p w:rsidR="004E13A5" w:rsidRDefault="00681463">
      <w:pPr>
        <w:pStyle w:val="ListParagraph"/>
        <w:numPr>
          <w:ilvl w:val="0"/>
          <w:numId w:val="93"/>
        </w:numPr>
        <w:tabs>
          <w:tab w:val="left" w:pos="460"/>
          <w:tab w:val="left" w:pos="461"/>
        </w:tabs>
        <w:ind w:right="217"/>
        <w:rPr>
          <w:rFonts w:ascii="Symbol"/>
          <w:sz w:val="24"/>
        </w:rPr>
      </w:pPr>
      <w:r>
        <w:rPr>
          <w:sz w:val="24"/>
        </w:rPr>
        <w:t>All contract units are in good condition and the owner is maintaining the premises and</w:t>
      </w:r>
      <w:r>
        <w:rPr>
          <w:spacing w:val="-15"/>
          <w:sz w:val="24"/>
        </w:rPr>
        <w:t xml:space="preserve"> </w:t>
      </w:r>
      <w:r>
        <w:rPr>
          <w:sz w:val="24"/>
        </w:rPr>
        <w:t>contract units in accordance with</w:t>
      </w:r>
      <w:r>
        <w:rPr>
          <w:spacing w:val="-5"/>
          <w:sz w:val="24"/>
        </w:rPr>
        <w:t xml:space="preserve"> </w:t>
      </w:r>
      <w:r w:rsidR="002C4221">
        <w:rPr>
          <w:sz w:val="24"/>
        </w:rPr>
        <w:t>NSPIRE</w:t>
      </w:r>
      <w:r>
        <w:rPr>
          <w:sz w:val="24"/>
        </w:rPr>
        <w:t>;</w:t>
      </w:r>
    </w:p>
    <w:p w:rsidR="004E13A5" w:rsidRDefault="00681463">
      <w:pPr>
        <w:pStyle w:val="ListParagraph"/>
        <w:numPr>
          <w:ilvl w:val="0"/>
          <w:numId w:val="93"/>
        </w:numPr>
        <w:tabs>
          <w:tab w:val="left" w:pos="460"/>
          <w:tab w:val="left" w:pos="461"/>
        </w:tabs>
        <w:ind w:right="144"/>
        <w:rPr>
          <w:rFonts w:ascii="Symbol"/>
          <w:sz w:val="24"/>
        </w:rPr>
      </w:pPr>
      <w:r>
        <w:rPr>
          <w:sz w:val="24"/>
        </w:rPr>
        <w:t>The owner is providing all services, maintenance, equipment and utilities as agreed to under</w:t>
      </w:r>
      <w:r>
        <w:rPr>
          <w:spacing w:val="-17"/>
          <w:sz w:val="24"/>
        </w:rPr>
        <w:t xml:space="preserve"> </w:t>
      </w:r>
      <w:r>
        <w:rPr>
          <w:sz w:val="24"/>
        </w:rPr>
        <w:t>the HAP contract and the</w:t>
      </w:r>
      <w:r>
        <w:rPr>
          <w:spacing w:val="-6"/>
          <w:sz w:val="24"/>
        </w:rPr>
        <w:t xml:space="preserve"> </w:t>
      </w:r>
      <w:r>
        <w:rPr>
          <w:sz w:val="24"/>
        </w:rPr>
        <w:t>leases;</w:t>
      </w:r>
    </w:p>
    <w:p w:rsidR="004E13A5" w:rsidRDefault="00681463">
      <w:pPr>
        <w:pStyle w:val="ListParagraph"/>
        <w:numPr>
          <w:ilvl w:val="0"/>
          <w:numId w:val="93"/>
        </w:numPr>
        <w:tabs>
          <w:tab w:val="left" w:pos="460"/>
          <w:tab w:val="left" w:pos="461"/>
        </w:tabs>
        <w:ind w:right="127"/>
        <w:rPr>
          <w:rFonts w:ascii="Symbol"/>
          <w:sz w:val="24"/>
        </w:rPr>
      </w:pPr>
      <w:r>
        <w:rPr>
          <w:sz w:val="24"/>
        </w:rPr>
        <w:t>Each contract unit for which the owner is receiving HAP, is leased to an eligible family</w:t>
      </w:r>
      <w:r>
        <w:rPr>
          <w:spacing w:val="-21"/>
          <w:sz w:val="24"/>
        </w:rPr>
        <w:t xml:space="preserve"> </w:t>
      </w:r>
      <w:r>
        <w:rPr>
          <w:sz w:val="24"/>
        </w:rPr>
        <w:t>referred by the PHA, and the lease is in accordance with the HAP contract and HUD</w:t>
      </w:r>
      <w:r>
        <w:rPr>
          <w:spacing w:val="-14"/>
          <w:sz w:val="24"/>
        </w:rPr>
        <w:t xml:space="preserve"> </w:t>
      </w:r>
      <w:r>
        <w:rPr>
          <w:sz w:val="24"/>
        </w:rPr>
        <w:t>requirements;</w:t>
      </w:r>
    </w:p>
    <w:p w:rsidR="004E13A5" w:rsidRDefault="00681463">
      <w:pPr>
        <w:pStyle w:val="ListParagraph"/>
        <w:numPr>
          <w:ilvl w:val="0"/>
          <w:numId w:val="93"/>
        </w:numPr>
        <w:tabs>
          <w:tab w:val="left" w:pos="460"/>
          <w:tab w:val="left" w:pos="461"/>
        </w:tabs>
        <w:ind w:right="744"/>
        <w:rPr>
          <w:rFonts w:ascii="Symbol" w:hAnsi="Symbol"/>
          <w:sz w:val="24"/>
        </w:rPr>
      </w:pPr>
      <w:r>
        <w:rPr>
          <w:sz w:val="24"/>
        </w:rPr>
        <w:t>To the best of the owner’s knowledge the family resides in the contract unit for which</w:t>
      </w:r>
      <w:r>
        <w:rPr>
          <w:spacing w:val="-12"/>
          <w:sz w:val="24"/>
        </w:rPr>
        <w:t xml:space="preserve"> </w:t>
      </w:r>
      <w:r>
        <w:rPr>
          <w:sz w:val="24"/>
        </w:rPr>
        <w:t>the owner is receiving HAP, and the unit is the family’s only</w:t>
      </w:r>
      <w:r>
        <w:rPr>
          <w:spacing w:val="-12"/>
          <w:sz w:val="24"/>
        </w:rPr>
        <w:t xml:space="preserve"> </w:t>
      </w:r>
      <w:r>
        <w:rPr>
          <w:sz w:val="24"/>
        </w:rPr>
        <w:t>residence;</w:t>
      </w:r>
    </w:p>
    <w:p w:rsidR="004E13A5" w:rsidRDefault="00681463">
      <w:pPr>
        <w:pStyle w:val="ListParagraph"/>
        <w:numPr>
          <w:ilvl w:val="0"/>
          <w:numId w:val="93"/>
        </w:numPr>
        <w:tabs>
          <w:tab w:val="left" w:pos="460"/>
          <w:tab w:val="left" w:pos="461"/>
        </w:tabs>
        <w:ind w:right="145"/>
        <w:rPr>
          <w:rFonts w:ascii="Symbol"/>
          <w:sz w:val="24"/>
        </w:rPr>
      </w:pPr>
      <w:r>
        <w:rPr>
          <w:sz w:val="24"/>
        </w:rPr>
        <w:t>The owner (including a principal or other interested party) is not the spouse, parent, child, grandparent, grandchild, sister, or brother of any member of a family residing in a contract</w:t>
      </w:r>
      <w:r>
        <w:rPr>
          <w:spacing w:val="-21"/>
          <w:sz w:val="24"/>
        </w:rPr>
        <w:t xml:space="preserve"> </w:t>
      </w:r>
      <w:r>
        <w:rPr>
          <w:sz w:val="24"/>
        </w:rPr>
        <w:t>unit;</w:t>
      </w:r>
    </w:p>
    <w:p w:rsidR="004E13A5" w:rsidRDefault="00681463">
      <w:pPr>
        <w:pStyle w:val="ListParagraph"/>
        <w:numPr>
          <w:ilvl w:val="0"/>
          <w:numId w:val="93"/>
        </w:numPr>
        <w:tabs>
          <w:tab w:val="left" w:pos="460"/>
          <w:tab w:val="left" w:pos="461"/>
        </w:tabs>
        <w:rPr>
          <w:rFonts w:ascii="Symbol"/>
          <w:sz w:val="24"/>
        </w:rPr>
      </w:pPr>
      <w:r>
        <w:rPr>
          <w:sz w:val="24"/>
        </w:rPr>
        <w:t>The amount of the HAP the owner is receiving is correct under the HAP</w:t>
      </w:r>
      <w:r>
        <w:rPr>
          <w:spacing w:val="-16"/>
          <w:sz w:val="24"/>
        </w:rPr>
        <w:t xml:space="preserve"> </w:t>
      </w:r>
      <w:r>
        <w:rPr>
          <w:sz w:val="24"/>
        </w:rPr>
        <w:t>contract;</w:t>
      </w:r>
    </w:p>
    <w:p w:rsidR="004E13A5" w:rsidRDefault="00681463">
      <w:pPr>
        <w:pStyle w:val="ListParagraph"/>
        <w:numPr>
          <w:ilvl w:val="0"/>
          <w:numId w:val="93"/>
        </w:numPr>
        <w:tabs>
          <w:tab w:val="left" w:pos="460"/>
          <w:tab w:val="left" w:pos="461"/>
        </w:tabs>
        <w:spacing w:before="118"/>
        <w:ind w:right="1065"/>
        <w:rPr>
          <w:rFonts w:ascii="Symbol"/>
          <w:sz w:val="24"/>
        </w:rPr>
      </w:pPr>
      <w:r>
        <w:rPr>
          <w:sz w:val="24"/>
        </w:rPr>
        <w:t>The rent for contract units does not exceed rents charged by the owner for</w:t>
      </w:r>
      <w:r>
        <w:rPr>
          <w:spacing w:val="-16"/>
          <w:sz w:val="24"/>
        </w:rPr>
        <w:t xml:space="preserve"> </w:t>
      </w:r>
      <w:r>
        <w:rPr>
          <w:sz w:val="24"/>
        </w:rPr>
        <w:t>comparable unassisted</w:t>
      </w:r>
      <w:r>
        <w:rPr>
          <w:spacing w:val="-2"/>
          <w:sz w:val="24"/>
        </w:rPr>
        <w:t xml:space="preserve"> </w:t>
      </w:r>
      <w:r>
        <w:rPr>
          <w:sz w:val="24"/>
        </w:rPr>
        <w:t>units;</w:t>
      </w:r>
    </w:p>
    <w:p w:rsidR="004E13A5" w:rsidRDefault="00681463">
      <w:pPr>
        <w:pStyle w:val="ListParagraph"/>
        <w:numPr>
          <w:ilvl w:val="0"/>
          <w:numId w:val="93"/>
        </w:numPr>
        <w:tabs>
          <w:tab w:val="left" w:pos="460"/>
          <w:tab w:val="left" w:pos="461"/>
        </w:tabs>
        <w:ind w:right="699"/>
        <w:rPr>
          <w:rFonts w:ascii="Symbol"/>
          <w:sz w:val="24"/>
        </w:rPr>
      </w:pPr>
      <w:r>
        <w:rPr>
          <w:sz w:val="24"/>
        </w:rPr>
        <w:t>Except for HAP and tenant rent, the owner has not received and will not receive any</w:t>
      </w:r>
      <w:r>
        <w:rPr>
          <w:spacing w:val="-15"/>
          <w:sz w:val="24"/>
        </w:rPr>
        <w:t xml:space="preserve"> </w:t>
      </w:r>
      <w:r>
        <w:rPr>
          <w:sz w:val="24"/>
        </w:rPr>
        <w:t>other payment or consideration for rental of the contract</w:t>
      </w:r>
      <w:r>
        <w:rPr>
          <w:spacing w:val="-10"/>
          <w:sz w:val="24"/>
        </w:rPr>
        <w:t xml:space="preserve"> </w:t>
      </w:r>
      <w:r>
        <w:rPr>
          <w:sz w:val="24"/>
        </w:rPr>
        <w:t>unit;</w:t>
      </w:r>
    </w:p>
    <w:p w:rsidR="004E13A5" w:rsidRDefault="00681463">
      <w:pPr>
        <w:pStyle w:val="ListParagraph"/>
        <w:numPr>
          <w:ilvl w:val="0"/>
          <w:numId w:val="93"/>
        </w:numPr>
        <w:tabs>
          <w:tab w:val="left" w:pos="460"/>
          <w:tab w:val="left" w:pos="461"/>
        </w:tabs>
        <w:ind w:right="522"/>
        <w:rPr>
          <w:rFonts w:ascii="Symbol"/>
          <w:sz w:val="24"/>
        </w:rPr>
      </w:pPr>
      <w:r>
        <w:rPr>
          <w:sz w:val="24"/>
        </w:rPr>
        <w:t>The family does not own or have any interest in the contract unit (does not apply to</w:t>
      </w:r>
      <w:r>
        <w:rPr>
          <w:spacing w:val="-19"/>
          <w:sz w:val="24"/>
        </w:rPr>
        <w:t xml:space="preserve"> </w:t>
      </w:r>
      <w:r>
        <w:rPr>
          <w:sz w:val="24"/>
        </w:rPr>
        <w:t>family's membership in a cooperative);</w:t>
      </w:r>
      <w:r>
        <w:rPr>
          <w:spacing w:val="-5"/>
          <w:sz w:val="24"/>
        </w:rPr>
        <w:t xml:space="preserve"> </w:t>
      </w:r>
      <w:r>
        <w:rPr>
          <w:sz w:val="24"/>
        </w:rPr>
        <w:t>and</w:t>
      </w:r>
    </w:p>
    <w:p w:rsidR="004E13A5" w:rsidRDefault="00681463">
      <w:pPr>
        <w:pStyle w:val="ListParagraph"/>
        <w:numPr>
          <w:ilvl w:val="0"/>
          <w:numId w:val="93"/>
        </w:numPr>
        <w:tabs>
          <w:tab w:val="left" w:pos="460"/>
          <w:tab w:val="left" w:pos="461"/>
        </w:tabs>
        <w:ind w:right="108"/>
        <w:rPr>
          <w:rFonts w:ascii="Symbol"/>
          <w:sz w:val="24"/>
        </w:rPr>
      </w:pPr>
      <w:r>
        <w:rPr>
          <w:sz w:val="24"/>
        </w:rPr>
        <w:t>Repair work on the project selected as an existing project that is performed after HAP</w:t>
      </w:r>
      <w:r>
        <w:rPr>
          <w:spacing w:val="-13"/>
          <w:sz w:val="24"/>
        </w:rPr>
        <w:t xml:space="preserve"> </w:t>
      </w:r>
      <w:r>
        <w:rPr>
          <w:sz w:val="24"/>
        </w:rPr>
        <w:t>execution within such post-execution period as specified by HUD may constitute development activity, and if determined to be development activity, the repair work undertaken shall be in</w:t>
      </w:r>
      <w:r>
        <w:rPr>
          <w:spacing w:val="-14"/>
          <w:sz w:val="24"/>
        </w:rPr>
        <w:t xml:space="preserve"> </w:t>
      </w:r>
      <w:r>
        <w:rPr>
          <w:sz w:val="24"/>
        </w:rPr>
        <w:t>compliance with Davis-Bacon wage</w:t>
      </w:r>
      <w:r>
        <w:rPr>
          <w:spacing w:val="-9"/>
          <w:sz w:val="24"/>
        </w:rPr>
        <w:t xml:space="preserve"> </w:t>
      </w:r>
      <w:r>
        <w:rPr>
          <w:sz w:val="24"/>
        </w:rPr>
        <w:t>requirements.</w:t>
      </w:r>
    </w:p>
    <w:p w:rsidR="004E13A5" w:rsidRDefault="004E13A5">
      <w:pPr>
        <w:pStyle w:val="BodyText"/>
        <w:spacing w:before="9"/>
        <w:ind w:left="0"/>
        <w:rPr>
          <w:sz w:val="20"/>
        </w:rPr>
      </w:pPr>
    </w:p>
    <w:p w:rsidR="004E13A5" w:rsidRDefault="00681463">
      <w:pPr>
        <w:pStyle w:val="Heading4"/>
        <w:spacing w:before="1"/>
      </w:pPr>
      <w:bookmarkStart w:id="364" w:name="_TOC_250067"/>
      <w:bookmarkEnd w:id="364"/>
      <w:r>
        <w:t>17-V.F. ADDITIONAL HAP REQUIREMENTS</w:t>
      </w:r>
    </w:p>
    <w:p w:rsidR="004E13A5" w:rsidRDefault="00681463">
      <w:pPr>
        <w:spacing w:before="117"/>
        <w:ind w:left="100"/>
        <w:rPr>
          <w:b/>
          <w:sz w:val="24"/>
        </w:rPr>
      </w:pPr>
      <w:r>
        <w:rPr>
          <w:b/>
          <w:sz w:val="24"/>
        </w:rPr>
        <w:t>Housing Quality and Design Requirements [24 CFR 983.101(e) and 983.208(a)]</w:t>
      </w:r>
    </w:p>
    <w:p w:rsidR="004E13A5" w:rsidRDefault="00681463">
      <w:pPr>
        <w:pStyle w:val="BodyText"/>
        <w:ind w:right="183"/>
      </w:pPr>
      <w:r>
        <w:t xml:space="preserve">The owner is required to maintain and operate the contract units and premises in accordance with </w:t>
      </w:r>
      <w:r w:rsidR="002C4221">
        <w:t>NSPIRE</w:t>
      </w:r>
      <w:r>
        <w:t>, including performance of ordinary and extraordinary maintenance. The owner must provide all the services, maintenance, equipment, and utilities specified in the HAP contract with the PHA and in the lease with each assisted family. In addition, maintenance, replacement and redecoration must be in accordance with the standard practice for the building as established by the owner.</w:t>
      </w:r>
    </w:p>
    <w:p w:rsidR="004E13A5" w:rsidRDefault="00681463">
      <w:pPr>
        <w:pStyle w:val="BodyText"/>
        <w:ind w:right="162"/>
      </w:pPr>
      <w:r>
        <w:t xml:space="preserve">The PHA may elect to establish additional requirements for quality, architecture, or design of PBV housing. Any such additional requirements must be specified in the Agreement to enter into a HAP contract and the HAP contract. These requirements must be in addition to, not in place of, compliance with </w:t>
      </w:r>
      <w:r w:rsidR="002C4221">
        <w:t>NSPIRE</w:t>
      </w:r>
      <w:r>
        <w:t>.</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316"/>
      </w:pPr>
      <w:r>
        <w:t>The PHA will identify the need for any special features on a case-by-case basis depending on the intended occupancy of the PBV project. The PHA will specify any special design standards or additional requirements in the invitation for PBV proposals, the agreement to enter into HAP contract, and the HAP contract.</w:t>
      </w:r>
    </w:p>
    <w:p w:rsidR="004E13A5" w:rsidRDefault="004E13A5">
      <w:pPr>
        <w:pStyle w:val="BodyText"/>
        <w:spacing w:before="0"/>
        <w:ind w:left="0"/>
        <w:rPr>
          <w:sz w:val="26"/>
        </w:rPr>
      </w:pPr>
    </w:p>
    <w:p w:rsidR="004E13A5" w:rsidRDefault="00681463">
      <w:pPr>
        <w:pStyle w:val="Heading4"/>
        <w:spacing w:before="216"/>
      </w:pPr>
      <w:bookmarkStart w:id="365" w:name="_TOC_250066"/>
      <w:bookmarkEnd w:id="365"/>
      <w:r>
        <w:t>Vacancy Payments [24 CFR 983.352(b)]</w:t>
      </w:r>
    </w:p>
    <w:p w:rsidR="004E13A5" w:rsidRDefault="00681463">
      <w:pPr>
        <w:pStyle w:val="BodyText"/>
        <w:ind w:right="101"/>
      </w:pPr>
      <w:r>
        <w:t>At the discretion of the PHA, the HAP contract may provide for vacancy payments to the owner for a PHA-determined period of vacancy extending from the beginning of the first calendar month after the move-out month for a period not exceeding two full months following the move-out month. The amount of the vacancy payment will be determined by the PHA and cannot exceed the monthly rent to owner under the assisted lease, minus any portion of the rental payment received by the owner (including amounts available from the tenant’s security deposit).</w:t>
      </w:r>
    </w:p>
    <w:p w:rsidR="004E13A5" w:rsidRDefault="00681463">
      <w:pPr>
        <w:pStyle w:val="BodyText"/>
        <w:ind w:left="820"/>
      </w:pPr>
      <w:r>
        <w:rPr>
          <w:u w:val="single"/>
        </w:rPr>
        <w:t>PHA Policy</w:t>
      </w:r>
    </w:p>
    <w:p w:rsidR="004E13A5" w:rsidRDefault="00681463">
      <w:pPr>
        <w:pStyle w:val="BodyText"/>
        <w:ind w:left="820" w:right="2"/>
      </w:pPr>
      <w:r>
        <w:t>The PHA will decide on a case-by-case basis if the PHA will provide vacancy payments to the owner. The HAP contract with the owner will contain any such agreement, including the amount of the vacancy payment and the period for which the owner will qualify for these payments.</w:t>
      </w:r>
    </w:p>
    <w:p w:rsidR="004E13A5" w:rsidRDefault="00681463">
      <w:pPr>
        <w:pStyle w:val="Heading4"/>
        <w:spacing w:before="5" w:line="510" w:lineRule="atLeast"/>
        <w:ind w:right="1597" w:firstLine="1478"/>
      </w:pPr>
      <w:r>
        <w:t>PART VI: SELECTION OF PBV PROGRAM PARTICIPANTS 17-VI.A. OVERVIEW</w:t>
      </w:r>
    </w:p>
    <w:p w:rsidR="004E13A5" w:rsidRDefault="00681463">
      <w:pPr>
        <w:pStyle w:val="BodyText"/>
        <w:ind w:right="138"/>
      </w:pPr>
      <w:r>
        <w:t>Many of the provisions of the tenant-based voucher regulations [24 CFR 982] also apply to the PBV program. This includes requirements related to determining eligibility and selecting</w:t>
      </w:r>
      <w:r>
        <w:rPr>
          <w:spacing w:val="-21"/>
        </w:rPr>
        <w:t xml:space="preserve"> </w:t>
      </w:r>
      <w:r>
        <w:t>applicants from the waiting list. Even with these similarities, there are requirements that are unique to the PBV program. This part describes the requirements and policies related to eligibility and admission to the PBV</w:t>
      </w:r>
      <w:r>
        <w:rPr>
          <w:spacing w:val="-7"/>
        </w:rPr>
        <w:t xml:space="preserve"> </w:t>
      </w:r>
      <w:r>
        <w:t>program.</w:t>
      </w:r>
    </w:p>
    <w:p w:rsidR="004E13A5" w:rsidRDefault="004E13A5">
      <w:pPr>
        <w:pStyle w:val="BodyText"/>
        <w:spacing w:before="9"/>
        <w:ind w:left="0"/>
        <w:rPr>
          <w:sz w:val="20"/>
        </w:rPr>
      </w:pPr>
    </w:p>
    <w:p w:rsidR="004E13A5" w:rsidRDefault="00681463">
      <w:pPr>
        <w:pStyle w:val="Heading4"/>
      </w:pPr>
      <w:bookmarkStart w:id="366" w:name="_TOC_250065"/>
      <w:bookmarkEnd w:id="366"/>
      <w:r>
        <w:t>17-VI.B. ELIGIBILITY FOR PBV ASSISTANCE [24 CFR 983.251(a) and (b)]</w:t>
      </w:r>
    </w:p>
    <w:p w:rsidR="004E13A5" w:rsidRDefault="00681463">
      <w:pPr>
        <w:pStyle w:val="BodyText"/>
        <w:ind w:right="305"/>
      </w:pPr>
      <w:r>
        <w:t>The PHA may select families for the PBV program from those who are participants in the PHA’s tenant-based voucher program and from those who have applied for admission to the voucher program. For voucher participants, eligibility was determined at original admission to the voucher program and does not need to be re-determined at the commencement of PBV assistance. For all others, eligibility for admission must be determined at the commencement of PBV assistance.</w:t>
      </w:r>
    </w:p>
    <w:p w:rsidR="004E13A5" w:rsidRDefault="00681463">
      <w:pPr>
        <w:pStyle w:val="BodyText"/>
        <w:ind w:right="301"/>
      </w:pPr>
      <w:r>
        <w:t>Applicants for PBV assistance must meet the same eligibility requirements as applicants for the tenant-based voucher program. Applicants must qualify as a family as defined by HUD and the PHA, have income at or below HUD-specified income limits, and qualify on the basis of citizenship or the eligible immigration status of family members [24 CFR 982.201(a) and 24 CFR 983.2(a)]. In addition, an applicant family must provide social security information for family members [24 CFR 5.216 and 5.218] and consent to the PHA’s collection and use of family information regarding income, expenses, and family composition [24 CFR 5.230]. The PHA may also not approve a tenancy if the owner (including a principal or other interested party) of the unit is the parent, child, grandparent, grandchild, sister, or brother of any member of the family, unless needed as a reasonable accommodation. An applicant family must also meet HUD requirements related to current or past criminal activity.</w:t>
      </w:r>
    </w:p>
    <w:p w:rsidR="004E13A5" w:rsidRDefault="004E13A5">
      <w:pPr>
        <w:sectPr w:rsidR="004E13A5">
          <w:pgSz w:w="12240" w:h="15840"/>
          <w:pgMar w:top="1000" w:right="120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415"/>
      </w:pPr>
      <w:r>
        <w:t>The PHA will determine an applicant family’s eligibility for the PBV program in accordance with the policies in Chapter 3.</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4"/>
      </w:pPr>
      <w:bookmarkStart w:id="367" w:name="_TOC_250064"/>
      <w:bookmarkEnd w:id="367"/>
      <w:r>
        <w:t>In-Place Families [24 CFR 983.251(b)]</w:t>
      </w:r>
    </w:p>
    <w:p w:rsidR="004E13A5" w:rsidRDefault="00681463">
      <w:pPr>
        <w:pStyle w:val="BodyText"/>
        <w:ind w:right="195"/>
      </w:pPr>
      <w:r>
        <w:t>An eligible family residing in a proposed PBV contract unit on the date the proposal is selected by the PHA is considered an “in-place family.” These families are afforded protection from displacement under the PBV rule. If a unit to be placed under contract (either an existing unit or a unit requiring rehabilitation) is occupied by an eligible family on the date the proposal is selected, the in-place family must be placed on the PHA’s waiting list. Once the family’s continued eligibility is determined (the PHA may deny assistance to an in-place family for the grounds specified in 24 CFR 982.552 and 982.553), the family must be given an absolute selection preference and the PHA must refer these families to the project owner for an appropriately sized PBV unit in the project. Admission of eligible in-place families is not subject to income targeting requirements.</w:t>
      </w:r>
    </w:p>
    <w:p w:rsidR="004E13A5" w:rsidRDefault="00681463">
      <w:pPr>
        <w:pStyle w:val="BodyText"/>
        <w:ind w:right="575"/>
      </w:pPr>
      <w:r>
        <w:t>This regulatory protection from displacement does not apply to families that are not eligible to participate in the program on the proposal selection date.</w:t>
      </w:r>
    </w:p>
    <w:p w:rsidR="004E13A5" w:rsidRDefault="004E13A5">
      <w:pPr>
        <w:pStyle w:val="BodyText"/>
        <w:spacing w:before="9"/>
        <w:ind w:left="0"/>
        <w:rPr>
          <w:sz w:val="20"/>
        </w:rPr>
      </w:pPr>
    </w:p>
    <w:p w:rsidR="004E13A5" w:rsidRDefault="00681463">
      <w:pPr>
        <w:pStyle w:val="Heading4"/>
      </w:pPr>
      <w:r>
        <w:t>17-VI.C. ORGANIZATION OF THE WAITING LIST [24 CFR 983.251(c)]</w:t>
      </w:r>
    </w:p>
    <w:p w:rsidR="004E13A5" w:rsidRDefault="00681463">
      <w:pPr>
        <w:pStyle w:val="BodyText"/>
        <w:ind w:right="107"/>
      </w:pPr>
      <w:r>
        <w:t>The PHA may establish a separate waiting list for PBV units or it may use the same waiting list for both tenant-based and PBV assistance. The PHA may also merge the PBV waiting list with a waiting list for other assisted housing programs offered by the PHA. If the PHA chooses to offer a separate waiting list for PBV assistance, the PHA must offer to place applicants who are listed on the tenant-based waiting list on the waiting list for PBV assistance.</w:t>
      </w:r>
    </w:p>
    <w:p w:rsidR="004E13A5" w:rsidRDefault="00681463">
      <w:pPr>
        <w:pStyle w:val="BodyText"/>
        <w:ind w:right="95"/>
      </w:pPr>
      <w:r>
        <w:t>If a PHA decides to establish a separate PBV waiting list, the PHA may use a single waiting list for the PHA’s whole PBV program, or it may establish separate waiting lists for PBV units in particular projects or buildings or for sets of such units.</w:t>
      </w:r>
    </w:p>
    <w:p w:rsidR="004E13A5" w:rsidRDefault="00681463">
      <w:pPr>
        <w:pStyle w:val="BodyText"/>
        <w:ind w:left="820"/>
      </w:pPr>
      <w:r>
        <w:rPr>
          <w:u w:val="single"/>
        </w:rPr>
        <w:t>PHA Policy</w:t>
      </w:r>
    </w:p>
    <w:p w:rsidR="004E13A5" w:rsidRDefault="00681463">
      <w:pPr>
        <w:pStyle w:val="BodyText"/>
        <w:ind w:left="820" w:right="495"/>
      </w:pPr>
      <w:r>
        <w:t>The PHA will establish and manage separate waiting lists for individual projects or buildings that are receiving PBV assistance. The PHA currently has waiting lists for the following PBV projects:</w:t>
      </w:r>
    </w:p>
    <w:p w:rsidR="004E13A5" w:rsidRDefault="00681463">
      <w:pPr>
        <w:pStyle w:val="BodyText"/>
        <w:ind w:left="1540"/>
      </w:pPr>
      <w:r>
        <w:t>No current PBV projects</w:t>
      </w:r>
    </w:p>
    <w:p w:rsidR="004E13A5" w:rsidRDefault="00681463">
      <w:pPr>
        <w:pStyle w:val="Heading4"/>
        <w:spacing w:before="119"/>
      </w:pPr>
      <w:r>
        <w:t>17-VI.D. SELECTION FROM THE WAITING LIST [24 CFR 983.251(c)]</w:t>
      </w:r>
    </w:p>
    <w:p w:rsidR="004E13A5" w:rsidRDefault="00681463">
      <w:pPr>
        <w:pStyle w:val="BodyText"/>
        <w:spacing w:before="120"/>
        <w:ind w:right="83"/>
      </w:pPr>
      <w:r>
        <w:t>Applicants who will occupy units with PBV assistance must be selected from the PHA’s waiting list. The PHA may establish selection criteria or preferences for occupancy of particular PBV units. The PHA may place families referred by the PBV owner on its PBV waiting list.</w:t>
      </w:r>
    </w:p>
    <w:p w:rsidR="004E13A5" w:rsidRDefault="00681463">
      <w:pPr>
        <w:pStyle w:val="Heading4"/>
        <w:spacing w:before="120"/>
      </w:pPr>
      <w:bookmarkStart w:id="368" w:name="_TOC_250063"/>
      <w:bookmarkEnd w:id="368"/>
      <w:r>
        <w:t>Income Targeting [24 CFR 983.251(c)(6)]</w:t>
      </w:r>
    </w:p>
    <w:p w:rsidR="004E13A5" w:rsidRDefault="00681463">
      <w:pPr>
        <w:pStyle w:val="BodyText"/>
        <w:spacing w:before="120"/>
        <w:ind w:right="155"/>
      </w:pPr>
      <w:r>
        <w:t>At least 75 percent of the families admitted to the PHA’s tenant-based and project-based voucher programs during the PHA fiscal year from the waiting list must be extremely-low income families. The income targeting requirement applies to the total of admissions to both programs.</w:t>
      </w:r>
    </w:p>
    <w:p w:rsidR="004E13A5" w:rsidRDefault="004E13A5">
      <w:pPr>
        <w:sectPr w:rsidR="004E13A5">
          <w:pgSz w:w="12240" w:h="15840"/>
          <w:pgMar w:top="1000" w:right="1260" w:bottom="1240" w:left="1220" w:header="0" w:footer="998" w:gutter="0"/>
          <w:cols w:space="720"/>
        </w:sectPr>
      </w:pPr>
    </w:p>
    <w:p w:rsidR="004E13A5" w:rsidRDefault="00681463">
      <w:pPr>
        <w:pStyle w:val="Heading4"/>
        <w:spacing w:before="79"/>
      </w:pPr>
      <w:bookmarkStart w:id="369" w:name="_TOC_250062"/>
      <w:bookmarkEnd w:id="369"/>
      <w:r>
        <w:lastRenderedPageBreak/>
        <w:t>Units with Accessibility Features [24 CFR 983.251(c)(7)]</w:t>
      </w:r>
    </w:p>
    <w:p w:rsidR="004E13A5" w:rsidRDefault="00681463">
      <w:pPr>
        <w:pStyle w:val="BodyText"/>
        <w:spacing w:before="120"/>
        <w:ind w:right="286"/>
      </w:pPr>
      <w:r>
        <w:t>When selecting families to occupy PBV units that have special accessibility features for persons with disabilities, the PHA must first refer families who require such features to the owner.</w:t>
      </w:r>
    </w:p>
    <w:p w:rsidR="004E13A5" w:rsidRDefault="00681463">
      <w:pPr>
        <w:pStyle w:val="Heading4"/>
        <w:spacing w:before="119"/>
      </w:pPr>
      <w:bookmarkStart w:id="370" w:name="_TOC_250061"/>
      <w:bookmarkEnd w:id="370"/>
      <w:r>
        <w:t>Preferences [24 CFR 983.251(d), FR Notice 11/24/08]</w:t>
      </w:r>
    </w:p>
    <w:p w:rsidR="004E13A5" w:rsidRDefault="00681463">
      <w:pPr>
        <w:pStyle w:val="BodyText"/>
        <w:ind w:right="235"/>
      </w:pPr>
      <w:r>
        <w:t>The PHA may use the same selection preferences that are used for the tenant-based voucher program, establish selection criteria or preferences for the PBV program as a whole, or for occupancy of particular PBV developments or units. The PHA must provide an absolute selection preference for eligible in-place families as described in Section 17-VI.B. above.</w:t>
      </w:r>
    </w:p>
    <w:p w:rsidR="004E13A5" w:rsidRDefault="00681463">
      <w:pPr>
        <w:pStyle w:val="BodyText"/>
      </w:pPr>
      <w:r>
        <w:t>The PHA may establish a selection preference for families who qualify for voluntary services, including disability-specific services, offered in conjunction with assisted units, provided that preference is consistent with the PHA plan. The PHA may not, however, grant a preference to a person with a specific disability [FR Notice 1/18/17].</w:t>
      </w:r>
    </w:p>
    <w:p w:rsidR="004E13A5" w:rsidRDefault="00681463">
      <w:pPr>
        <w:pStyle w:val="BodyText"/>
        <w:spacing w:before="120"/>
        <w:ind w:right="89"/>
      </w:pPr>
      <w:r>
        <w:t>In advertising such a project, the owner may advertise the project as offering services for a particular type of disability; however, the project must be open to all otherwise eligible disabled persons who may benefit from services provided in the project. In these projects, disabled residents may not be required to accept the particular services offered as a condition of occupancy.</w:t>
      </w:r>
    </w:p>
    <w:p w:rsidR="004E13A5" w:rsidRDefault="00681463">
      <w:pPr>
        <w:pStyle w:val="BodyText"/>
        <w:spacing w:before="120"/>
        <w:ind w:right="209"/>
      </w:pPr>
      <w:r>
        <w:t>If the PHA has projects with “excepted units” for elderly families or supportive services, the PHA must give preference to such families when referring families to these units [24 CFR 983.261(b); FR Notice 1/18/17].</w:t>
      </w:r>
    </w:p>
    <w:p w:rsidR="004E13A5" w:rsidRDefault="00681463">
      <w:pPr>
        <w:pStyle w:val="BodyText"/>
        <w:spacing w:before="120"/>
        <w:ind w:left="820"/>
      </w:pPr>
      <w:r>
        <w:rPr>
          <w:u w:val="single"/>
        </w:rPr>
        <w:t>PHA Policy</w:t>
      </w:r>
    </w:p>
    <w:p w:rsidR="004E13A5" w:rsidRDefault="00681463">
      <w:pPr>
        <w:pStyle w:val="BodyText"/>
        <w:spacing w:before="120"/>
        <w:ind w:left="820" w:right="136"/>
      </w:pPr>
      <w:r>
        <w:t>The PHA will provide a selection preference when required by the regulation (e.g., eligible in-place families, elderly families or units with supportive services, or mobility impaired persons for accessible units). The PHA will not offer any additional preferences for the PBV program or for particular PBV projects or units.</w:t>
      </w:r>
    </w:p>
    <w:p w:rsidR="004E13A5" w:rsidRDefault="004E13A5">
      <w:pPr>
        <w:pStyle w:val="BodyText"/>
        <w:spacing w:before="9"/>
        <w:ind w:left="0"/>
        <w:rPr>
          <w:sz w:val="20"/>
        </w:rPr>
      </w:pPr>
    </w:p>
    <w:p w:rsidR="004E13A5" w:rsidRDefault="00681463">
      <w:pPr>
        <w:pStyle w:val="Heading4"/>
        <w:spacing w:before="1"/>
      </w:pPr>
      <w:bookmarkStart w:id="371" w:name="_TOC_250060"/>
      <w:bookmarkEnd w:id="371"/>
      <w:r>
        <w:t>17-VI.E. OFFER OF PBV ASSISTANCE</w:t>
      </w:r>
    </w:p>
    <w:p w:rsidR="004E13A5" w:rsidRDefault="00681463">
      <w:pPr>
        <w:pStyle w:val="Heading4"/>
        <w:spacing w:before="120"/>
      </w:pPr>
      <w:bookmarkStart w:id="372" w:name="_TOC_250059"/>
      <w:bookmarkEnd w:id="372"/>
      <w:r>
        <w:t>Refusal of Offer [24 CFR 983.251(e)(3)]</w:t>
      </w:r>
    </w:p>
    <w:p w:rsidR="004E13A5" w:rsidRDefault="00681463">
      <w:pPr>
        <w:pStyle w:val="BodyText"/>
        <w:spacing w:before="120"/>
        <w:ind w:right="288"/>
      </w:pPr>
      <w:r>
        <w:t>The PHA is prohibited from taking any of the following actions against a family who has applied for, received, or refused an offer of PBV assistance:</w:t>
      </w:r>
    </w:p>
    <w:p w:rsidR="004E13A5" w:rsidRDefault="00681463">
      <w:pPr>
        <w:pStyle w:val="ListParagraph"/>
        <w:numPr>
          <w:ilvl w:val="0"/>
          <w:numId w:val="93"/>
        </w:numPr>
        <w:tabs>
          <w:tab w:val="left" w:pos="460"/>
          <w:tab w:val="left" w:pos="461"/>
        </w:tabs>
        <w:rPr>
          <w:rFonts w:ascii="Symbol"/>
          <w:sz w:val="24"/>
        </w:rPr>
      </w:pPr>
      <w:r>
        <w:rPr>
          <w:sz w:val="24"/>
        </w:rPr>
        <w:t>Refuse to list the applicant on the waiting list for tenant-based voucher</w:t>
      </w:r>
      <w:r>
        <w:rPr>
          <w:spacing w:val="-11"/>
          <w:sz w:val="24"/>
        </w:rPr>
        <w:t xml:space="preserve"> </w:t>
      </w:r>
      <w:r>
        <w:rPr>
          <w:sz w:val="24"/>
        </w:rPr>
        <w:t>assistance;</w:t>
      </w:r>
    </w:p>
    <w:p w:rsidR="004E13A5" w:rsidRDefault="00681463">
      <w:pPr>
        <w:pStyle w:val="ListParagraph"/>
        <w:numPr>
          <w:ilvl w:val="0"/>
          <w:numId w:val="93"/>
        </w:numPr>
        <w:tabs>
          <w:tab w:val="left" w:pos="460"/>
          <w:tab w:val="left" w:pos="461"/>
        </w:tabs>
        <w:spacing w:before="118"/>
        <w:rPr>
          <w:rFonts w:ascii="Symbol"/>
          <w:sz w:val="24"/>
        </w:rPr>
      </w:pPr>
      <w:r>
        <w:rPr>
          <w:sz w:val="24"/>
        </w:rPr>
        <w:t>Deny any admission preference for which the applicant</w:t>
      </w:r>
      <w:r>
        <w:rPr>
          <w:spacing w:val="-13"/>
          <w:sz w:val="24"/>
        </w:rPr>
        <w:t xml:space="preserve"> </w:t>
      </w:r>
      <w:r>
        <w:rPr>
          <w:sz w:val="24"/>
        </w:rPr>
        <w:t>qualifies;</w:t>
      </w:r>
    </w:p>
    <w:p w:rsidR="004E13A5" w:rsidRDefault="00681463">
      <w:pPr>
        <w:pStyle w:val="ListParagraph"/>
        <w:numPr>
          <w:ilvl w:val="0"/>
          <w:numId w:val="93"/>
        </w:numPr>
        <w:tabs>
          <w:tab w:val="left" w:pos="460"/>
          <w:tab w:val="left" w:pos="461"/>
        </w:tabs>
        <w:spacing w:before="118"/>
        <w:ind w:right="1014"/>
        <w:rPr>
          <w:rFonts w:ascii="Symbol" w:hAnsi="Symbol"/>
          <w:sz w:val="24"/>
        </w:rPr>
      </w:pPr>
      <w:r>
        <w:rPr>
          <w:sz w:val="24"/>
        </w:rPr>
        <w:t>Change the applicant’s place on the waiting list based on preference, date, and time of application, or other factors affecting selection under the PHA’s selection</w:t>
      </w:r>
      <w:r>
        <w:rPr>
          <w:spacing w:val="-18"/>
          <w:sz w:val="24"/>
        </w:rPr>
        <w:t xml:space="preserve"> </w:t>
      </w:r>
      <w:r>
        <w:rPr>
          <w:sz w:val="24"/>
        </w:rPr>
        <w:t>policy;</w:t>
      </w:r>
    </w:p>
    <w:p w:rsidR="004E13A5" w:rsidRDefault="00681463">
      <w:pPr>
        <w:pStyle w:val="ListParagraph"/>
        <w:numPr>
          <w:ilvl w:val="0"/>
          <w:numId w:val="93"/>
        </w:numPr>
        <w:tabs>
          <w:tab w:val="left" w:pos="460"/>
          <w:tab w:val="left" w:pos="461"/>
        </w:tabs>
        <w:rPr>
          <w:rFonts w:ascii="Symbol"/>
          <w:sz w:val="24"/>
        </w:rPr>
      </w:pPr>
      <w:r>
        <w:rPr>
          <w:sz w:val="24"/>
        </w:rPr>
        <w:t>Remove the applicant from the tenant-based voucher waiting</w:t>
      </w:r>
      <w:r>
        <w:rPr>
          <w:spacing w:val="-10"/>
          <w:sz w:val="24"/>
        </w:rPr>
        <w:t xml:space="preserve"> </w:t>
      </w:r>
      <w:r>
        <w:rPr>
          <w:sz w:val="24"/>
        </w:rPr>
        <w:t>list.</w:t>
      </w:r>
    </w:p>
    <w:p w:rsidR="004E13A5" w:rsidRDefault="00681463">
      <w:pPr>
        <w:pStyle w:val="Heading4"/>
        <w:spacing w:before="118"/>
      </w:pPr>
      <w:bookmarkStart w:id="373" w:name="_TOC_250058"/>
      <w:bookmarkEnd w:id="373"/>
      <w:r>
        <w:t>Disapproval by Landlord [24 CFR 983.251(e)(2)]</w:t>
      </w:r>
    </w:p>
    <w:p w:rsidR="004E13A5" w:rsidRDefault="00681463">
      <w:pPr>
        <w:pStyle w:val="BodyText"/>
        <w:ind w:right="286"/>
      </w:pPr>
      <w:r>
        <w:t>If a PBV owner rejects a family for admission to the owner’s units, such rejection may not affect the family’s position on the tenant-based voucher waiting list.</w:t>
      </w:r>
    </w:p>
    <w:p w:rsidR="004E13A5" w:rsidRDefault="004E13A5">
      <w:pPr>
        <w:sectPr w:rsidR="004E13A5">
          <w:pgSz w:w="12240" w:h="15840"/>
          <w:pgMar w:top="1000" w:right="1280" w:bottom="1240" w:left="1220" w:header="0" w:footer="998" w:gutter="0"/>
          <w:cols w:space="720"/>
        </w:sectPr>
      </w:pPr>
    </w:p>
    <w:p w:rsidR="004E13A5" w:rsidRDefault="00681463">
      <w:pPr>
        <w:pStyle w:val="Heading4"/>
        <w:spacing w:before="75"/>
      </w:pPr>
      <w:bookmarkStart w:id="374" w:name="_TOC_250057"/>
      <w:bookmarkEnd w:id="374"/>
      <w:r>
        <w:lastRenderedPageBreak/>
        <w:t>Acceptance of Offer [24 CFR 983.252]</w:t>
      </w:r>
    </w:p>
    <w:p w:rsidR="004E13A5" w:rsidRDefault="00681463">
      <w:pPr>
        <w:pStyle w:val="Heading5"/>
      </w:pPr>
      <w:r>
        <w:t>Family Briefing</w:t>
      </w:r>
    </w:p>
    <w:p w:rsidR="004E13A5" w:rsidRDefault="00681463">
      <w:pPr>
        <w:pStyle w:val="BodyText"/>
        <w:ind w:right="156"/>
      </w:pPr>
      <w:r>
        <w:t>When a family accepts an offer for PBV assistance, the PHA must give the family an oral briefing. The briefing must include information on how the program works and the responsibilities of the family and owner. In addition to the oral briefing, the PHA must provide a briefing packet that explains how the PHA determines the total tenant payment for a family, the family obligations under the program, and applicable fair housing information.</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5"/>
        <w:spacing w:before="0"/>
      </w:pPr>
      <w:r>
        <w:t>Persons with Disabilities</w:t>
      </w:r>
    </w:p>
    <w:p w:rsidR="004E13A5" w:rsidRDefault="00681463">
      <w:pPr>
        <w:pStyle w:val="BodyText"/>
        <w:spacing w:before="120"/>
        <w:ind w:right="175"/>
      </w:pPr>
      <w:r>
        <w:t>If an applicant family’s head or spouse is disabled, the PHA must assure effective communication, in accordance with 24 CFR 8.6, in conducting the oral briefing and in providing the written information packet. This may include making alternative formats available (see Chapter 2). In addition, the PHA must have a mechanism for referring a family that includes a member with a mobility impairment to an appropriate accessible PBV unit.</w:t>
      </w:r>
    </w:p>
    <w:p w:rsidR="004E13A5" w:rsidRDefault="00681463">
      <w:pPr>
        <w:pStyle w:val="Heading5"/>
      </w:pPr>
      <w:r>
        <w:t>Persons with Limited English Proficiency</w:t>
      </w:r>
    </w:p>
    <w:p w:rsidR="004E13A5" w:rsidRDefault="00681463">
      <w:pPr>
        <w:pStyle w:val="BodyText"/>
        <w:ind w:right="114"/>
        <w:jc w:val="both"/>
      </w:pPr>
      <w:r>
        <w:t>The PHA should take reasonable steps to assure meaningful access by persons with limited English proficiency in accordance with Title VI of the Civil Rights Act of 1964 and Executive Order 13166 (see Chapter 2).</w:t>
      </w:r>
    </w:p>
    <w:p w:rsidR="004E13A5" w:rsidRDefault="004E13A5">
      <w:pPr>
        <w:pStyle w:val="BodyText"/>
        <w:spacing w:before="9"/>
        <w:ind w:left="0"/>
        <w:rPr>
          <w:sz w:val="20"/>
        </w:rPr>
      </w:pPr>
    </w:p>
    <w:p w:rsidR="004E13A5" w:rsidRDefault="00681463">
      <w:pPr>
        <w:pStyle w:val="Heading4"/>
      </w:pPr>
      <w:bookmarkStart w:id="375" w:name="_TOC_250056"/>
      <w:bookmarkEnd w:id="375"/>
      <w:r>
        <w:t>17-VI.F. OWNER SELECTION OF TENANTS</w:t>
      </w:r>
    </w:p>
    <w:p w:rsidR="004E13A5" w:rsidRDefault="00681463">
      <w:pPr>
        <w:pStyle w:val="BodyText"/>
        <w:ind w:right="75"/>
      </w:pPr>
      <w:r>
        <w:t>The owner is responsible for developing written tenant selection procedures that are consistent with the purpose of improving housing opportunities for very low-income families and reasonably related to program eligibility and an applicant’s ability to fulfill their obligations under the lease.</w:t>
      </w:r>
    </w:p>
    <w:p w:rsidR="004E13A5" w:rsidRDefault="00681463">
      <w:pPr>
        <w:pStyle w:val="BodyText"/>
        <w:spacing w:before="0"/>
        <w:ind w:right="329"/>
      </w:pPr>
      <w:r>
        <w:t>An owner must promptly notify in writing any rejected applicant of the grounds for any rejection [24 CFR 983.253(a)(2) and (a)(3)].</w:t>
      </w:r>
    </w:p>
    <w:p w:rsidR="004E13A5" w:rsidRDefault="00681463">
      <w:pPr>
        <w:pStyle w:val="Heading4"/>
        <w:spacing w:before="120"/>
      </w:pPr>
      <w:bookmarkStart w:id="376" w:name="_TOC_250055"/>
      <w:bookmarkEnd w:id="376"/>
      <w:r>
        <w:t>Leasing [24 CFR 983.253(a)]</w:t>
      </w:r>
    </w:p>
    <w:p w:rsidR="004E13A5" w:rsidRDefault="00681463">
      <w:pPr>
        <w:pStyle w:val="BodyText"/>
        <w:ind w:right="136"/>
      </w:pPr>
      <w:r>
        <w:t>During the term of the HAP contract, the owner must lease contract units to eligible families that are selected and referred by the PHA from the PHA’s waiting list. The contract unit leased to the family must be the appropriate size unit for the size of the family, based on the PHA’s subsidy standards.</w:t>
      </w:r>
    </w:p>
    <w:p w:rsidR="004E13A5" w:rsidRDefault="00681463">
      <w:pPr>
        <w:pStyle w:val="Heading4"/>
        <w:spacing w:before="119"/>
      </w:pPr>
      <w:bookmarkStart w:id="377" w:name="_TOC_250054"/>
      <w:bookmarkEnd w:id="377"/>
      <w:r>
        <w:t>Filling Vacancies [24 CFR 983.254(a)]</w:t>
      </w:r>
    </w:p>
    <w:p w:rsidR="004E13A5" w:rsidRDefault="00681463">
      <w:pPr>
        <w:pStyle w:val="BodyText"/>
        <w:spacing w:before="120"/>
        <w:ind w:right="343"/>
      </w:pPr>
      <w:r>
        <w:t>The owner must promptly notify the PHA of any vacancy or expected vacancy in a contract unit. After receiving such notice, the PHA must make every reasonable effort to promptly refer a sufficient number of families for the owner to fill such vacancies. The PHA and the owner must make reasonable efforts to minimize the likelihood and length of any vacancy.</w:t>
      </w:r>
    </w:p>
    <w:p w:rsidR="004E13A5" w:rsidRDefault="004E13A5">
      <w:pPr>
        <w:sectPr w:rsidR="004E13A5">
          <w:pgSz w:w="12240" w:h="15840"/>
          <w:pgMar w:top="1400" w:right="1260" w:bottom="1240" w:left="1220" w:header="0" w:footer="998"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20"/>
        <w:ind w:left="820" w:right="88"/>
      </w:pPr>
      <w:r>
        <w:t>The owner must notify the PHA in writing (mail, fax, or email) within five business days of learning about any vacancy or expected vacancy.</w:t>
      </w:r>
    </w:p>
    <w:p w:rsidR="004E13A5" w:rsidRDefault="00681463">
      <w:pPr>
        <w:pStyle w:val="BodyText"/>
        <w:ind w:left="820" w:right="876"/>
      </w:pPr>
      <w:r>
        <w:t>The PHA will make every reasonable effort to refer families to the owner within 10 business days of receiving such notice from the owner.</w:t>
      </w:r>
    </w:p>
    <w:p w:rsidR="004E13A5" w:rsidRDefault="004E13A5">
      <w:pPr>
        <w:pStyle w:val="BodyText"/>
        <w:spacing w:before="0"/>
        <w:ind w:left="0"/>
        <w:rPr>
          <w:sz w:val="26"/>
        </w:rPr>
      </w:pPr>
    </w:p>
    <w:p w:rsidR="004E13A5" w:rsidRDefault="00681463">
      <w:pPr>
        <w:pStyle w:val="Heading4"/>
        <w:spacing w:before="216"/>
      </w:pPr>
      <w:r>
        <w:t>Reduction in HAP Contract Units Due to Vacancies [24 CFR 983.254(b)]</w:t>
      </w:r>
    </w:p>
    <w:p w:rsidR="004E13A5" w:rsidRDefault="00681463">
      <w:pPr>
        <w:pStyle w:val="BodyText"/>
      </w:pPr>
      <w:r>
        <w:t>If any contract units have been vacant for 120 or more days since owner notice of the vacancy, the PHA may give notice to the owner amending the HAP contract to reduce the number of contract units by subtracting the number of contract units (according to the bedroom size) that have been vacant for this period.</w:t>
      </w:r>
    </w:p>
    <w:p w:rsidR="004E13A5" w:rsidRDefault="00681463">
      <w:pPr>
        <w:pStyle w:val="BodyText"/>
        <w:ind w:left="820"/>
      </w:pPr>
      <w:r>
        <w:rPr>
          <w:u w:val="single"/>
        </w:rPr>
        <w:t>PHA Policy</w:t>
      </w:r>
    </w:p>
    <w:p w:rsidR="004E13A5" w:rsidRDefault="00681463">
      <w:pPr>
        <w:pStyle w:val="BodyText"/>
        <w:spacing w:before="123" w:line="276" w:lineRule="exact"/>
        <w:ind w:left="820" w:right="136"/>
      </w:pPr>
      <w:r>
        <w:t>If any contract units have been vacant for 180 days, the PHA will give notice to the owner that the HAP contract will be amended to reduce the number of contract units that have been vacant for this period. The PHA will provide the notice to the owner within 10 business days of the 180</w:t>
      </w:r>
      <w:r>
        <w:rPr>
          <w:position w:val="9"/>
          <w:sz w:val="16"/>
        </w:rPr>
        <w:t xml:space="preserve">th </w:t>
      </w:r>
      <w:r>
        <w:t>day of the vacancy. The amendment to the HAP contract will be effective the 1</w:t>
      </w:r>
      <w:r>
        <w:rPr>
          <w:position w:val="9"/>
          <w:sz w:val="16"/>
        </w:rPr>
        <w:t xml:space="preserve">st </w:t>
      </w:r>
      <w:r>
        <w:t>day of the month following the date of the PHA’s notice.</w:t>
      </w:r>
    </w:p>
    <w:p w:rsidR="004E13A5" w:rsidRDefault="00681463">
      <w:pPr>
        <w:pStyle w:val="Heading4"/>
        <w:spacing w:before="236"/>
      </w:pPr>
      <w:bookmarkStart w:id="378" w:name="_TOC_250053"/>
      <w:bookmarkEnd w:id="378"/>
      <w:r>
        <w:t>17-VI.G. TENANT SCREENING [24 CFR 983.255]</w:t>
      </w:r>
    </w:p>
    <w:p w:rsidR="004E13A5" w:rsidRDefault="00681463">
      <w:pPr>
        <w:pStyle w:val="Heading4"/>
        <w:spacing w:before="120"/>
      </w:pPr>
      <w:bookmarkStart w:id="379" w:name="_TOC_250052"/>
      <w:bookmarkEnd w:id="379"/>
      <w:r>
        <w:t>PHA Responsibility</w:t>
      </w:r>
    </w:p>
    <w:p w:rsidR="004E13A5" w:rsidRDefault="00681463">
      <w:pPr>
        <w:pStyle w:val="BodyText"/>
        <w:spacing w:before="120"/>
      </w:pPr>
      <w:r>
        <w:t>The PHA is not responsible or liable to the owner or any other person for the family’s behavior or suitability for tenancy. However, the PHA may opt to screen applicants for family behavior or suitability for tenancy and may deny applicants based on such screening.</w:t>
      </w:r>
    </w:p>
    <w:p w:rsidR="004E13A5" w:rsidRDefault="00681463">
      <w:pPr>
        <w:pStyle w:val="BodyText"/>
        <w:spacing w:before="120"/>
        <w:ind w:left="820"/>
      </w:pPr>
      <w:r>
        <w:rPr>
          <w:u w:val="single"/>
        </w:rPr>
        <w:t>PHA Policy</w:t>
      </w:r>
    </w:p>
    <w:p w:rsidR="004E13A5" w:rsidRDefault="00681463">
      <w:pPr>
        <w:pStyle w:val="BodyText"/>
        <w:ind w:left="820" w:right="268"/>
      </w:pPr>
      <w:r>
        <w:t>The PHA will not conduct screening to determine a PBV applicant family’s suitability for tenancy.</w:t>
      </w:r>
    </w:p>
    <w:p w:rsidR="004E13A5" w:rsidRDefault="00681463">
      <w:pPr>
        <w:pStyle w:val="BodyText"/>
        <w:ind w:right="96"/>
      </w:pPr>
      <w:r>
        <w:t>The PHA must provide the owner with an applicant family’s current and prior address (as shown</w:t>
      </w:r>
      <w:r>
        <w:rPr>
          <w:spacing w:val="-18"/>
        </w:rPr>
        <w:t xml:space="preserve"> </w:t>
      </w:r>
      <w:r>
        <w:t>in PHA records) and the name and address (if known by the PHA) of the family’s current landlord and any prior</w:t>
      </w:r>
      <w:r>
        <w:rPr>
          <w:spacing w:val="-5"/>
        </w:rPr>
        <w:t xml:space="preserve"> </w:t>
      </w:r>
      <w:r>
        <w:t>landlords.</w:t>
      </w:r>
    </w:p>
    <w:p w:rsidR="004E13A5" w:rsidRDefault="00681463">
      <w:pPr>
        <w:pStyle w:val="BodyText"/>
      </w:pPr>
      <w:r>
        <w:t>In addition, the PHA may offer the owner other information the PHA may have about a family, including information about the tenancy history of family members or about drug trafficking and criminal activity by family members. The PHA must provide applicant families a description of the PHA policy on providing information to owners, and the PHA must give the same types of information to all owners.</w:t>
      </w:r>
    </w:p>
    <w:p w:rsidR="004E13A5" w:rsidRDefault="00681463">
      <w:pPr>
        <w:pStyle w:val="BodyText"/>
        <w:spacing w:before="120"/>
        <w:ind w:right="621"/>
      </w:pPr>
      <w:r>
        <w:t>The PHA may not disclose to the owner any confidential information provided in response to a request for documentation of domestic violence, dating violence, sexual assault, or stalking except at the written request or with the written consent of the individual providing the documentation [24 CFR 5.2007(a)(4)].</w:t>
      </w:r>
    </w:p>
    <w:p w:rsidR="004E13A5" w:rsidRDefault="00681463">
      <w:pPr>
        <w:pStyle w:val="BodyText"/>
        <w:spacing w:before="120"/>
        <w:ind w:left="820"/>
      </w:pPr>
      <w:r>
        <w:rPr>
          <w:u w:val="single"/>
        </w:rPr>
        <w:t>PHA Policy</w:t>
      </w:r>
    </w:p>
    <w:p w:rsidR="004E13A5" w:rsidRDefault="00681463">
      <w:pPr>
        <w:pStyle w:val="BodyText"/>
        <w:ind w:left="820" w:right="101"/>
      </w:pPr>
      <w:r>
        <w:t>The PHA will inform owners of their responsibility to screen prospective tenants. The PHA will not provide any additional information to the owner, such as tenancy history, criminal history, etc.</w:t>
      </w:r>
    </w:p>
    <w:p w:rsidR="004E13A5" w:rsidRDefault="004E13A5">
      <w:pPr>
        <w:sectPr w:rsidR="004E13A5">
          <w:pgSz w:w="12240" w:h="15840"/>
          <w:pgMar w:top="1000" w:right="1280" w:bottom="1220" w:left="1220" w:header="0" w:footer="998" w:gutter="0"/>
          <w:cols w:space="720"/>
        </w:sectPr>
      </w:pPr>
    </w:p>
    <w:p w:rsidR="004E13A5" w:rsidRDefault="00681463">
      <w:pPr>
        <w:pStyle w:val="Heading4"/>
        <w:spacing w:before="79"/>
      </w:pPr>
      <w:bookmarkStart w:id="380" w:name="_TOC_250051"/>
      <w:bookmarkEnd w:id="380"/>
      <w:r>
        <w:lastRenderedPageBreak/>
        <w:t>Owner Responsibility</w:t>
      </w:r>
    </w:p>
    <w:p w:rsidR="004E13A5" w:rsidRDefault="00681463">
      <w:pPr>
        <w:pStyle w:val="BodyText"/>
        <w:spacing w:before="120"/>
        <w:ind w:right="183"/>
      </w:pPr>
      <w:r>
        <w:t>The owner is responsible for screening and selection of the family to occupy the owner’s unit. When screening families, the owner may consider a family’s background with respect to the following factors:</w:t>
      </w:r>
    </w:p>
    <w:p w:rsidR="004E13A5" w:rsidRDefault="00681463">
      <w:pPr>
        <w:pStyle w:val="ListParagraph"/>
        <w:numPr>
          <w:ilvl w:val="0"/>
          <w:numId w:val="93"/>
        </w:numPr>
        <w:tabs>
          <w:tab w:val="left" w:pos="460"/>
          <w:tab w:val="left" w:pos="461"/>
        </w:tabs>
        <w:rPr>
          <w:rFonts w:ascii="Symbol"/>
          <w:sz w:val="24"/>
        </w:rPr>
      </w:pPr>
      <w:r>
        <w:rPr>
          <w:sz w:val="24"/>
        </w:rPr>
        <w:t>Payment of rent and utility</w:t>
      </w:r>
      <w:r>
        <w:rPr>
          <w:spacing w:val="-10"/>
          <w:sz w:val="24"/>
        </w:rPr>
        <w:t xml:space="preserve"> </w:t>
      </w:r>
      <w:r>
        <w:rPr>
          <w:sz w:val="24"/>
        </w:rPr>
        <w:t>bills;</w:t>
      </w:r>
    </w:p>
    <w:p w:rsidR="004E13A5" w:rsidRDefault="00681463">
      <w:pPr>
        <w:pStyle w:val="ListParagraph"/>
        <w:numPr>
          <w:ilvl w:val="0"/>
          <w:numId w:val="93"/>
        </w:numPr>
        <w:tabs>
          <w:tab w:val="left" w:pos="460"/>
          <w:tab w:val="left" w:pos="461"/>
        </w:tabs>
        <w:spacing w:before="118"/>
        <w:rPr>
          <w:rFonts w:ascii="Symbol"/>
          <w:sz w:val="24"/>
        </w:rPr>
      </w:pPr>
      <w:r>
        <w:rPr>
          <w:sz w:val="24"/>
        </w:rPr>
        <w:t>Caring for a unit and</w:t>
      </w:r>
      <w:r>
        <w:rPr>
          <w:spacing w:val="-6"/>
          <w:sz w:val="24"/>
        </w:rPr>
        <w:t xml:space="preserve"> </w:t>
      </w:r>
      <w:r>
        <w:rPr>
          <w:sz w:val="24"/>
        </w:rPr>
        <w:t>premises;</w:t>
      </w:r>
    </w:p>
    <w:p w:rsidR="004E13A5" w:rsidRDefault="00681463">
      <w:pPr>
        <w:pStyle w:val="ListParagraph"/>
        <w:numPr>
          <w:ilvl w:val="0"/>
          <w:numId w:val="93"/>
        </w:numPr>
        <w:tabs>
          <w:tab w:val="left" w:pos="460"/>
          <w:tab w:val="left" w:pos="461"/>
        </w:tabs>
        <w:spacing w:before="118"/>
        <w:rPr>
          <w:rFonts w:ascii="Symbol"/>
          <w:sz w:val="24"/>
        </w:rPr>
      </w:pPr>
      <w:r>
        <w:rPr>
          <w:sz w:val="24"/>
        </w:rPr>
        <w:t>Respecting the rights of other residents to the peaceful enjoyment of their</w:t>
      </w:r>
      <w:r>
        <w:rPr>
          <w:spacing w:val="-15"/>
          <w:sz w:val="24"/>
        </w:rPr>
        <w:t xml:space="preserve"> </w:t>
      </w:r>
      <w:r>
        <w:rPr>
          <w:sz w:val="24"/>
        </w:rPr>
        <w:t>housing;</w:t>
      </w:r>
    </w:p>
    <w:p w:rsidR="004E13A5" w:rsidRDefault="00681463">
      <w:pPr>
        <w:pStyle w:val="ListParagraph"/>
        <w:numPr>
          <w:ilvl w:val="0"/>
          <w:numId w:val="93"/>
        </w:numPr>
        <w:tabs>
          <w:tab w:val="left" w:pos="460"/>
          <w:tab w:val="left" w:pos="461"/>
        </w:tabs>
        <w:spacing w:before="118"/>
        <w:ind w:right="352"/>
        <w:rPr>
          <w:rFonts w:ascii="Symbol"/>
          <w:sz w:val="24"/>
        </w:rPr>
      </w:pPr>
      <w:r>
        <w:rPr>
          <w:sz w:val="24"/>
        </w:rPr>
        <w:t>Drug-related criminal activity or other criminal activity that is a threat to the health, safety,</w:t>
      </w:r>
      <w:r>
        <w:rPr>
          <w:spacing w:val="-25"/>
          <w:sz w:val="24"/>
        </w:rPr>
        <w:t xml:space="preserve"> </w:t>
      </w:r>
      <w:r>
        <w:rPr>
          <w:sz w:val="24"/>
        </w:rPr>
        <w:t>or property of others;</w:t>
      </w:r>
      <w:r>
        <w:rPr>
          <w:spacing w:val="-4"/>
          <w:sz w:val="24"/>
        </w:rPr>
        <w:t xml:space="preserve"> </w:t>
      </w:r>
      <w:r>
        <w:rPr>
          <w:sz w:val="24"/>
        </w:rPr>
        <w:t>and</w:t>
      </w:r>
    </w:p>
    <w:p w:rsidR="004E13A5" w:rsidRDefault="00681463">
      <w:pPr>
        <w:pStyle w:val="ListParagraph"/>
        <w:numPr>
          <w:ilvl w:val="0"/>
          <w:numId w:val="93"/>
        </w:numPr>
        <w:tabs>
          <w:tab w:val="left" w:pos="460"/>
          <w:tab w:val="left" w:pos="461"/>
        </w:tabs>
        <w:rPr>
          <w:rFonts w:ascii="Symbol"/>
          <w:sz w:val="24"/>
        </w:rPr>
      </w:pPr>
      <w:r>
        <w:rPr>
          <w:sz w:val="24"/>
        </w:rPr>
        <w:t>Compliance with other essential conditions of</w:t>
      </w:r>
      <w:r>
        <w:rPr>
          <w:spacing w:val="-12"/>
          <w:sz w:val="24"/>
        </w:rPr>
        <w:t xml:space="preserve"> </w:t>
      </w:r>
      <w:r>
        <w:rPr>
          <w:sz w:val="24"/>
        </w:rPr>
        <w:t>tenancy.</w:t>
      </w: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681463">
      <w:pPr>
        <w:pStyle w:val="Heading4"/>
        <w:spacing w:before="214"/>
        <w:ind w:left="201" w:right="199"/>
        <w:jc w:val="center"/>
      </w:pPr>
      <w:bookmarkStart w:id="381" w:name="_TOC_250050"/>
      <w:bookmarkEnd w:id="381"/>
      <w:r>
        <w:t>PART VII: OCCUPANCY</w:t>
      </w:r>
    </w:p>
    <w:p w:rsidR="004E13A5" w:rsidRDefault="004E13A5">
      <w:pPr>
        <w:pStyle w:val="BodyText"/>
        <w:spacing w:before="10"/>
        <w:ind w:left="0"/>
        <w:rPr>
          <w:b/>
          <w:sz w:val="20"/>
        </w:rPr>
      </w:pPr>
    </w:p>
    <w:p w:rsidR="004E13A5" w:rsidRDefault="00681463">
      <w:pPr>
        <w:pStyle w:val="Heading4"/>
      </w:pPr>
      <w:bookmarkStart w:id="382" w:name="_TOC_250049"/>
      <w:bookmarkEnd w:id="382"/>
      <w:r>
        <w:t>17-VII.A. OVERVIEW</w:t>
      </w:r>
    </w:p>
    <w:p w:rsidR="004E13A5" w:rsidRDefault="00681463">
      <w:pPr>
        <w:pStyle w:val="BodyText"/>
        <w:ind w:right="156"/>
      </w:pPr>
      <w:r>
        <w:t>After an applicant has been selected from the waiting list, determined eligible by the PHA, referred to an owner and determined suitable by the owner, the family will sign the lease and occupancy of the unit will begin.</w:t>
      </w:r>
    </w:p>
    <w:p w:rsidR="004E13A5" w:rsidRDefault="004E13A5">
      <w:pPr>
        <w:pStyle w:val="BodyText"/>
        <w:spacing w:before="9"/>
        <w:ind w:left="0"/>
        <w:rPr>
          <w:sz w:val="20"/>
        </w:rPr>
      </w:pPr>
    </w:p>
    <w:p w:rsidR="004E13A5" w:rsidRDefault="00681463">
      <w:pPr>
        <w:pStyle w:val="Heading4"/>
      </w:pPr>
      <w:bookmarkStart w:id="383" w:name="_TOC_250048"/>
      <w:bookmarkEnd w:id="383"/>
      <w:r>
        <w:t>17-VII.B. LEASE [24 CFR 983.256]</w:t>
      </w:r>
    </w:p>
    <w:p w:rsidR="004E13A5" w:rsidRDefault="00681463">
      <w:pPr>
        <w:pStyle w:val="BodyText"/>
        <w:ind w:right="83"/>
      </w:pPr>
      <w:r>
        <w:t xml:space="preserve">The tenant must have legal capacity to enter a lease under state and local law. </w:t>
      </w:r>
      <w:r>
        <w:rPr>
          <w:i/>
        </w:rPr>
        <w:t xml:space="preserve">Legal capacity </w:t>
      </w:r>
      <w:r>
        <w:t>means that the tenant is bound by the terms of the lease and may enforce the terms of the lease against the owner.</w:t>
      </w:r>
    </w:p>
    <w:p w:rsidR="004E13A5" w:rsidRDefault="00681463">
      <w:pPr>
        <w:pStyle w:val="Heading4"/>
        <w:spacing w:before="119"/>
      </w:pPr>
      <w:bookmarkStart w:id="384" w:name="_TOC_250047"/>
      <w:bookmarkEnd w:id="384"/>
      <w:r>
        <w:t>Form of Lease [24 CFR 983.256(b)]</w:t>
      </w:r>
    </w:p>
    <w:p w:rsidR="004E13A5" w:rsidRDefault="00681463">
      <w:pPr>
        <w:pStyle w:val="BodyText"/>
        <w:ind w:right="111"/>
        <w:jc w:val="both"/>
      </w:pPr>
      <w:r>
        <w:t>The tenant and the owner must enter into a written lease agreement that is signed by both parties. If an owner uses a standard lease form for rental units to unassisted tenants in the locality or premises, the same lease must be used for assisted tenants, except that the lease must include a HUD-required tenancy addendum. The tenancy addendum must include, word-for-word, all provisions required by HUD.</w:t>
      </w:r>
    </w:p>
    <w:p w:rsidR="004E13A5" w:rsidRDefault="00681463">
      <w:pPr>
        <w:pStyle w:val="BodyText"/>
      </w:pPr>
      <w:r>
        <w:t>If the owner does not use a standard lease form for rental to unassisted tenants, the owner may use another form of lease, such as a PHA model lease.</w:t>
      </w:r>
    </w:p>
    <w:p w:rsidR="004E13A5" w:rsidRDefault="00681463">
      <w:pPr>
        <w:pStyle w:val="BodyText"/>
        <w:ind w:right="116"/>
      </w:pPr>
      <w:r>
        <w:t>The PHA may review the owner’s lease form to determine if the lease complies with state and local law. If the PHA determines that the lease does not comply with state or local law, the PHA may decline to approve the tenancy.</w:t>
      </w:r>
    </w:p>
    <w:p w:rsidR="004E13A5" w:rsidRDefault="00681463">
      <w:pPr>
        <w:pStyle w:val="BodyText"/>
        <w:ind w:left="820"/>
      </w:pPr>
      <w:r>
        <w:rPr>
          <w:u w:val="single"/>
        </w:rPr>
        <w:t>PHA Policy</w:t>
      </w:r>
    </w:p>
    <w:p w:rsidR="004E13A5" w:rsidRDefault="00681463">
      <w:pPr>
        <w:pStyle w:val="BodyText"/>
        <w:ind w:left="820"/>
      </w:pPr>
      <w:r>
        <w:t>The PHA will not review the owner’s lease for compliance with state or local law.</w:t>
      </w:r>
    </w:p>
    <w:p w:rsidR="004E13A5" w:rsidRDefault="004E13A5">
      <w:pPr>
        <w:sectPr w:rsidR="004E13A5">
          <w:pgSz w:w="12240" w:h="15840"/>
          <w:pgMar w:top="1000" w:right="1220" w:bottom="1240" w:left="1220" w:header="0" w:footer="998" w:gutter="0"/>
          <w:cols w:space="720"/>
        </w:sectPr>
      </w:pPr>
    </w:p>
    <w:p w:rsidR="004E13A5" w:rsidRDefault="00681463">
      <w:pPr>
        <w:pStyle w:val="Heading4"/>
        <w:spacing w:before="75"/>
      </w:pPr>
      <w:bookmarkStart w:id="385" w:name="_TOC_250046"/>
      <w:bookmarkEnd w:id="385"/>
      <w:r>
        <w:lastRenderedPageBreak/>
        <w:t>Lease Requirements [24 CFR 983.256(c)]</w:t>
      </w:r>
    </w:p>
    <w:p w:rsidR="004E13A5" w:rsidRDefault="00681463">
      <w:pPr>
        <w:pStyle w:val="BodyText"/>
      </w:pPr>
      <w:r>
        <w:t>The lease for a PBV unit must specify all of the following information:</w:t>
      </w:r>
    </w:p>
    <w:p w:rsidR="004E13A5" w:rsidRDefault="00681463">
      <w:pPr>
        <w:pStyle w:val="ListParagraph"/>
        <w:numPr>
          <w:ilvl w:val="0"/>
          <w:numId w:val="93"/>
        </w:numPr>
        <w:tabs>
          <w:tab w:val="left" w:pos="460"/>
          <w:tab w:val="left" w:pos="461"/>
        </w:tabs>
        <w:rPr>
          <w:rFonts w:ascii="Symbol"/>
          <w:sz w:val="24"/>
        </w:rPr>
      </w:pPr>
      <w:r>
        <w:rPr>
          <w:sz w:val="24"/>
        </w:rPr>
        <w:t>The names of the owner and the</w:t>
      </w:r>
      <w:r>
        <w:rPr>
          <w:spacing w:val="-7"/>
          <w:sz w:val="24"/>
        </w:rPr>
        <w:t xml:space="preserve"> </w:t>
      </w:r>
      <w:r>
        <w:rPr>
          <w:sz w:val="24"/>
        </w:rPr>
        <w:t>tenant;</w:t>
      </w:r>
    </w:p>
    <w:p w:rsidR="004E13A5" w:rsidRDefault="00681463">
      <w:pPr>
        <w:pStyle w:val="ListParagraph"/>
        <w:numPr>
          <w:ilvl w:val="0"/>
          <w:numId w:val="93"/>
        </w:numPr>
        <w:tabs>
          <w:tab w:val="left" w:pos="460"/>
          <w:tab w:val="left" w:pos="461"/>
        </w:tabs>
        <w:spacing w:before="118"/>
        <w:ind w:right="843"/>
        <w:rPr>
          <w:rFonts w:ascii="Symbol"/>
          <w:sz w:val="24"/>
        </w:rPr>
      </w:pPr>
      <w:r>
        <w:rPr>
          <w:sz w:val="24"/>
        </w:rPr>
        <w:t>The unit rented (address, apartment number, if any, and any other information needed</w:t>
      </w:r>
      <w:r>
        <w:rPr>
          <w:spacing w:val="-15"/>
          <w:sz w:val="24"/>
        </w:rPr>
        <w:t xml:space="preserve"> </w:t>
      </w:r>
      <w:r>
        <w:rPr>
          <w:sz w:val="24"/>
        </w:rPr>
        <w:t>to identify the leased contract</w:t>
      </w:r>
      <w:r>
        <w:rPr>
          <w:spacing w:val="-5"/>
          <w:sz w:val="24"/>
        </w:rPr>
        <w:t xml:space="preserve"> </w:t>
      </w:r>
      <w:r>
        <w:rPr>
          <w:sz w:val="24"/>
        </w:rPr>
        <w:t>unit);</w:t>
      </w:r>
    </w:p>
    <w:p w:rsidR="004E13A5" w:rsidRDefault="00681463">
      <w:pPr>
        <w:pStyle w:val="ListParagraph"/>
        <w:numPr>
          <w:ilvl w:val="0"/>
          <w:numId w:val="93"/>
        </w:numPr>
        <w:tabs>
          <w:tab w:val="left" w:pos="460"/>
          <w:tab w:val="left" w:pos="461"/>
        </w:tabs>
        <w:rPr>
          <w:rFonts w:ascii="Symbol"/>
          <w:sz w:val="24"/>
        </w:rPr>
      </w:pPr>
      <w:r>
        <w:rPr>
          <w:sz w:val="24"/>
        </w:rPr>
        <w:t>The term of the lease (initial term and any provision for</w:t>
      </w:r>
      <w:r>
        <w:rPr>
          <w:spacing w:val="-12"/>
          <w:sz w:val="24"/>
        </w:rPr>
        <w:t xml:space="preserve"> </w:t>
      </w:r>
      <w:r>
        <w:rPr>
          <w:sz w:val="24"/>
        </w:rPr>
        <w:t>renewal);</w:t>
      </w:r>
    </w:p>
    <w:p w:rsidR="004E13A5" w:rsidRDefault="00681463">
      <w:pPr>
        <w:pStyle w:val="ListParagraph"/>
        <w:numPr>
          <w:ilvl w:val="0"/>
          <w:numId w:val="93"/>
        </w:numPr>
        <w:tabs>
          <w:tab w:val="left" w:pos="460"/>
          <w:tab w:val="left" w:pos="461"/>
        </w:tabs>
        <w:ind w:right="225"/>
        <w:rPr>
          <w:rFonts w:ascii="Symbol"/>
          <w:sz w:val="24"/>
        </w:rPr>
      </w:pPr>
      <w:r>
        <w:rPr>
          <w:sz w:val="24"/>
        </w:rPr>
        <w:t>The amount of the tenant rent to owner, which is subject to change during the term of the</w:t>
      </w:r>
      <w:r>
        <w:rPr>
          <w:spacing w:val="-18"/>
          <w:sz w:val="24"/>
        </w:rPr>
        <w:t xml:space="preserve"> </w:t>
      </w:r>
      <w:r>
        <w:rPr>
          <w:sz w:val="24"/>
        </w:rPr>
        <w:t>lease in accordance with HUD</w:t>
      </w:r>
      <w:r>
        <w:rPr>
          <w:spacing w:val="-6"/>
          <w:sz w:val="24"/>
        </w:rPr>
        <w:t xml:space="preserve"> </w:t>
      </w:r>
      <w:r>
        <w:rPr>
          <w:sz w:val="24"/>
        </w:rPr>
        <w:t>requirements;</w:t>
      </w:r>
    </w:p>
    <w:p w:rsidR="004E13A5" w:rsidRDefault="00681463">
      <w:pPr>
        <w:pStyle w:val="ListParagraph"/>
        <w:numPr>
          <w:ilvl w:val="0"/>
          <w:numId w:val="93"/>
        </w:numPr>
        <w:tabs>
          <w:tab w:val="left" w:pos="460"/>
          <w:tab w:val="left" w:pos="461"/>
        </w:tabs>
        <w:ind w:right="117"/>
        <w:rPr>
          <w:rFonts w:ascii="Symbol"/>
          <w:sz w:val="24"/>
        </w:rPr>
      </w:pPr>
      <w:r>
        <w:rPr>
          <w:sz w:val="24"/>
        </w:rPr>
        <w:t>A specification of the services, maintenance, equipment, and utilities that will be provide by</w:t>
      </w:r>
      <w:r>
        <w:rPr>
          <w:spacing w:val="-18"/>
          <w:sz w:val="24"/>
        </w:rPr>
        <w:t xml:space="preserve"> </w:t>
      </w:r>
      <w:r>
        <w:rPr>
          <w:sz w:val="24"/>
        </w:rPr>
        <w:t>the owner;</w:t>
      </w:r>
      <w:r>
        <w:rPr>
          <w:spacing w:val="-4"/>
          <w:sz w:val="24"/>
        </w:rPr>
        <w:t xml:space="preserve"> </w:t>
      </w:r>
      <w:r>
        <w:rPr>
          <w:sz w:val="24"/>
        </w:rPr>
        <w:t>and</w:t>
      </w:r>
    </w:p>
    <w:p w:rsidR="004E13A5" w:rsidRDefault="00681463">
      <w:pPr>
        <w:pStyle w:val="ListParagraph"/>
        <w:numPr>
          <w:ilvl w:val="0"/>
          <w:numId w:val="93"/>
        </w:numPr>
        <w:tabs>
          <w:tab w:val="left" w:pos="460"/>
          <w:tab w:val="left" w:pos="461"/>
        </w:tabs>
        <w:rPr>
          <w:rFonts w:ascii="Symbol"/>
          <w:sz w:val="24"/>
        </w:rPr>
      </w:pPr>
      <w:r>
        <w:rPr>
          <w:sz w:val="24"/>
        </w:rPr>
        <w:t>The amount of any charges for food, furniture, or supportive</w:t>
      </w:r>
      <w:r>
        <w:rPr>
          <w:spacing w:val="-15"/>
          <w:sz w:val="24"/>
        </w:rPr>
        <w:t xml:space="preserve"> </w:t>
      </w:r>
      <w:r>
        <w:rPr>
          <w:sz w:val="24"/>
        </w:rPr>
        <w:t>services.</w:t>
      </w:r>
    </w:p>
    <w:p w:rsidR="004E13A5" w:rsidRDefault="00681463">
      <w:pPr>
        <w:pStyle w:val="Heading4"/>
        <w:spacing w:before="118"/>
      </w:pPr>
      <w:bookmarkStart w:id="386" w:name="_TOC_250045"/>
      <w:bookmarkEnd w:id="386"/>
      <w:r>
        <w:t>Tenancy Addendum [24 CFR 983.256(d)]</w:t>
      </w:r>
    </w:p>
    <w:p w:rsidR="004E13A5" w:rsidRDefault="00681463">
      <w:pPr>
        <w:pStyle w:val="BodyText"/>
      </w:pPr>
      <w:r>
        <w:t>The tenancy addendum in the lease must state:</w:t>
      </w:r>
    </w:p>
    <w:p w:rsidR="004E13A5" w:rsidRDefault="00681463">
      <w:pPr>
        <w:pStyle w:val="ListParagraph"/>
        <w:numPr>
          <w:ilvl w:val="0"/>
          <w:numId w:val="93"/>
        </w:numPr>
        <w:tabs>
          <w:tab w:val="left" w:pos="460"/>
          <w:tab w:val="left" w:pos="461"/>
        </w:tabs>
        <w:rPr>
          <w:rFonts w:ascii="Symbol"/>
          <w:sz w:val="24"/>
        </w:rPr>
      </w:pPr>
      <w:r>
        <w:rPr>
          <w:sz w:val="24"/>
        </w:rPr>
        <w:t>The program tenancy</w:t>
      </w:r>
      <w:r>
        <w:rPr>
          <w:spacing w:val="-8"/>
          <w:sz w:val="24"/>
        </w:rPr>
        <w:t xml:space="preserve"> </w:t>
      </w:r>
      <w:r>
        <w:rPr>
          <w:sz w:val="24"/>
        </w:rPr>
        <w:t>requirements;</w:t>
      </w:r>
    </w:p>
    <w:p w:rsidR="004E13A5" w:rsidRDefault="00681463">
      <w:pPr>
        <w:pStyle w:val="ListParagraph"/>
        <w:numPr>
          <w:ilvl w:val="0"/>
          <w:numId w:val="93"/>
        </w:numPr>
        <w:tabs>
          <w:tab w:val="left" w:pos="460"/>
          <w:tab w:val="left" w:pos="461"/>
        </w:tabs>
        <w:spacing w:before="118"/>
        <w:ind w:right="238"/>
        <w:rPr>
          <w:rFonts w:ascii="Symbol"/>
          <w:sz w:val="24"/>
        </w:rPr>
      </w:pPr>
      <w:r>
        <w:rPr>
          <w:sz w:val="24"/>
        </w:rPr>
        <w:t>The composition of the household as approved by the PHA (the names of family members</w:t>
      </w:r>
      <w:r>
        <w:rPr>
          <w:spacing w:val="-20"/>
          <w:sz w:val="24"/>
        </w:rPr>
        <w:t xml:space="preserve"> </w:t>
      </w:r>
      <w:r>
        <w:rPr>
          <w:sz w:val="24"/>
        </w:rPr>
        <w:t>and any PHA-approved live-in</w:t>
      </w:r>
      <w:r>
        <w:rPr>
          <w:spacing w:val="-8"/>
          <w:sz w:val="24"/>
        </w:rPr>
        <w:t xml:space="preserve"> </w:t>
      </w:r>
      <w:r>
        <w:rPr>
          <w:sz w:val="24"/>
        </w:rPr>
        <w:t>aide);</w:t>
      </w:r>
    </w:p>
    <w:p w:rsidR="004E13A5" w:rsidRDefault="00681463">
      <w:pPr>
        <w:pStyle w:val="ListParagraph"/>
        <w:numPr>
          <w:ilvl w:val="0"/>
          <w:numId w:val="93"/>
        </w:numPr>
        <w:tabs>
          <w:tab w:val="left" w:pos="460"/>
          <w:tab w:val="left" w:pos="461"/>
        </w:tabs>
        <w:ind w:right="100"/>
        <w:rPr>
          <w:rFonts w:ascii="Symbol"/>
          <w:sz w:val="24"/>
        </w:rPr>
      </w:pPr>
      <w:r>
        <w:rPr>
          <w:sz w:val="24"/>
        </w:rPr>
        <w:t>All provisions in the HUD-required tenancy addendum must be included in the lease. The terms of the tenancy addendum prevail over other provisions of the</w:t>
      </w:r>
      <w:r>
        <w:rPr>
          <w:spacing w:val="-15"/>
          <w:sz w:val="24"/>
        </w:rPr>
        <w:t xml:space="preserve"> </w:t>
      </w:r>
      <w:r>
        <w:rPr>
          <w:sz w:val="24"/>
        </w:rPr>
        <w:t>lease.</w:t>
      </w:r>
    </w:p>
    <w:p w:rsidR="004E13A5" w:rsidRDefault="00681463">
      <w:pPr>
        <w:pStyle w:val="Heading4"/>
        <w:spacing w:before="120"/>
      </w:pPr>
      <w:bookmarkStart w:id="387" w:name="_TOC_250044"/>
      <w:bookmarkEnd w:id="387"/>
      <w:r>
        <w:t>Initial Term and Lease Renewal [24 CFR 983.256(f)]</w:t>
      </w:r>
    </w:p>
    <w:p w:rsidR="004E13A5" w:rsidRDefault="00681463">
      <w:pPr>
        <w:pStyle w:val="BodyText"/>
        <w:spacing w:before="120"/>
        <w:ind w:right="180"/>
      </w:pPr>
      <w:r>
        <w:t>The initial lease term must be for at least one year. The lease must provide for automatic renewal after the initial term of the lease in either successive definitive terms (e.g. month-to-month or year- to-year) or an automatic indefinite extension of the lease term. For automatic indefinite extension of the lease term, the lease terminates if any of the following occur:</w:t>
      </w:r>
    </w:p>
    <w:p w:rsidR="004E13A5" w:rsidRDefault="00681463">
      <w:pPr>
        <w:pStyle w:val="ListParagraph"/>
        <w:numPr>
          <w:ilvl w:val="0"/>
          <w:numId w:val="93"/>
        </w:numPr>
        <w:tabs>
          <w:tab w:val="left" w:pos="460"/>
          <w:tab w:val="left" w:pos="461"/>
        </w:tabs>
        <w:rPr>
          <w:rFonts w:ascii="Symbol"/>
          <w:sz w:val="24"/>
        </w:rPr>
      </w:pPr>
      <w:r>
        <w:rPr>
          <w:sz w:val="24"/>
        </w:rPr>
        <w:t>The owner terminates the lease for good</w:t>
      </w:r>
      <w:r>
        <w:rPr>
          <w:spacing w:val="-10"/>
          <w:sz w:val="24"/>
        </w:rPr>
        <w:t xml:space="preserve"> </w:t>
      </w:r>
      <w:r>
        <w:rPr>
          <w:sz w:val="24"/>
        </w:rPr>
        <w:t>cause</w:t>
      </w:r>
    </w:p>
    <w:p w:rsidR="004E13A5" w:rsidRDefault="00681463">
      <w:pPr>
        <w:pStyle w:val="ListParagraph"/>
        <w:numPr>
          <w:ilvl w:val="0"/>
          <w:numId w:val="93"/>
        </w:numPr>
        <w:tabs>
          <w:tab w:val="left" w:pos="460"/>
          <w:tab w:val="left" w:pos="461"/>
        </w:tabs>
        <w:spacing w:before="121"/>
        <w:rPr>
          <w:rFonts w:ascii="Symbol"/>
          <w:sz w:val="24"/>
        </w:rPr>
      </w:pPr>
      <w:r>
        <w:rPr>
          <w:sz w:val="24"/>
        </w:rPr>
        <w:t>The tenant terminates the</w:t>
      </w:r>
      <w:r>
        <w:rPr>
          <w:spacing w:val="-5"/>
          <w:sz w:val="24"/>
        </w:rPr>
        <w:t xml:space="preserve"> </w:t>
      </w:r>
      <w:r>
        <w:rPr>
          <w:sz w:val="24"/>
        </w:rPr>
        <w:t>lease</w:t>
      </w:r>
    </w:p>
    <w:p w:rsidR="004E13A5" w:rsidRDefault="00681463">
      <w:pPr>
        <w:pStyle w:val="ListParagraph"/>
        <w:numPr>
          <w:ilvl w:val="0"/>
          <w:numId w:val="93"/>
        </w:numPr>
        <w:tabs>
          <w:tab w:val="left" w:pos="460"/>
          <w:tab w:val="left" w:pos="461"/>
        </w:tabs>
        <w:spacing w:before="118"/>
        <w:rPr>
          <w:rFonts w:ascii="Symbol"/>
          <w:sz w:val="24"/>
        </w:rPr>
      </w:pPr>
      <w:r>
        <w:rPr>
          <w:sz w:val="24"/>
        </w:rPr>
        <w:t>The owner and tenant agree to terminate the</w:t>
      </w:r>
      <w:r>
        <w:rPr>
          <w:spacing w:val="-11"/>
          <w:sz w:val="24"/>
        </w:rPr>
        <w:t xml:space="preserve"> </w:t>
      </w:r>
      <w:r>
        <w:rPr>
          <w:sz w:val="24"/>
        </w:rPr>
        <w:t>lease</w:t>
      </w:r>
    </w:p>
    <w:p w:rsidR="004E13A5" w:rsidRDefault="00681463">
      <w:pPr>
        <w:pStyle w:val="ListParagraph"/>
        <w:numPr>
          <w:ilvl w:val="0"/>
          <w:numId w:val="93"/>
        </w:numPr>
        <w:tabs>
          <w:tab w:val="left" w:pos="460"/>
          <w:tab w:val="left" w:pos="461"/>
        </w:tabs>
        <w:spacing w:before="118"/>
        <w:rPr>
          <w:rFonts w:ascii="Symbol"/>
          <w:sz w:val="24"/>
        </w:rPr>
      </w:pPr>
      <w:r>
        <w:rPr>
          <w:sz w:val="24"/>
        </w:rPr>
        <w:t>The PHA terminates the HAP</w:t>
      </w:r>
      <w:r>
        <w:rPr>
          <w:spacing w:val="-11"/>
          <w:sz w:val="24"/>
        </w:rPr>
        <w:t xml:space="preserve"> </w:t>
      </w:r>
      <w:r>
        <w:rPr>
          <w:sz w:val="24"/>
        </w:rPr>
        <w:t>contract</w:t>
      </w:r>
    </w:p>
    <w:p w:rsidR="004E13A5" w:rsidRDefault="00681463">
      <w:pPr>
        <w:pStyle w:val="ListParagraph"/>
        <w:numPr>
          <w:ilvl w:val="0"/>
          <w:numId w:val="93"/>
        </w:numPr>
        <w:tabs>
          <w:tab w:val="left" w:pos="460"/>
          <w:tab w:val="left" w:pos="461"/>
        </w:tabs>
        <w:spacing w:before="118"/>
        <w:rPr>
          <w:rFonts w:ascii="Symbol"/>
          <w:sz w:val="24"/>
        </w:rPr>
      </w:pPr>
      <w:r>
        <w:rPr>
          <w:sz w:val="24"/>
        </w:rPr>
        <w:t>The PHA terminates assistance for the</w:t>
      </w:r>
      <w:r>
        <w:rPr>
          <w:spacing w:val="-7"/>
          <w:sz w:val="24"/>
        </w:rPr>
        <w:t xml:space="preserve"> </w:t>
      </w:r>
      <w:r>
        <w:rPr>
          <w:sz w:val="24"/>
        </w:rPr>
        <w:t>family</w:t>
      </w:r>
    </w:p>
    <w:p w:rsidR="004E13A5" w:rsidRDefault="00681463">
      <w:pPr>
        <w:pStyle w:val="Heading4"/>
        <w:spacing w:before="119"/>
      </w:pPr>
      <w:bookmarkStart w:id="388" w:name="_TOC_250043"/>
      <w:bookmarkEnd w:id="388"/>
      <w:r>
        <w:t>Changes in the Lease [24 CFR 983.256(e)]</w:t>
      </w:r>
    </w:p>
    <w:p w:rsidR="004E13A5" w:rsidRDefault="00681463">
      <w:pPr>
        <w:pStyle w:val="BodyText"/>
        <w:spacing w:before="120"/>
      </w:pPr>
      <w:r>
        <w:t>If the tenant and owner agree to any change in the lease, the change must be in writing, and the owner must immediately give the PHA a copy of all changes.</w:t>
      </w:r>
    </w:p>
    <w:p w:rsidR="004E13A5" w:rsidRDefault="00681463">
      <w:pPr>
        <w:pStyle w:val="BodyText"/>
        <w:spacing w:before="120"/>
        <w:ind w:right="176"/>
      </w:pPr>
      <w:r>
        <w:t>The owner must notify the PHA in advance of any proposed change in the lease regarding the allocation of tenant and owner responsibilities for utilities. Such changes may only be made if approved by the PHA and in accordance with the terms of the lease relating to its amendment. The PHA must re-determine reasonable rent, in accordance with program requirements, based on any change in the allocation of the responsibility for utilities between the owner and the tenant. The re-</w:t>
      </w:r>
    </w:p>
    <w:p w:rsidR="004E13A5" w:rsidRDefault="004E13A5">
      <w:pPr>
        <w:sectPr w:rsidR="004E13A5">
          <w:pgSz w:w="12240" w:h="15840"/>
          <w:pgMar w:top="1400" w:right="1240" w:bottom="1240" w:left="1220" w:header="0" w:footer="998" w:gutter="0"/>
          <w:cols w:space="720"/>
        </w:sectPr>
      </w:pPr>
    </w:p>
    <w:p w:rsidR="004E13A5" w:rsidRDefault="00681463">
      <w:pPr>
        <w:pStyle w:val="BodyText"/>
        <w:spacing w:before="79"/>
        <w:ind w:right="183"/>
      </w:pPr>
      <w:r>
        <w:lastRenderedPageBreak/>
        <w:t>determined reasonable rent will be used in calculation of the rent to owner from the effective date of the change.</w:t>
      </w:r>
    </w:p>
    <w:p w:rsidR="004E13A5" w:rsidRDefault="00681463">
      <w:pPr>
        <w:pStyle w:val="Heading4"/>
        <w:spacing w:before="120"/>
      </w:pPr>
      <w:bookmarkStart w:id="389" w:name="_TOC_250042"/>
      <w:bookmarkEnd w:id="389"/>
      <w:r>
        <w:t>Owner Termination of Tenancy [24 CFR 983.257]</w:t>
      </w:r>
    </w:p>
    <w:p w:rsidR="004E13A5" w:rsidRDefault="00681463">
      <w:pPr>
        <w:pStyle w:val="BodyText"/>
        <w:ind w:right="96"/>
      </w:pPr>
      <w:r>
        <w:t>With two exceptions, the owner of a PBV unit may terminate tenancy for the same reasons an owner may in the tenant-based voucher program (see Section 12-III.B. and 24 CFR 982.310). In the PBV program, terminating tenancy for “good cause” does not include doing so for a business or economic reason, or a desire to use the unit for personal or family use or other non-residential purpose.</w:t>
      </w:r>
    </w:p>
    <w:p w:rsidR="004E13A5" w:rsidRDefault="00681463">
      <w:pPr>
        <w:pStyle w:val="Heading5"/>
      </w:pPr>
      <w:r>
        <w:t>Tenant Absence from the Unit [24 CFR 983.256(g) and 982.312(a)]</w:t>
      </w:r>
    </w:p>
    <w:p w:rsidR="004E13A5" w:rsidRDefault="00681463">
      <w:pPr>
        <w:pStyle w:val="BodyText"/>
        <w:ind w:right="209"/>
      </w:pPr>
      <w:r>
        <w:t>The lease may specify a maximum period of family absence from the unit that may be shorter than the maximum period permitted by PHA policy. According to program requirements, the family’s assistance must be terminated if they are absent from the unit for more than 180 consecutive days. PHA termination of assistance actions due to family absence from the unit are subject to 24 CFR 981.312, except that the unit is not terminated from the HAP contract if the family is absent for longer than the maximum period permitted.</w:t>
      </w:r>
    </w:p>
    <w:p w:rsidR="004E13A5" w:rsidRDefault="00681463">
      <w:pPr>
        <w:pStyle w:val="Heading4"/>
        <w:spacing w:before="119"/>
      </w:pPr>
      <w:r>
        <w:t>Continuation of Housing Assistance Payments [24 CFR 982.258]</w:t>
      </w:r>
    </w:p>
    <w:p w:rsidR="004E13A5" w:rsidRDefault="00681463">
      <w:pPr>
        <w:pStyle w:val="BodyText"/>
        <w:ind w:right="85"/>
      </w:pPr>
      <w:r>
        <w:t>Housing assistance payments shall continue until the tenant rent equals the rent to owner. The cessation of housing assistance payments at such point will not affect the family's other rights under its lease, nor will such cessation preclude the resumption of payments as a result of later changes in income, rents, or other relevant circumstances if such changes occur within 180 days following the date of the last housing assistance payment by the PHA. After the 180-day period, the unit shall be removed from the HAP contract pursuant to 24 CFR 983.211.</w:t>
      </w:r>
    </w:p>
    <w:p w:rsidR="004E13A5" w:rsidRDefault="00681463">
      <w:pPr>
        <w:pStyle w:val="BodyText"/>
        <w:ind w:left="820"/>
        <w:jc w:val="both"/>
      </w:pPr>
      <w:r>
        <w:rPr>
          <w:u w:val="single"/>
        </w:rPr>
        <w:t>PHA Policy</w:t>
      </w:r>
    </w:p>
    <w:p w:rsidR="004E13A5" w:rsidRDefault="00681463">
      <w:pPr>
        <w:pStyle w:val="BodyText"/>
        <w:spacing w:before="120"/>
        <w:ind w:left="820" w:right="415"/>
        <w:jc w:val="both"/>
      </w:pPr>
      <w:r>
        <w:t>If a participating family receiving zero assistance experiences a change in circumstances that would result in a HAP payment to the owner, the family must notify the PHA of the change and request an interim reexamination before the expiration of the 180-day period.</w:t>
      </w:r>
    </w:p>
    <w:p w:rsidR="004E13A5" w:rsidRDefault="00681463">
      <w:pPr>
        <w:pStyle w:val="Heading4"/>
        <w:spacing w:before="120"/>
      </w:pPr>
      <w:bookmarkStart w:id="390" w:name="_TOC_250041"/>
      <w:bookmarkEnd w:id="390"/>
      <w:r>
        <w:t>Security Deposits [24 CFR 983.259]</w:t>
      </w:r>
    </w:p>
    <w:p w:rsidR="004E13A5" w:rsidRDefault="00681463">
      <w:pPr>
        <w:pStyle w:val="BodyText"/>
        <w:spacing w:before="120"/>
        <w:ind w:right="183"/>
      </w:pPr>
      <w:r>
        <w:t>The owner may collect a security deposit from the tenant. The PHA may prohibit security deposits in excess of private market practice, or in excess of amounts charged by the owner to unassisted tenants.</w:t>
      </w:r>
    </w:p>
    <w:p w:rsidR="004E13A5" w:rsidRDefault="00681463">
      <w:pPr>
        <w:pStyle w:val="BodyText"/>
        <w:spacing w:before="120"/>
        <w:ind w:left="820"/>
        <w:jc w:val="both"/>
      </w:pPr>
      <w:r>
        <w:rPr>
          <w:u w:val="single"/>
        </w:rPr>
        <w:t>PHA Policy</w:t>
      </w:r>
    </w:p>
    <w:p w:rsidR="004E13A5" w:rsidRDefault="00681463">
      <w:pPr>
        <w:pStyle w:val="BodyText"/>
        <w:spacing w:before="120"/>
        <w:ind w:left="820"/>
      </w:pPr>
      <w:r>
        <w:t>The PHA will allow the owner to collect a security deposit amount the owner determines is appropriate.</w:t>
      </w:r>
    </w:p>
    <w:p w:rsidR="004E13A5" w:rsidRDefault="00681463">
      <w:pPr>
        <w:pStyle w:val="BodyText"/>
        <w:spacing w:before="120"/>
        <w:ind w:right="82"/>
      </w:pPr>
      <w:r>
        <w:t>When the tenant moves out of a contract unit, the owner, subject to state and local law, may use the security deposit, including any interest on the deposit, in accordance with the lease, as reimbursement for any unpaid tenant rent, damages to the unit, or other amounts owed by the tenant under the lease.</w:t>
      </w:r>
    </w:p>
    <w:p w:rsidR="004E13A5" w:rsidRDefault="00681463">
      <w:pPr>
        <w:pStyle w:val="BodyText"/>
        <w:spacing w:before="120"/>
        <w:ind w:right="183"/>
      </w:pPr>
      <w:r>
        <w:t>The owner must give the tenant a written list of all items charged against the security deposit and the amount of each item. After deducting the amount used to reimburse the owner, the owner must promptly refund the full amount of the balance to the tenant.</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183"/>
      </w:pPr>
      <w:r>
        <w:lastRenderedPageBreak/>
        <w:t>If the security deposit does not cover the amount owed by the tenant under the lease, the owner may seek to collect the balance from the tenant. The PHA has no liability or responsibility for payment of any amount owed by the family to the owner.</w:t>
      </w:r>
    </w:p>
    <w:p w:rsidR="004E13A5" w:rsidRDefault="004E13A5">
      <w:pPr>
        <w:pStyle w:val="BodyText"/>
        <w:spacing w:before="9"/>
        <w:ind w:left="0"/>
        <w:rPr>
          <w:sz w:val="20"/>
        </w:rPr>
      </w:pPr>
    </w:p>
    <w:p w:rsidR="004E13A5" w:rsidRDefault="00681463">
      <w:pPr>
        <w:pStyle w:val="Heading4"/>
        <w:spacing w:before="1"/>
      </w:pPr>
      <w:bookmarkStart w:id="391" w:name="_TOC_250040"/>
      <w:bookmarkEnd w:id="391"/>
      <w:r>
        <w:t>17-VII.C. MOVES</w:t>
      </w:r>
    </w:p>
    <w:p w:rsidR="004E13A5" w:rsidRDefault="00681463">
      <w:pPr>
        <w:spacing w:before="120"/>
        <w:ind w:left="100"/>
        <w:rPr>
          <w:b/>
          <w:sz w:val="24"/>
        </w:rPr>
      </w:pPr>
      <w:r>
        <w:rPr>
          <w:b/>
          <w:sz w:val="24"/>
        </w:rPr>
        <w:t>Overcrowded, Under-Occupied, and Accessible Units [24 CFR 983.260]</w:t>
      </w:r>
    </w:p>
    <w:p w:rsidR="004E13A5" w:rsidRDefault="00681463">
      <w:pPr>
        <w:pStyle w:val="BodyText"/>
        <w:spacing w:before="120"/>
        <w:ind w:right="162"/>
      </w:pPr>
      <w:r>
        <w:t>If the PHA determines that a family is occupying a wrong size unit, based on the PHA’s subsidy standards, or a unit with accessibility features that the family does not require, and the unit is needed by a family that does require the features, the PHA must promptly notify the family and the owner of this determination, and the PHA must offer the family the opportunity to receive continued housing assistance in another unit.</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notify the family and the owner of the family’s need to move based on the occupancy of a wrong-size or accessible unit within 10 business days of the PHA’s determination. The PHA will offer the family the following types of continued assistance in the following order, based on the availability of assistance:</w:t>
      </w:r>
    </w:p>
    <w:p w:rsidR="004E13A5" w:rsidRDefault="00681463">
      <w:pPr>
        <w:pStyle w:val="BodyText"/>
        <w:spacing w:before="120" w:line="343" w:lineRule="auto"/>
        <w:ind w:left="1540" w:right="3687"/>
      </w:pPr>
      <w:r>
        <w:t>PBV assistance in the same building or project; PBV assistance in another project; and</w:t>
      </w:r>
    </w:p>
    <w:p w:rsidR="004E13A5" w:rsidRDefault="00681463">
      <w:pPr>
        <w:pStyle w:val="BodyText"/>
        <w:spacing w:before="5"/>
        <w:ind w:left="1540"/>
      </w:pPr>
      <w:r>
        <w:t>Tenant-based voucher assistance.</w:t>
      </w:r>
    </w:p>
    <w:p w:rsidR="004E13A5" w:rsidRDefault="00681463">
      <w:pPr>
        <w:pStyle w:val="BodyText"/>
        <w:ind w:right="183"/>
      </w:pPr>
      <w:r>
        <w:t>If the PHA offers the family a tenant-based voucher, the PHA must terminate the housing assistance payments for a wrong-sized or accessible unit at the earlier of the expiration of the term of the family’s voucher (including any extension granted by the PHA) or the date upon which the family vacates the unit. If the family does not move out of the wrong-sized unit or accessible unit by the expiration of the term of the family's voucher, the PHA must remove the unit from the HAP contract.</w:t>
      </w:r>
    </w:p>
    <w:p w:rsidR="004E13A5" w:rsidRDefault="00681463">
      <w:pPr>
        <w:pStyle w:val="BodyText"/>
        <w:ind w:right="283"/>
      </w:pPr>
      <w:r>
        <w:t>If the PHA offers the family another form of assistance that is not a tenant-based voucher, and the family does not accept the offer, does not move out of the PBV unit within a reasonable time as determined by the PHA, or both, the PHA must terminate the housing assistance payments for the unit at the expiration of a reasonable period as determined by the PHA and remove the unit from the HAP contract.</w:t>
      </w:r>
    </w:p>
    <w:p w:rsidR="004E13A5" w:rsidRDefault="00681463">
      <w:pPr>
        <w:pStyle w:val="BodyText"/>
        <w:ind w:left="820"/>
      </w:pPr>
      <w:r>
        <w:rPr>
          <w:u w:val="single"/>
        </w:rPr>
        <w:t>PHA Policy</w:t>
      </w:r>
    </w:p>
    <w:p w:rsidR="004E13A5" w:rsidRDefault="00681463">
      <w:pPr>
        <w:pStyle w:val="BodyText"/>
        <w:ind w:left="820" w:right="96"/>
      </w:pPr>
      <w:r>
        <w:t>When the PHA offers a family another form of assistance that is not a tenant-based voucher, the family will be given 30 days from the date of the offer to accept the offer and move out of the PBV unit. If the family does not move out within this 30-day time frame, the PHA will terminate the housing assistance payments at the expiration of this 30-day period.</w:t>
      </w:r>
    </w:p>
    <w:p w:rsidR="004E13A5" w:rsidRDefault="00681463">
      <w:pPr>
        <w:pStyle w:val="BodyText"/>
        <w:spacing w:before="120"/>
        <w:ind w:left="820" w:right="686"/>
        <w:jc w:val="both"/>
      </w:pPr>
      <w:r>
        <w:t>The PHA may make exceptions to this 30-day period if needed for reasons beyond the family’s control such as death, serious illness, or other medical emergency of a family member.</w:t>
      </w:r>
    </w:p>
    <w:p w:rsidR="004E13A5" w:rsidRDefault="00681463">
      <w:pPr>
        <w:pStyle w:val="Heading4"/>
        <w:spacing w:before="120"/>
      </w:pPr>
      <w:bookmarkStart w:id="392" w:name="_TOC_250039"/>
      <w:bookmarkEnd w:id="392"/>
      <w:r>
        <w:t>Family Right to Move [24 CFR 983.261]</w:t>
      </w:r>
    </w:p>
    <w:p w:rsidR="004E13A5" w:rsidRDefault="00681463">
      <w:pPr>
        <w:pStyle w:val="BodyText"/>
        <w:spacing w:before="120"/>
        <w:ind w:right="195"/>
      </w:pPr>
      <w:r>
        <w:t>The family may terminate the lease at any time after the first year of occupancy. The family must give advance written notice to the owner in accordance with the lease and provide a copy of such notice to the PHA. If the family wishes to move with continued tenant-based assistance, the family</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609"/>
      </w:pPr>
      <w:r>
        <w:lastRenderedPageBreak/>
        <w:t>must contact the PHA to request the rental assistance prior to providing notice to terminate the lease.</w:t>
      </w:r>
    </w:p>
    <w:p w:rsidR="004E13A5" w:rsidRDefault="00681463">
      <w:pPr>
        <w:pStyle w:val="BodyText"/>
        <w:spacing w:before="120"/>
        <w:ind w:right="183"/>
      </w:pPr>
      <w:r>
        <w:t>If the family terminates the lease in accordance with these requirements, the PHA is required to offer the family the opportunity for continued tenant-based assistance, in the form of a voucher or other comparable tenant-based rental assistance. If voucher or other comparable tenant-based assistance is not immediately available upon termination of the family’s lease in the PBV unit, the PHA must give the family priority to receive the next available opportunity for continued tenant- based assistance.</w:t>
      </w:r>
    </w:p>
    <w:p w:rsidR="004E13A5" w:rsidRDefault="00681463">
      <w:pPr>
        <w:pStyle w:val="BodyText"/>
        <w:ind w:right="83"/>
      </w:pPr>
      <w:r>
        <w:t>If the family terminates the assisted lease before the end of the first year, the family relinquishes the opportunity for continued tenant-based assistance.</w:t>
      </w:r>
    </w:p>
    <w:p w:rsidR="004E13A5" w:rsidRDefault="00681463">
      <w:pPr>
        <w:pStyle w:val="Heading4"/>
        <w:spacing w:before="119"/>
      </w:pPr>
      <w:r>
        <w:t>Emergency Transfers under VAWA [Notice PIH 2017-08]</w:t>
      </w:r>
    </w:p>
    <w:p w:rsidR="004E13A5" w:rsidRDefault="00681463">
      <w:pPr>
        <w:pStyle w:val="BodyText"/>
        <w:ind w:right="190"/>
      </w:pPr>
      <w:r>
        <w:t>Except where special consideration is needed for the project-based voucher program, the PHA will follow VAWA policies as outlined in Chapter 16 Part IX of this administrative plan, including using the Emergency Transfer Plan as the basis for PBV transfers under VAWA (Exhibit 16-4).</w:t>
      </w:r>
    </w:p>
    <w:p w:rsidR="004E13A5" w:rsidRDefault="00681463">
      <w:pPr>
        <w:pStyle w:val="BodyText"/>
        <w:ind w:right="122"/>
      </w:pPr>
      <w:r>
        <w:t>HUD requires that the PHA include policies that address when a victim has been living in a unit for less than a year or when a victim seeks to move sooner than a tenant-based voucher is available.</w:t>
      </w:r>
    </w:p>
    <w:p w:rsidR="004E13A5" w:rsidRDefault="00681463">
      <w:pPr>
        <w:pStyle w:val="BodyText"/>
        <w:ind w:left="820"/>
      </w:pPr>
      <w:r>
        <w:rPr>
          <w:u w:val="single"/>
        </w:rPr>
        <w:t>PHA Policy</w:t>
      </w:r>
    </w:p>
    <w:p w:rsidR="004E13A5" w:rsidRDefault="00681463">
      <w:pPr>
        <w:pStyle w:val="BodyText"/>
        <w:ind w:left="820" w:right="202"/>
      </w:pPr>
      <w:r>
        <w:t>When the victim of domestic violence, dating violence, sexual assault, or stalking has lived in the unit for less than one year, the PHA will provide several options for continued assistance.</w:t>
      </w:r>
    </w:p>
    <w:p w:rsidR="004E13A5" w:rsidRDefault="00681463">
      <w:pPr>
        <w:pStyle w:val="BodyText"/>
        <w:ind w:left="820" w:right="602"/>
      </w:pPr>
      <w:r>
        <w:t>The PHA will first try to transfer the participant to another PBV unit in the same development or transfer to a different development where the PHA has PBV units. The PHA will expedite the administrative processes in this case in an effort to conduct the transfer as quickly as possible.</w:t>
      </w:r>
    </w:p>
    <w:p w:rsidR="004E13A5" w:rsidRDefault="00681463">
      <w:pPr>
        <w:pStyle w:val="BodyText"/>
        <w:ind w:left="820" w:right="115"/>
      </w:pPr>
      <w:r>
        <w:t>If no units are available for an internal transfer, or if there is reasonable cause to believe that such a transfer would put the victim in jeopardy, the participant may receive continued assistance through an external transfer to either tenant-based rental assistance (HCV). Such a decision will be made by the PHA based on the availability of tenant-based</w:t>
      </w:r>
      <w:r>
        <w:rPr>
          <w:spacing w:val="-10"/>
        </w:rPr>
        <w:t xml:space="preserve"> </w:t>
      </w:r>
      <w:r>
        <w:t>vouchers.</w:t>
      </w:r>
    </w:p>
    <w:p w:rsidR="004E13A5" w:rsidRDefault="00681463">
      <w:pPr>
        <w:pStyle w:val="BodyText"/>
        <w:ind w:left="820" w:right="183"/>
      </w:pPr>
      <w:r>
        <w:t>If a victim wishes to move after a year of occupancy in the unit, but no tenant-based vouchers are available, the PHA will offer the participant an internal transfer to another PBV unit in the same development or a transfer to a different development where the PHA has PBV units. The PHA will expedite the administrative processes in this case in an effort to conduct the transfer as quickly as possible.</w:t>
      </w:r>
    </w:p>
    <w:p w:rsidR="004E13A5" w:rsidRDefault="004E13A5">
      <w:pPr>
        <w:pStyle w:val="BodyText"/>
        <w:spacing w:before="9"/>
        <w:ind w:left="0"/>
        <w:rPr>
          <w:sz w:val="20"/>
        </w:rPr>
      </w:pPr>
    </w:p>
    <w:p w:rsidR="004E13A5" w:rsidRDefault="00681463">
      <w:pPr>
        <w:pStyle w:val="Heading4"/>
      </w:pPr>
      <w:r>
        <w:t>17-VII.D. EXCEPTIONS TO THE OCCUPANCY CAP [24 CFR 983.262]</w:t>
      </w:r>
    </w:p>
    <w:p w:rsidR="004E13A5" w:rsidRDefault="00681463">
      <w:pPr>
        <w:pStyle w:val="BodyText"/>
        <w:spacing w:before="120"/>
        <w:ind w:right="141"/>
      </w:pPr>
      <w:r>
        <w:t>As of April 18, 2017 the PHA may not pay housing assistance under a PBV HAP contract for more than the greater of 25 units or 25 percent of the number of dwelling units in a project unless</w:t>
      </w:r>
    </w:p>
    <w:p w:rsidR="004E13A5" w:rsidRDefault="00681463">
      <w:pPr>
        <w:pStyle w:val="ListParagraph"/>
        <w:numPr>
          <w:ilvl w:val="0"/>
          <w:numId w:val="93"/>
        </w:numPr>
        <w:tabs>
          <w:tab w:val="left" w:pos="460"/>
          <w:tab w:val="left" w:pos="461"/>
        </w:tabs>
        <w:rPr>
          <w:rFonts w:ascii="Symbol"/>
          <w:sz w:val="24"/>
        </w:rPr>
      </w:pPr>
      <w:r>
        <w:rPr>
          <w:sz w:val="24"/>
        </w:rPr>
        <w:t>The units are exclusively for elderly</w:t>
      </w:r>
      <w:r>
        <w:rPr>
          <w:spacing w:val="-9"/>
          <w:sz w:val="24"/>
        </w:rPr>
        <w:t xml:space="preserve"> </w:t>
      </w:r>
      <w:r>
        <w:rPr>
          <w:sz w:val="24"/>
        </w:rPr>
        <w:t>families</w:t>
      </w:r>
    </w:p>
    <w:p w:rsidR="004E13A5" w:rsidRDefault="00681463">
      <w:pPr>
        <w:pStyle w:val="ListParagraph"/>
        <w:numPr>
          <w:ilvl w:val="0"/>
          <w:numId w:val="93"/>
        </w:numPr>
        <w:tabs>
          <w:tab w:val="left" w:pos="460"/>
          <w:tab w:val="left" w:pos="461"/>
        </w:tabs>
        <w:spacing w:before="118"/>
        <w:ind w:right="322"/>
        <w:rPr>
          <w:rFonts w:ascii="Symbol"/>
          <w:sz w:val="24"/>
        </w:rPr>
      </w:pPr>
      <w:r>
        <w:rPr>
          <w:sz w:val="24"/>
        </w:rPr>
        <w:t>The units are for households eligible for supportive services available to all families</w:t>
      </w:r>
      <w:r>
        <w:rPr>
          <w:spacing w:val="-17"/>
          <w:sz w:val="24"/>
        </w:rPr>
        <w:t xml:space="preserve"> </w:t>
      </w:r>
      <w:r>
        <w:rPr>
          <w:sz w:val="24"/>
        </w:rPr>
        <w:t>receiving PBV assistance in the</w:t>
      </w:r>
      <w:r>
        <w:rPr>
          <w:spacing w:val="-8"/>
          <w:sz w:val="24"/>
        </w:rPr>
        <w:t xml:space="preserve"> </w:t>
      </w:r>
      <w:r>
        <w:rPr>
          <w:sz w:val="24"/>
        </w:rPr>
        <w:t>project</w:t>
      </w:r>
    </w:p>
    <w:p w:rsidR="004E13A5" w:rsidRDefault="00681463">
      <w:pPr>
        <w:pStyle w:val="ListParagraph"/>
        <w:numPr>
          <w:ilvl w:val="0"/>
          <w:numId w:val="13"/>
        </w:numPr>
        <w:tabs>
          <w:tab w:val="left" w:pos="820"/>
          <w:tab w:val="left" w:pos="821"/>
        </w:tabs>
        <w:ind w:right="773"/>
        <w:rPr>
          <w:sz w:val="24"/>
        </w:rPr>
      </w:pPr>
      <w:r>
        <w:rPr>
          <w:sz w:val="24"/>
        </w:rPr>
        <w:t>If the project is located in a census tract with a poverty rate of 20 percent or less, as determined in the most recent American Community Survey Five-Year estimates,</w:t>
      </w:r>
      <w:r>
        <w:rPr>
          <w:spacing w:val="-13"/>
          <w:sz w:val="24"/>
        </w:rPr>
        <w:t xml:space="preserve"> </w:t>
      </w:r>
      <w:r>
        <w:rPr>
          <w:sz w:val="24"/>
        </w:rPr>
        <w:t>the</w:t>
      </w:r>
    </w:p>
    <w:p w:rsidR="004E13A5" w:rsidRDefault="004E13A5">
      <w:pPr>
        <w:rPr>
          <w:sz w:val="24"/>
        </w:rPr>
        <w:sectPr w:rsidR="004E13A5">
          <w:pgSz w:w="12240" w:h="15840"/>
          <w:pgMar w:top="1000" w:right="1220" w:bottom="1240" w:left="1220" w:header="0" w:footer="998" w:gutter="0"/>
          <w:cols w:space="720"/>
        </w:sectPr>
      </w:pPr>
    </w:p>
    <w:p w:rsidR="004E13A5" w:rsidRDefault="00681463">
      <w:pPr>
        <w:pStyle w:val="BodyText"/>
        <w:spacing w:before="79"/>
        <w:ind w:left="820" w:right="142"/>
      </w:pPr>
      <w:r>
        <w:lastRenderedPageBreak/>
        <w:t>project cap is the greater of 25 units or 40 percent (instead of 25 percent) of the units in the project [FR Notice 7/14/17].</w:t>
      </w:r>
    </w:p>
    <w:p w:rsidR="004E13A5" w:rsidRDefault="00681463">
      <w:pPr>
        <w:pStyle w:val="ListParagraph"/>
        <w:numPr>
          <w:ilvl w:val="0"/>
          <w:numId w:val="93"/>
        </w:numPr>
        <w:tabs>
          <w:tab w:val="left" w:pos="460"/>
          <w:tab w:val="left" w:pos="461"/>
        </w:tabs>
        <w:spacing w:before="120"/>
        <w:ind w:right="170"/>
        <w:rPr>
          <w:rFonts w:ascii="Symbol"/>
          <w:sz w:val="24"/>
        </w:rPr>
      </w:pPr>
      <w:r>
        <w:rPr>
          <w:sz w:val="24"/>
        </w:rPr>
        <w:t>If a family at the time of initial tenancy is receiving and while the resident of an excepted unit has received Family Self-Sufficiency (FSS) supportive services or any other service as</w:t>
      </w:r>
      <w:r>
        <w:rPr>
          <w:spacing w:val="-23"/>
          <w:sz w:val="24"/>
        </w:rPr>
        <w:t xml:space="preserve"> </w:t>
      </w:r>
      <w:r>
        <w:rPr>
          <w:sz w:val="24"/>
        </w:rPr>
        <w:t>defined by the PHA and successfully completes the FSS contract of participation or the supportive services requirement, the unit continues to count as an excepted unit for as long as the family resides in the unit. However, if the FSS family fails to successfully complete the FSS contract of participation or supportive services objective and consequently is no longer eligible for the supportive services, the family must vacate the unit within a reasonable period of time established by the PHA, and the PHA shall cease paying HAP on behalf of the</w:t>
      </w:r>
      <w:r>
        <w:rPr>
          <w:spacing w:val="-18"/>
          <w:sz w:val="24"/>
        </w:rPr>
        <w:t xml:space="preserve"> </w:t>
      </w:r>
      <w:r>
        <w:rPr>
          <w:sz w:val="24"/>
        </w:rPr>
        <w:t>family.</w:t>
      </w:r>
    </w:p>
    <w:p w:rsidR="004E13A5" w:rsidRDefault="00681463">
      <w:pPr>
        <w:pStyle w:val="BodyText"/>
        <w:spacing w:before="120"/>
        <w:ind w:right="89"/>
      </w:pPr>
      <w:r>
        <w:t>Further, when a family (or remaining members of a family) residing in an excepted unit no longer meets the criteria for a “qualifying family” because the family is no longer an elderly family due to a change in family composition, the PHA has the discretion to allow the family to remain in the excepted unit. If the PHA does not exercise this discretion, the family must vacate the unit within a reasonable period of time established by the PHA, and the PHA must cease paying housing assistance payments on behalf of the non-qualifying family.</w:t>
      </w:r>
    </w:p>
    <w:p w:rsidR="004E13A5" w:rsidRDefault="00681463">
      <w:pPr>
        <w:pStyle w:val="BodyText"/>
        <w:spacing w:before="120"/>
        <w:ind w:right="136"/>
      </w:pPr>
      <w:r>
        <w:t>Individuals in units with supportive services who choose to no longer participate in a service or who no longer qualify for services they qualified for at the time of initial occupancy cannot subsequently be denied continued housing opportunity because of this changed circumstance. A PHA or owner cannot determine that a participant’s needs exceed the level of care offered by qualifying services or require that individuals be transitioned to different projects based on service needs.</w:t>
      </w:r>
    </w:p>
    <w:p w:rsidR="004E13A5" w:rsidRDefault="00681463">
      <w:pPr>
        <w:pStyle w:val="BodyText"/>
        <w:spacing w:before="120"/>
        <w:ind w:right="123"/>
      </w:pPr>
      <w:r>
        <w:t>If the family fails to vacate the unit within the established time, the unit must be removed from the HAP contract unless the project is partially assisted, and it is possible for the HAP contract to be amended to substitute a different unit in the building in accordance with program requirements; or the owner terminates the lease and evicts the family. The housing assistance payments for a family residing in an excepted unit that is not in compliance with its family obligations to comply with supportive services requirements must be terminated by the PHA.</w:t>
      </w:r>
    </w:p>
    <w:p w:rsidR="004E13A5" w:rsidRDefault="00681463">
      <w:pPr>
        <w:pStyle w:val="BodyText"/>
        <w:spacing w:before="120"/>
        <w:ind w:right="136"/>
      </w:pPr>
      <w:r>
        <w:t>The PHA may allow a family that initially qualified for occupancy of an excepted unit based on elderly family status to continue to reside in a unit, where through circumstances beyond the control of the family (e.g., death of the elderly family member or long-term or permanent hospitalization or nursing care), the elderly family member no longer resides in the unit. In this case, the unit may continue to be counted as an excepted unit for as long as the family resides in that unit. Once the family vacates the unit, in order to continue as an excepted unit under the HAP contract, the unit must be made available to and occupied by a qualified family.</w:t>
      </w:r>
    </w:p>
    <w:p w:rsidR="004E13A5" w:rsidRDefault="00681463">
      <w:pPr>
        <w:pStyle w:val="BodyText"/>
        <w:spacing w:before="120"/>
        <w:ind w:left="820"/>
        <w:jc w:val="both"/>
      </w:pPr>
      <w:r>
        <w:rPr>
          <w:u w:val="single"/>
        </w:rPr>
        <w:t>PHA Policy</w:t>
      </w:r>
    </w:p>
    <w:p w:rsidR="004E13A5" w:rsidRDefault="00681463">
      <w:pPr>
        <w:spacing w:before="120"/>
        <w:ind w:left="820"/>
      </w:pPr>
      <w:r>
        <w:t>The PHA will allow families who initially qualified to live in an excepted unit to remain when circumstances change due to circumstances beyond the remaining family members’ control.</w:t>
      </w:r>
    </w:p>
    <w:p w:rsidR="004E13A5" w:rsidRDefault="00681463">
      <w:pPr>
        <w:spacing w:before="121"/>
        <w:ind w:left="820" w:right="201"/>
        <w:jc w:val="both"/>
      </w:pPr>
      <w:r>
        <w:t>In all other cases, the PHA will provide written notice to the family and owner within 10 business days of making the determination. The family will be given 30 days from the date of the notice to move out of the PBV unit. If the family does not move out within this 30-day time frame, the PHA will terminate the housing assistance payments at the expiration of this 30-day period.</w:t>
      </w:r>
    </w:p>
    <w:p w:rsidR="004E13A5" w:rsidRDefault="00681463">
      <w:pPr>
        <w:spacing w:before="118"/>
        <w:ind w:left="820" w:right="491"/>
      </w:pPr>
      <w:r>
        <w:t>The PHA may make exceptions to this 30-day period if needed for reasons beyond the family’s control such as death, serious illness, or other medical emergency of a family member.</w:t>
      </w:r>
    </w:p>
    <w:p w:rsidR="004E13A5" w:rsidRDefault="004E13A5">
      <w:pPr>
        <w:sectPr w:rsidR="004E13A5">
          <w:pgSz w:w="12240" w:h="15840"/>
          <w:pgMar w:top="1000" w:right="1300" w:bottom="1240" w:left="1220" w:header="0" w:footer="998" w:gutter="0"/>
          <w:cols w:space="720"/>
        </w:sectPr>
      </w:pPr>
    </w:p>
    <w:p w:rsidR="004E13A5" w:rsidRDefault="00681463">
      <w:pPr>
        <w:pStyle w:val="Heading4"/>
        <w:spacing w:before="79"/>
        <w:ind w:left="2296"/>
      </w:pPr>
      <w:bookmarkStart w:id="393" w:name="_TOC_250038"/>
      <w:bookmarkEnd w:id="393"/>
      <w:r>
        <w:lastRenderedPageBreak/>
        <w:t>PART VIII: DETERMINING RENT TO OWNER</w:t>
      </w:r>
    </w:p>
    <w:p w:rsidR="004E13A5" w:rsidRDefault="004E13A5">
      <w:pPr>
        <w:pStyle w:val="BodyText"/>
        <w:spacing w:before="10"/>
        <w:ind w:left="0"/>
        <w:rPr>
          <w:b/>
          <w:sz w:val="20"/>
        </w:rPr>
      </w:pPr>
    </w:p>
    <w:p w:rsidR="004E13A5" w:rsidRDefault="00681463">
      <w:pPr>
        <w:pStyle w:val="Heading4"/>
      </w:pPr>
      <w:bookmarkStart w:id="394" w:name="_TOC_250037"/>
      <w:bookmarkEnd w:id="394"/>
      <w:r>
        <w:t>17-VIII.A. OVERVIEW</w:t>
      </w:r>
    </w:p>
    <w:p w:rsidR="004E13A5" w:rsidRDefault="00681463">
      <w:pPr>
        <w:pStyle w:val="BodyText"/>
        <w:ind w:right="129"/>
      </w:pPr>
      <w:r>
        <w:t>The amount of the initial rent to an owner of units receiving PBV assistance is established at the beginning of the HAP contract term. Although for rehabilitated or newly constructed housing, the agreement to enter into HAP Contract (Agreement) states the estimated amount of the initial rent to owner, the actual amount of the initial rent to owner is established at the beginning of the HAP contract term.</w:t>
      </w:r>
    </w:p>
    <w:p w:rsidR="004E13A5" w:rsidRDefault="00681463">
      <w:pPr>
        <w:pStyle w:val="BodyText"/>
        <w:ind w:right="442"/>
      </w:pPr>
      <w:r>
        <w:t>During the tem of the HAP contract, the rent to owner is re-determined at the owner’s request in accordance with program requirements, and at such time that there is a ten percent or greater decrease in the published FMR.</w:t>
      </w:r>
    </w:p>
    <w:p w:rsidR="004E13A5" w:rsidRDefault="004E13A5">
      <w:pPr>
        <w:pStyle w:val="BodyText"/>
        <w:spacing w:before="9"/>
        <w:ind w:left="0"/>
        <w:rPr>
          <w:sz w:val="20"/>
        </w:rPr>
      </w:pPr>
    </w:p>
    <w:p w:rsidR="004E13A5" w:rsidRDefault="00681463">
      <w:pPr>
        <w:pStyle w:val="Heading4"/>
      </w:pPr>
      <w:bookmarkStart w:id="395" w:name="_TOC_250036"/>
      <w:bookmarkEnd w:id="395"/>
      <w:r>
        <w:t>17-VIII.B. RENT LIMITS [24 CFR 983.301]</w:t>
      </w:r>
    </w:p>
    <w:p w:rsidR="004E13A5" w:rsidRDefault="00681463">
      <w:pPr>
        <w:pStyle w:val="BodyText"/>
        <w:spacing w:before="120"/>
        <w:ind w:right="276"/>
      </w:pPr>
      <w:r>
        <w:t>Except for certain tax credit units (discussed below), the rent to owner must not exceed the lowest of the following amounts:</w:t>
      </w:r>
    </w:p>
    <w:p w:rsidR="004E13A5" w:rsidRDefault="00681463">
      <w:pPr>
        <w:pStyle w:val="ListParagraph"/>
        <w:numPr>
          <w:ilvl w:val="0"/>
          <w:numId w:val="93"/>
        </w:numPr>
        <w:tabs>
          <w:tab w:val="left" w:pos="461"/>
        </w:tabs>
        <w:ind w:right="108"/>
        <w:jc w:val="both"/>
        <w:rPr>
          <w:rFonts w:ascii="Symbol"/>
          <w:sz w:val="24"/>
        </w:rPr>
      </w:pPr>
      <w:r>
        <w:rPr>
          <w:sz w:val="24"/>
        </w:rPr>
        <w:t>An amount determined by the PHA, not to exceed 110 percent of the applicable fair market rent (or any HUD-approved exception payment standard) for the unit bedroom size minus any</w:t>
      </w:r>
      <w:r>
        <w:rPr>
          <w:spacing w:val="-16"/>
          <w:sz w:val="24"/>
        </w:rPr>
        <w:t xml:space="preserve"> </w:t>
      </w:r>
      <w:r>
        <w:rPr>
          <w:sz w:val="24"/>
        </w:rPr>
        <w:t>utility allowance;</w:t>
      </w:r>
    </w:p>
    <w:p w:rsidR="004E13A5" w:rsidRDefault="00681463">
      <w:pPr>
        <w:pStyle w:val="ListParagraph"/>
        <w:numPr>
          <w:ilvl w:val="0"/>
          <w:numId w:val="93"/>
        </w:numPr>
        <w:tabs>
          <w:tab w:val="left" w:pos="460"/>
          <w:tab w:val="left" w:pos="461"/>
        </w:tabs>
        <w:rPr>
          <w:rFonts w:ascii="Symbol"/>
          <w:sz w:val="24"/>
        </w:rPr>
      </w:pPr>
      <w:r>
        <w:rPr>
          <w:sz w:val="24"/>
        </w:rPr>
        <w:t>The reasonable rent;</w:t>
      </w:r>
      <w:r>
        <w:rPr>
          <w:spacing w:val="-6"/>
          <w:sz w:val="24"/>
        </w:rPr>
        <w:t xml:space="preserve"> </w:t>
      </w:r>
      <w:r>
        <w:rPr>
          <w:sz w:val="24"/>
        </w:rPr>
        <w:t>or</w:t>
      </w:r>
    </w:p>
    <w:p w:rsidR="004E13A5" w:rsidRDefault="00681463">
      <w:pPr>
        <w:pStyle w:val="ListParagraph"/>
        <w:numPr>
          <w:ilvl w:val="0"/>
          <w:numId w:val="93"/>
        </w:numPr>
        <w:tabs>
          <w:tab w:val="left" w:pos="460"/>
          <w:tab w:val="left" w:pos="461"/>
        </w:tabs>
        <w:rPr>
          <w:rFonts w:ascii="Symbol"/>
          <w:sz w:val="24"/>
        </w:rPr>
      </w:pPr>
      <w:r>
        <w:rPr>
          <w:sz w:val="24"/>
        </w:rPr>
        <w:t>The rent requested by the</w:t>
      </w:r>
      <w:r>
        <w:rPr>
          <w:spacing w:val="-7"/>
          <w:sz w:val="24"/>
        </w:rPr>
        <w:t xml:space="preserve"> </w:t>
      </w:r>
      <w:r>
        <w:rPr>
          <w:sz w:val="24"/>
        </w:rPr>
        <w:t>owner.</w:t>
      </w:r>
    </w:p>
    <w:p w:rsidR="004E13A5" w:rsidRDefault="004E13A5">
      <w:pPr>
        <w:pStyle w:val="BodyText"/>
        <w:spacing w:before="0"/>
        <w:ind w:left="0"/>
        <w:rPr>
          <w:sz w:val="28"/>
        </w:rPr>
      </w:pPr>
    </w:p>
    <w:p w:rsidR="004E13A5" w:rsidRDefault="00681463">
      <w:pPr>
        <w:pStyle w:val="Heading4"/>
        <w:spacing w:before="193"/>
      </w:pPr>
      <w:bookmarkStart w:id="396" w:name="_TOC_250035"/>
      <w:bookmarkEnd w:id="396"/>
      <w:r>
        <w:t>Certain Tax Credit Units [24 CFR 983.301(c)]</w:t>
      </w:r>
    </w:p>
    <w:p w:rsidR="004E13A5" w:rsidRDefault="00681463">
      <w:pPr>
        <w:pStyle w:val="BodyText"/>
        <w:ind w:right="649"/>
      </w:pPr>
      <w:r>
        <w:t>For certain tax credit units, the rent limits are determined differently than for other PBV units. Different limits apply to contract units that meet all of the following criteria:</w:t>
      </w:r>
    </w:p>
    <w:p w:rsidR="004E13A5" w:rsidRDefault="00681463">
      <w:pPr>
        <w:pStyle w:val="ListParagraph"/>
        <w:numPr>
          <w:ilvl w:val="0"/>
          <w:numId w:val="93"/>
        </w:numPr>
        <w:tabs>
          <w:tab w:val="left" w:pos="460"/>
          <w:tab w:val="left" w:pos="461"/>
        </w:tabs>
        <w:ind w:right="211"/>
        <w:rPr>
          <w:rFonts w:ascii="Symbol"/>
          <w:sz w:val="24"/>
        </w:rPr>
      </w:pPr>
      <w:r>
        <w:rPr>
          <w:sz w:val="24"/>
        </w:rPr>
        <w:t>The contract unit receives a low-income housing tax credit under the Internal Revenue Code</w:t>
      </w:r>
      <w:r>
        <w:rPr>
          <w:spacing w:val="-16"/>
          <w:sz w:val="24"/>
        </w:rPr>
        <w:t xml:space="preserve"> </w:t>
      </w:r>
      <w:r>
        <w:rPr>
          <w:sz w:val="24"/>
        </w:rPr>
        <w:t>of 1986;</w:t>
      </w:r>
    </w:p>
    <w:p w:rsidR="004E13A5" w:rsidRDefault="00681463">
      <w:pPr>
        <w:pStyle w:val="ListParagraph"/>
        <w:numPr>
          <w:ilvl w:val="0"/>
          <w:numId w:val="93"/>
        </w:numPr>
        <w:tabs>
          <w:tab w:val="left" w:pos="460"/>
          <w:tab w:val="left" w:pos="461"/>
        </w:tabs>
        <w:rPr>
          <w:rFonts w:ascii="Symbol"/>
          <w:sz w:val="24"/>
        </w:rPr>
      </w:pPr>
      <w:r>
        <w:rPr>
          <w:sz w:val="24"/>
        </w:rPr>
        <w:t>The contract unit is not located in a qualified census</w:t>
      </w:r>
      <w:r>
        <w:rPr>
          <w:spacing w:val="-9"/>
          <w:sz w:val="24"/>
        </w:rPr>
        <w:t xml:space="preserve"> </w:t>
      </w:r>
      <w:r>
        <w:rPr>
          <w:sz w:val="24"/>
        </w:rPr>
        <w:t>tract;</w:t>
      </w:r>
    </w:p>
    <w:p w:rsidR="004E13A5" w:rsidRDefault="00681463">
      <w:pPr>
        <w:pStyle w:val="ListParagraph"/>
        <w:numPr>
          <w:ilvl w:val="0"/>
          <w:numId w:val="93"/>
        </w:numPr>
        <w:tabs>
          <w:tab w:val="left" w:pos="461"/>
        </w:tabs>
        <w:spacing w:before="120"/>
        <w:ind w:right="162"/>
        <w:jc w:val="both"/>
        <w:rPr>
          <w:rFonts w:ascii="Symbol"/>
          <w:sz w:val="24"/>
        </w:rPr>
      </w:pPr>
      <w:r>
        <w:rPr>
          <w:sz w:val="24"/>
        </w:rPr>
        <w:t>There are comparable tax credit units of the same bedroom size as the contract unit in the same project, and the comparable tax credit units do not have any form of rental assistance other</w:t>
      </w:r>
      <w:r>
        <w:rPr>
          <w:spacing w:val="-14"/>
          <w:sz w:val="24"/>
        </w:rPr>
        <w:t xml:space="preserve"> </w:t>
      </w:r>
      <w:r>
        <w:rPr>
          <w:sz w:val="24"/>
        </w:rPr>
        <w:t>than the tax credit;</w:t>
      </w:r>
      <w:r>
        <w:rPr>
          <w:spacing w:val="-3"/>
          <w:sz w:val="24"/>
        </w:rPr>
        <w:t xml:space="preserve"> </w:t>
      </w:r>
      <w:r>
        <w:rPr>
          <w:sz w:val="24"/>
        </w:rPr>
        <w:t>and</w:t>
      </w:r>
    </w:p>
    <w:p w:rsidR="004E13A5" w:rsidRDefault="00681463">
      <w:pPr>
        <w:pStyle w:val="ListParagraph"/>
        <w:numPr>
          <w:ilvl w:val="0"/>
          <w:numId w:val="93"/>
        </w:numPr>
        <w:tabs>
          <w:tab w:val="left" w:pos="460"/>
          <w:tab w:val="left" w:pos="461"/>
        </w:tabs>
        <w:ind w:right="790"/>
        <w:rPr>
          <w:rFonts w:ascii="Symbol"/>
          <w:sz w:val="24"/>
        </w:rPr>
      </w:pPr>
      <w:r>
        <w:rPr>
          <w:sz w:val="24"/>
        </w:rPr>
        <w:t>The tax credit rent exceeds 110 percent of the fair market rent or any approved</w:t>
      </w:r>
      <w:r>
        <w:rPr>
          <w:spacing w:val="-15"/>
          <w:sz w:val="24"/>
        </w:rPr>
        <w:t xml:space="preserve"> </w:t>
      </w:r>
      <w:r>
        <w:rPr>
          <w:sz w:val="24"/>
        </w:rPr>
        <w:t>exception payment</w:t>
      </w:r>
      <w:r>
        <w:rPr>
          <w:spacing w:val="-5"/>
          <w:sz w:val="24"/>
        </w:rPr>
        <w:t xml:space="preserve"> </w:t>
      </w:r>
      <w:r>
        <w:rPr>
          <w:sz w:val="24"/>
        </w:rPr>
        <w:t>standard;</w:t>
      </w:r>
    </w:p>
    <w:p w:rsidR="004E13A5" w:rsidRDefault="00681463">
      <w:pPr>
        <w:pStyle w:val="BodyText"/>
        <w:spacing w:before="120"/>
      </w:pPr>
      <w:r>
        <w:t>For contract units that meet all of these criteria, the rent to owner must not exceed the lowest of:</w:t>
      </w:r>
    </w:p>
    <w:p w:rsidR="004E13A5" w:rsidRDefault="00681463">
      <w:pPr>
        <w:pStyle w:val="ListParagraph"/>
        <w:numPr>
          <w:ilvl w:val="0"/>
          <w:numId w:val="93"/>
        </w:numPr>
        <w:tabs>
          <w:tab w:val="left" w:pos="460"/>
          <w:tab w:val="left" w:pos="461"/>
        </w:tabs>
        <w:spacing w:before="120"/>
        <w:rPr>
          <w:rFonts w:ascii="Symbol"/>
          <w:sz w:val="24"/>
        </w:rPr>
      </w:pPr>
      <w:r>
        <w:rPr>
          <w:sz w:val="24"/>
        </w:rPr>
        <w:t>The tax credit rent minus any utility</w:t>
      </w:r>
      <w:r>
        <w:rPr>
          <w:spacing w:val="-16"/>
          <w:sz w:val="24"/>
        </w:rPr>
        <w:t xml:space="preserve"> </w:t>
      </w:r>
      <w:r>
        <w:rPr>
          <w:sz w:val="24"/>
        </w:rPr>
        <w:t>allowance;</w:t>
      </w:r>
    </w:p>
    <w:p w:rsidR="004E13A5" w:rsidRDefault="00681463">
      <w:pPr>
        <w:pStyle w:val="ListParagraph"/>
        <w:numPr>
          <w:ilvl w:val="0"/>
          <w:numId w:val="93"/>
        </w:numPr>
        <w:tabs>
          <w:tab w:val="left" w:pos="460"/>
          <w:tab w:val="left" w:pos="461"/>
        </w:tabs>
        <w:spacing w:before="118"/>
        <w:rPr>
          <w:rFonts w:ascii="Symbol"/>
          <w:sz w:val="24"/>
        </w:rPr>
      </w:pPr>
      <w:r>
        <w:rPr>
          <w:sz w:val="24"/>
        </w:rPr>
        <w:t>The reasonable rent;</w:t>
      </w:r>
      <w:r>
        <w:rPr>
          <w:spacing w:val="-6"/>
          <w:sz w:val="24"/>
        </w:rPr>
        <w:t xml:space="preserve"> </w:t>
      </w:r>
      <w:r>
        <w:rPr>
          <w:sz w:val="24"/>
        </w:rPr>
        <w:t>or</w:t>
      </w:r>
    </w:p>
    <w:p w:rsidR="004E13A5" w:rsidRDefault="00681463">
      <w:pPr>
        <w:pStyle w:val="ListParagraph"/>
        <w:numPr>
          <w:ilvl w:val="0"/>
          <w:numId w:val="93"/>
        </w:numPr>
        <w:tabs>
          <w:tab w:val="left" w:pos="460"/>
          <w:tab w:val="left" w:pos="461"/>
        </w:tabs>
        <w:spacing w:before="118"/>
        <w:rPr>
          <w:rFonts w:ascii="Symbol"/>
          <w:sz w:val="24"/>
        </w:rPr>
      </w:pPr>
      <w:r>
        <w:rPr>
          <w:sz w:val="24"/>
        </w:rPr>
        <w:t>The rent requested by the</w:t>
      </w:r>
      <w:r>
        <w:rPr>
          <w:spacing w:val="-7"/>
          <w:sz w:val="24"/>
        </w:rPr>
        <w:t xml:space="preserve"> </w:t>
      </w:r>
      <w:r>
        <w:rPr>
          <w:sz w:val="24"/>
        </w:rPr>
        <w:t>owner.</w:t>
      </w:r>
    </w:p>
    <w:p w:rsidR="004E13A5" w:rsidRDefault="00681463">
      <w:pPr>
        <w:pStyle w:val="Heading5"/>
      </w:pPr>
      <w:r>
        <w:t>Definitions</w:t>
      </w:r>
    </w:p>
    <w:p w:rsidR="004E13A5" w:rsidRDefault="00681463">
      <w:pPr>
        <w:pStyle w:val="BodyText"/>
        <w:spacing w:before="120"/>
      </w:pPr>
      <w:r>
        <w:t xml:space="preserve">A </w:t>
      </w:r>
      <w:r>
        <w:rPr>
          <w:i/>
        </w:rPr>
        <w:t xml:space="preserve">qualified census tract </w:t>
      </w:r>
      <w:r>
        <w:t>is any census tract (or equivalent geographic area defined by the Bureau of the Census) in which at least 50 percent of households have an income of less than 60 percent of</w:t>
      </w:r>
    </w:p>
    <w:p w:rsidR="004E13A5" w:rsidRDefault="004E13A5">
      <w:pPr>
        <w:sectPr w:rsidR="004E13A5">
          <w:pgSz w:w="12240" w:h="15840"/>
          <w:pgMar w:top="1000" w:right="1220" w:bottom="1240" w:left="1220" w:header="0" w:footer="998" w:gutter="0"/>
          <w:cols w:space="720"/>
        </w:sectPr>
      </w:pPr>
    </w:p>
    <w:p w:rsidR="004E13A5" w:rsidRDefault="00681463">
      <w:pPr>
        <w:pStyle w:val="BodyText"/>
        <w:spacing w:before="79"/>
        <w:ind w:right="183"/>
      </w:pPr>
      <w:r>
        <w:lastRenderedPageBreak/>
        <w:t>Area Median Gross Income (AMGI), or where the poverty rate is at least 25 percent and where the census tract is designated as a qualified census tract by HUD.</w:t>
      </w:r>
    </w:p>
    <w:p w:rsidR="004E13A5" w:rsidRDefault="00681463">
      <w:pPr>
        <w:pStyle w:val="BodyText"/>
        <w:spacing w:before="120"/>
        <w:ind w:right="116"/>
      </w:pPr>
      <w:r>
        <w:rPr>
          <w:i/>
        </w:rPr>
        <w:t xml:space="preserve">Tax credit rent </w:t>
      </w:r>
      <w:r>
        <w:t>is the rent charged for comparable units of the same bedroom size in the project that also receive the low-income housing tax credit but do not have any additional rental assistance (e.g., tenant-based voucher assistance).</w:t>
      </w:r>
    </w:p>
    <w:p w:rsidR="004E13A5" w:rsidRDefault="00681463">
      <w:pPr>
        <w:pStyle w:val="Heading4"/>
        <w:spacing w:before="119"/>
      </w:pPr>
      <w:bookmarkStart w:id="397" w:name="_TOC_250034"/>
      <w:bookmarkEnd w:id="397"/>
      <w:r>
        <w:t>Reasonable Rent [24 CFR 983.301(e) and 983.302(c)(2)]</w:t>
      </w:r>
    </w:p>
    <w:p w:rsidR="004E13A5" w:rsidRDefault="00681463">
      <w:pPr>
        <w:pStyle w:val="BodyText"/>
        <w:ind w:right="362"/>
      </w:pPr>
      <w:r>
        <w:t>The PHA must determine reasonable rent in accordable with 24 CFR 983.303. The rent to owner for each contract unit may at no time exceed the reasonable rent, except in cases where the PHA has elected within the HAP contract not to reduce rents below the initial rent to owner and, upon redetermination of the rent to owner, the reasonable rent would result in a rent below the initial rent. However, the rent to owner must be reduced in the following cases:</w:t>
      </w:r>
    </w:p>
    <w:p w:rsidR="004E13A5" w:rsidRDefault="00681463">
      <w:pPr>
        <w:pStyle w:val="ListParagraph"/>
        <w:numPr>
          <w:ilvl w:val="0"/>
          <w:numId w:val="93"/>
        </w:numPr>
        <w:tabs>
          <w:tab w:val="left" w:pos="460"/>
          <w:tab w:val="left" w:pos="461"/>
        </w:tabs>
        <w:rPr>
          <w:rFonts w:ascii="Symbol"/>
          <w:sz w:val="24"/>
        </w:rPr>
      </w:pPr>
      <w:r>
        <w:rPr>
          <w:sz w:val="24"/>
        </w:rPr>
        <w:t>To correct errors in calculations in accordable with HUD</w:t>
      </w:r>
      <w:r>
        <w:rPr>
          <w:spacing w:val="-12"/>
          <w:sz w:val="24"/>
        </w:rPr>
        <w:t xml:space="preserve"> </w:t>
      </w:r>
      <w:r>
        <w:rPr>
          <w:sz w:val="24"/>
        </w:rPr>
        <w:t>requirements</w:t>
      </w:r>
    </w:p>
    <w:p w:rsidR="004E13A5" w:rsidRDefault="00681463">
      <w:pPr>
        <w:pStyle w:val="ListParagraph"/>
        <w:numPr>
          <w:ilvl w:val="0"/>
          <w:numId w:val="93"/>
        </w:numPr>
        <w:tabs>
          <w:tab w:val="left" w:pos="460"/>
          <w:tab w:val="left" w:pos="461"/>
        </w:tabs>
        <w:ind w:right="261"/>
        <w:rPr>
          <w:rFonts w:ascii="Symbol"/>
          <w:sz w:val="24"/>
        </w:rPr>
      </w:pPr>
      <w:r>
        <w:rPr>
          <w:sz w:val="24"/>
        </w:rPr>
        <w:t>If additional housing assistance has been combined with PBV assistance after the execution</w:t>
      </w:r>
      <w:r>
        <w:rPr>
          <w:spacing w:val="-17"/>
          <w:sz w:val="24"/>
        </w:rPr>
        <w:t xml:space="preserve"> </w:t>
      </w:r>
      <w:r>
        <w:rPr>
          <w:sz w:val="24"/>
        </w:rPr>
        <w:t>of the initial HAP contract and a rent decrease is required pursuant to 24 CFR</w:t>
      </w:r>
      <w:r>
        <w:rPr>
          <w:spacing w:val="-13"/>
          <w:sz w:val="24"/>
        </w:rPr>
        <w:t xml:space="preserve"> </w:t>
      </w:r>
      <w:r>
        <w:rPr>
          <w:sz w:val="24"/>
        </w:rPr>
        <w:t>983.55</w:t>
      </w:r>
    </w:p>
    <w:p w:rsidR="004E13A5" w:rsidRDefault="00681463">
      <w:pPr>
        <w:pStyle w:val="ListParagraph"/>
        <w:numPr>
          <w:ilvl w:val="0"/>
          <w:numId w:val="93"/>
        </w:numPr>
        <w:tabs>
          <w:tab w:val="left" w:pos="460"/>
          <w:tab w:val="left" w:pos="461"/>
        </w:tabs>
        <w:ind w:right="114"/>
        <w:rPr>
          <w:rFonts w:ascii="Symbol"/>
          <w:sz w:val="24"/>
        </w:rPr>
      </w:pPr>
      <w:r>
        <w:rPr>
          <w:sz w:val="24"/>
        </w:rPr>
        <w:t>If a decrease in rent to owner is required based on changes in the allocation of the responsibility for utilities between owner and</w:t>
      </w:r>
      <w:r>
        <w:rPr>
          <w:spacing w:val="-9"/>
          <w:sz w:val="24"/>
        </w:rPr>
        <w:t xml:space="preserve"> </w:t>
      </w:r>
      <w:r>
        <w:rPr>
          <w:sz w:val="24"/>
        </w:rPr>
        <w:t>tenant</w:t>
      </w:r>
    </w:p>
    <w:p w:rsidR="004E13A5" w:rsidRDefault="00681463">
      <w:pPr>
        <w:pStyle w:val="BodyText"/>
      </w:pPr>
      <w:r>
        <w:t>If the PHA has not elected within the HAP contract to establish the initial rent to owner as the rent floor, the rent to owner shall not at any time exceed the reasonable rent.</w:t>
      </w:r>
    </w:p>
    <w:p w:rsidR="004E13A5" w:rsidRDefault="00681463">
      <w:pPr>
        <w:pStyle w:val="BodyText"/>
        <w:ind w:left="820"/>
      </w:pPr>
      <w:r>
        <w:rPr>
          <w:u w:val="single"/>
        </w:rPr>
        <w:t>PHA Policy</w:t>
      </w:r>
    </w:p>
    <w:p w:rsidR="004E13A5" w:rsidRDefault="00681463">
      <w:pPr>
        <w:pStyle w:val="BodyText"/>
        <w:ind w:left="820" w:right="148"/>
      </w:pPr>
      <w:r>
        <w:t>The PHA will elect within the HAP contract not to reduce rents below the initial level, with the exception of circumstances listed in 24 CFR 983.302(c)(2). If, upon redetermination of the rent to owner, the reasonable rent would result in a rent below the initial rent, the PHA will use the higher initial rent to owner amount.</w:t>
      </w:r>
    </w:p>
    <w:p w:rsidR="004E13A5" w:rsidRDefault="00681463">
      <w:pPr>
        <w:pStyle w:val="Heading4"/>
        <w:spacing w:before="120"/>
      </w:pPr>
      <w:r>
        <w:t>Use of FMRs, Exception Payment Standards, and Utility Allowances [24 CFR 983.301(f)]</w:t>
      </w:r>
    </w:p>
    <w:p w:rsidR="004E13A5" w:rsidRDefault="00681463">
      <w:pPr>
        <w:pStyle w:val="BodyText"/>
        <w:spacing w:before="120"/>
        <w:ind w:right="156"/>
      </w:pPr>
      <w:r>
        <w:t>When determining the initial rent to owner, the PHA must use the most recently published FMR in effect and the utility allowance schedule in effect at execution of the HAP contract. When re- determining the rent to owner, the PHA must use the most recently published FMR and the utility allowance schedule in effect at the time of redetermination. At its discretion, the PHA may for initial rent, use the amounts in effect at any time during the 30-day period immediately before the beginning date of the HAP contract, or for redeterminations of rent, the 30-day period immediately before the redetermination date.</w:t>
      </w:r>
    </w:p>
    <w:p w:rsidR="004E13A5" w:rsidRDefault="00681463">
      <w:pPr>
        <w:pStyle w:val="BodyText"/>
        <w:spacing w:before="120"/>
        <w:ind w:right="223"/>
      </w:pPr>
      <w:r>
        <w:t>Any HUD-approved exception payment standard amount under the tenant-based voucher program also applies to the project-based voucher program. HUD will not approve a different exception payment standard amount for use in the PBV program.</w:t>
      </w:r>
    </w:p>
    <w:p w:rsidR="004E13A5" w:rsidRDefault="00681463">
      <w:pPr>
        <w:pStyle w:val="BodyText"/>
        <w:spacing w:before="120"/>
        <w:ind w:right="376"/>
      </w:pPr>
      <w:r>
        <w:t>Likewise, the PHA may not establish or apply different utility allowance amounts for the PBV program. The same utility allowance schedule applies to both the tenant-based and project-based voucher programs.</w:t>
      </w:r>
    </w:p>
    <w:p w:rsidR="004E13A5" w:rsidRDefault="00681463">
      <w:pPr>
        <w:pStyle w:val="BodyText"/>
        <w:ind w:left="820"/>
      </w:pPr>
      <w:r>
        <w:rPr>
          <w:u w:val="single"/>
        </w:rPr>
        <w:t>PHA Policy</w:t>
      </w:r>
    </w:p>
    <w:p w:rsidR="004E13A5" w:rsidRDefault="00681463">
      <w:pPr>
        <w:pStyle w:val="BodyText"/>
        <w:ind w:left="820" w:right="628"/>
      </w:pPr>
      <w:r>
        <w:t>Upon written request by the owner, the PHA will consider using the FMR or utility allowances in effect during the 30-day period before the start date of the HAP, or redetermination of rent. The owner must explain the need to use the previous FMRs or</w:t>
      </w:r>
    </w:p>
    <w:p w:rsidR="004E13A5" w:rsidRDefault="004E13A5">
      <w:pPr>
        <w:sectPr w:rsidR="004E13A5">
          <w:pgSz w:w="12240" w:h="15840"/>
          <w:pgMar w:top="1000" w:right="1240" w:bottom="1240" w:left="1220" w:header="0" w:footer="998" w:gutter="0"/>
          <w:cols w:space="720"/>
        </w:sectPr>
      </w:pPr>
    </w:p>
    <w:p w:rsidR="004E13A5" w:rsidRDefault="00681463">
      <w:pPr>
        <w:pStyle w:val="BodyText"/>
        <w:spacing w:before="79"/>
        <w:ind w:left="820" w:right="183"/>
      </w:pPr>
      <w:r>
        <w:lastRenderedPageBreak/>
        <w:t>utility allowances and include documentation in support of the request. The PHA will review and make a decision based on the circumstances and merit of each request.</w:t>
      </w:r>
    </w:p>
    <w:p w:rsidR="004E13A5" w:rsidRDefault="00681463">
      <w:pPr>
        <w:pStyle w:val="BodyText"/>
        <w:spacing w:before="120"/>
        <w:ind w:left="820" w:right="183"/>
      </w:pPr>
      <w:r>
        <w:t>In addition to considering a written request from an owner, the PHA may decide to use the FMR or utility allowances in effect during the 30-day period before the start date of the HAP, or redetermination of rent, if the PHA determines it is necessary due to PHA budgetary constraints.</w:t>
      </w:r>
    </w:p>
    <w:p w:rsidR="004E13A5" w:rsidRDefault="00681463">
      <w:pPr>
        <w:pStyle w:val="Heading4"/>
        <w:spacing w:before="119"/>
      </w:pPr>
      <w:r>
        <w:t>Use of Small Area FMRs (SAFMRs) [24 CFR 888.113(h)]</w:t>
      </w:r>
    </w:p>
    <w:p w:rsidR="004E13A5" w:rsidRDefault="00681463">
      <w:pPr>
        <w:pStyle w:val="BodyText"/>
        <w:ind w:right="113"/>
      </w:pPr>
      <w:r>
        <w:t>While small area FMRs (SAFMRs) do not apply to PBV projects, PHAs that operate a</w:t>
      </w:r>
      <w:r>
        <w:rPr>
          <w:spacing w:val="-17"/>
        </w:rPr>
        <w:t xml:space="preserve"> </w:t>
      </w:r>
      <w:r>
        <w:t>tenant-based program under SAFMRs may apply SAFMRs to all future PBV HAP contracts. If the PHA adopts this policy, it must apply to all future PBV projects and the PHA’s entire jurisdiction. The PHA and owner may not subsequently choose to revert back to use of the FMRs once the SAFMRs have been adopted, even if the PHA subsequently changes its</w:t>
      </w:r>
      <w:r>
        <w:rPr>
          <w:spacing w:val="-10"/>
        </w:rPr>
        <w:t xml:space="preserve"> </w:t>
      </w:r>
      <w:r>
        <w:t>policy.</w:t>
      </w:r>
    </w:p>
    <w:p w:rsidR="004E13A5" w:rsidRDefault="00681463">
      <w:pPr>
        <w:pStyle w:val="BodyText"/>
        <w:spacing w:before="120"/>
        <w:ind w:right="100"/>
      </w:pPr>
      <w:r>
        <w:t>Further, the PHA may apply SAFMRs to current PBV projects where the notice of owner selection was made on or before the effective date of PHA implementation, provided the owner is willing to mutually agree to doing so and the application is prospective. The PHA and owner may not subsequently choose to revert back to use of the FMRs once the SAFMRs have been adopted, even if the PHA subsequently changes its policy. If rents increase as a result of the use of SAFMRs, the rent increase may not be effective until the first anniversary of the HAP contract.</w:t>
      </w:r>
    </w:p>
    <w:p w:rsidR="004E13A5" w:rsidRDefault="00681463">
      <w:pPr>
        <w:pStyle w:val="BodyText"/>
        <w:ind w:left="820"/>
      </w:pPr>
      <w:r>
        <w:rPr>
          <w:u w:val="single"/>
        </w:rPr>
        <w:t>PHA Policy</w:t>
      </w:r>
    </w:p>
    <w:p w:rsidR="004E13A5" w:rsidRDefault="00681463">
      <w:pPr>
        <w:pStyle w:val="BodyText"/>
        <w:ind w:left="820"/>
      </w:pPr>
      <w:r>
        <w:t>The PHA will not apply SAFMRs to the PHA’s PBV program.</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4E13A5">
      <w:pPr>
        <w:pStyle w:val="BodyText"/>
        <w:spacing w:before="3"/>
        <w:ind w:left="0"/>
        <w:rPr>
          <w:sz w:val="27"/>
        </w:rPr>
      </w:pPr>
    </w:p>
    <w:p w:rsidR="004E13A5" w:rsidRDefault="00681463">
      <w:pPr>
        <w:pStyle w:val="Heading4"/>
      </w:pPr>
      <w:bookmarkStart w:id="398" w:name="_TOC_250033"/>
      <w:bookmarkEnd w:id="398"/>
      <w:r>
        <w:t>Redetermination of Rent [24 CFR 983.302]</w:t>
      </w:r>
    </w:p>
    <w:p w:rsidR="004E13A5" w:rsidRDefault="00681463">
      <w:pPr>
        <w:pStyle w:val="BodyText"/>
        <w:spacing w:before="120"/>
        <w:ind w:right="715"/>
      </w:pPr>
      <w:r>
        <w:t>The PHA must re-determine the rent to owner upon the owner’s request or when there is a 10 percent or greater decrease in the published FMR.</w:t>
      </w:r>
    </w:p>
    <w:p w:rsidR="004E13A5" w:rsidRDefault="00681463">
      <w:pPr>
        <w:pStyle w:val="Heading5"/>
        <w:spacing w:before="120"/>
      </w:pPr>
      <w:r>
        <w:t>Rent Increase</w:t>
      </w:r>
    </w:p>
    <w:p w:rsidR="004E13A5" w:rsidRDefault="00681463">
      <w:pPr>
        <w:pStyle w:val="BodyText"/>
        <w:spacing w:before="120"/>
        <w:ind w:right="36"/>
      </w:pPr>
      <w:r>
        <w:t>If an owner wishes to request an increase in the rent to owner from the PHA, it must be requested at the annual anniversary of the HAP contract (see Section 17-V.D.). The request must be in writing and in the form and manner required by the PHA. The PHA may only make rent increases in accordance with the rent limits described previously. There are no provisions in the PBV program for special adjustments (e.g., adjustments that reflect increases in the actual and necessary expenses of owning and maintaining the units which have resulted from substantial general increases in real property taxes, utility rates, or similar costs).</w:t>
      </w:r>
    </w:p>
    <w:p w:rsidR="004E13A5" w:rsidRDefault="00681463">
      <w:pPr>
        <w:pStyle w:val="BodyText"/>
        <w:spacing w:before="120"/>
        <w:ind w:left="820"/>
      </w:pPr>
      <w:r>
        <w:rPr>
          <w:u w:val="single"/>
        </w:rPr>
        <w:t>PHA Policy</w:t>
      </w:r>
    </w:p>
    <w:p w:rsidR="004E13A5" w:rsidRDefault="00681463">
      <w:pPr>
        <w:pStyle w:val="BodyText"/>
        <w:spacing w:before="120"/>
        <w:ind w:left="820" w:right="394"/>
        <w:jc w:val="both"/>
      </w:pPr>
      <w:r>
        <w:t>An owner’s request for a rent increase must be submitted to the PHA 60 days prior to the anniversary date of the HAP contract, and must include the new rent amount the owner is proposing.</w:t>
      </w:r>
    </w:p>
    <w:p w:rsidR="004E13A5" w:rsidRDefault="00681463">
      <w:pPr>
        <w:pStyle w:val="BodyText"/>
        <w:ind w:right="180"/>
        <w:jc w:val="both"/>
      </w:pPr>
      <w:r>
        <w:t xml:space="preserve">The PHA may not approve and the owner may not receive any increase of rent to owner until and unless the owner has complied with requirements of the HAP contract, including compliance with </w:t>
      </w:r>
      <w:r w:rsidR="002C4221">
        <w:t>NSPIRE</w:t>
      </w:r>
      <w:r>
        <w:t>. The owner may not receive any retroactive increase of rent for any period of</w:t>
      </w:r>
      <w:r>
        <w:rPr>
          <w:spacing w:val="-21"/>
        </w:rPr>
        <w:t xml:space="preserve"> </w:t>
      </w:r>
      <w:r>
        <w:t>noncompliance.</w:t>
      </w:r>
    </w:p>
    <w:p w:rsidR="004E13A5" w:rsidRDefault="004E13A5">
      <w:pPr>
        <w:jc w:val="both"/>
        <w:sectPr w:rsidR="004E13A5">
          <w:footerReference w:type="default" r:id="rId68"/>
          <w:pgSz w:w="12240" w:h="15840"/>
          <w:pgMar w:top="1000" w:right="1220" w:bottom="1240" w:left="1220" w:header="0" w:footer="1058" w:gutter="0"/>
          <w:cols w:space="720"/>
        </w:sectPr>
      </w:pPr>
    </w:p>
    <w:p w:rsidR="004E13A5" w:rsidRDefault="00681463">
      <w:pPr>
        <w:pStyle w:val="Heading5"/>
        <w:spacing w:before="79"/>
      </w:pPr>
      <w:r>
        <w:lastRenderedPageBreak/>
        <w:t>Rent Decrease</w:t>
      </w:r>
    </w:p>
    <w:p w:rsidR="004E13A5" w:rsidRDefault="00681463">
      <w:pPr>
        <w:pStyle w:val="BodyText"/>
        <w:spacing w:before="120"/>
        <w:ind w:right="82"/>
      </w:pPr>
      <w:r>
        <w:t>If there is a decrease in the rent to owner, as established in accordance with program requirements such as a change in the FMR or exception payment standard, or reasonable rent amount, the rent to owner must be decreased regardless of whether the owner requested a rent adjustment, except where the PHA has elected within the HAP contract to not reduce rents below the initial rent under the initial HAP contract.</w:t>
      </w:r>
    </w:p>
    <w:p w:rsidR="004E13A5" w:rsidRDefault="00681463">
      <w:pPr>
        <w:pStyle w:val="Heading5"/>
      </w:pPr>
      <w:r>
        <w:t>Notice of Rent Change</w:t>
      </w:r>
    </w:p>
    <w:p w:rsidR="004E13A5" w:rsidRDefault="00681463">
      <w:pPr>
        <w:pStyle w:val="BodyText"/>
        <w:ind w:right="69"/>
      </w:pPr>
      <w:r>
        <w:t>The rent to owner is re-determined by written notice by the PHA to the owner specifying the amount of the re-determined rent. The PHA notice of rent adjustment constitutes an amendment of the rent to owner specified in the HAP contract. The adjusted amount of rent to owner applies for the period of 12 calendar months from the annual anniversary of the HAP contract.</w:t>
      </w:r>
    </w:p>
    <w:p w:rsidR="004E13A5" w:rsidRDefault="00681463">
      <w:pPr>
        <w:pStyle w:val="BodyText"/>
        <w:ind w:left="820"/>
      </w:pPr>
      <w:r>
        <w:rPr>
          <w:u w:val="single"/>
        </w:rPr>
        <w:t>PHA Policy</w:t>
      </w:r>
    </w:p>
    <w:p w:rsidR="004E13A5" w:rsidRDefault="00681463">
      <w:pPr>
        <w:pStyle w:val="BodyText"/>
        <w:spacing w:before="120"/>
        <w:ind w:left="820" w:right="215"/>
      </w:pPr>
      <w:r>
        <w:t>The PHA will provide the owner with at least 30 days’ written notice of any change in the amount of rent to owner.</w:t>
      </w:r>
    </w:p>
    <w:p w:rsidR="004E13A5" w:rsidRDefault="00681463">
      <w:pPr>
        <w:pStyle w:val="Heading4"/>
        <w:spacing w:before="120"/>
      </w:pPr>
      <w:bookmarkStart w:id="399" w:name="_TOC_250032"/>
      <w:bookmarkEnd w:id="399"/>
      <w:r>
        <w:t>PHA-Owned Units [24 CFR 983.301(g)]</w:t>
      </w:r>
    </w:p>
    <w:p w:rsidR="004E13A5" w:rsidRDefault="00681463">
      <w:pPr>
        <w:pStyle w:val="BodyText"/>
        <w:spacing w:before="120"/>
        <w:ind w:right="163"/>
      </w:pPr>
      <w:r>
        <w:t>For PHA-owned PBV units, the initial rent to owner and the annual redetermination of rent at the anniversary of the HAP contract are determined by the independent entity approved by HUD. The PHA must use the rent to owner established by the independent entity.</w:t>
      </w:r>
    </w:p>
    <w:p w:rsidR="004E13A5" w:rsidRDefault="004E13A5">
      <w:pPr>
        <w:pStyle w:val="BodyText"/>
        <w:spacing w:before="10"/>
        <w:ind w:left="0"/>
        <w:rPr>
          <w:sz w:val="20"/>
        </w:rPr>
      </w:pPr>
    </w:p>
    <w:p w:rsidR="004E13A5" w:rsidRDefault="00681463">
      <w:pPr>
        <w:pStyle w:val="Heading4"/>
      </w:pPr>
      <w:bookmarkStart w:id="400" w:name="_TOC_250031"/>
      <w:bookmarkEnd w:id="400"/>
      <w:r>
        <w:t>17-VIII.C. REASONABLE RENT [24 CFR 983.303]</w:t>
      </w:r>
    </w:p>
    <w:p w:rsidR="004E13A5" w:rsidRDefault="00681463">
      <w:pPr>
        <w:pStyle w:val="BodyText"/>
        <w:spacing w:before="120"/>
        <w:ind w:right="89"/>
      </w:pPr>
      <w:r>
        <w:t>At the time the initial rent is established and all times during the term of the HAP contract, the rent to owner for a contract unit may not exceed the reasonable rent for the unit as determined by the PHA, except where the PHA has elected within the HAP contract to not reduce rents below the initial rent under the initial HAP contract.</w:t>
      </w:r>
    </w:p>
    <w:p w:rsidR="004E13A5" w:rsidRDefault="00681463">
      <w:pPr>
        <w:pStyle w:val="Heading4"/>
        <w:spacing w:before="120"/>
      </w:pPr>
      <w:bookmarkStart w:id="401" w:name="_TOC_250030"/>
      <w:bookmarkEnd w:id="401"/>
      <w:r>
        <w:t>When Rent Reasonable Determinations Are Required</w:t>
      </w:r>
    </w:p>
    <w:p w:rsidR="004E13A5" w:rsidRDefault="00681463">
      <w:pPr>
        <w:pStyle w:val="BodyText"/>
        <w:spacing w:before="120"/>
        <w:ind w:right="143"/>
      </w:pPr>
      <w:r>
        <w:t>The PHA must re-determine the reasonable rent for a unit receiving PBV assistance whenever any of the following occur:</w:t>
      </w:r>
    </w:p>
    <w:p w:rsidR="004E13A5" w:rsidRDefault="00681463">
      <w:pPr>
        <w:pStyle w:val="ListParagraph"/>
        <w:numPr>
          <w:ilvl w:val="0"/>
          <w:numId w:val="93"/>
        </w:numPr>
        <w:tabs>
          <w:tab w:val="left" w:pos="461"/>
        </w:tabs>
        <w:ind w:right="472"/>
        <w:jc w:val="both"/>
        <w:rPr>
          <w:rFonts w:ascii="Symbol"/>
          <w:sz w:val="24"/>
        </w:rPr>
      </w:pPr>
      <w:r>
        <w:rPr>
          <w:sz w:val="24"/>
        </w:rPr>
        <w:t>There is a 10 percent or greater decrease in the published FMR in effect 60 days before the contract anniversary (for the unit sizes specified in the HAP contract) as compared with</w:t>
      </w:r>
      <w:r>
        <w:rPr>
          <w:spacing w:val="-16"/>
          <w:sz w:val="24"/>
        </w:rPr>
        <w:t xml:space="preserve"> </w:t>
      </w:r>
      <w:r>
        <w:rPr>
          <w:sz w:val="24"/>
        </w:rPr>
        <w:t>the FMR that was in effect one year before the contract anniversary</w:t>
      </w:r>
      <w:r>
        <w:rPr>
          <w:spacing w:val="-15"/>
          <w:sz w:val="24"/>
        </w:rPr>
        <w:t xml:space="preserve"> </w:t>
      </w:r>
      <w:r>
        <w:rPr>
          <w:sz w:val="24"/>
        </w:rPr>
        <w:t>date;</w:t>
      </w:r>
    </w:p>
    <w:p w:rsidR="004E13A5" w:rsidRDefault="00681463">
      <w:pPr>
        <w:pStyle w:val="ListParagraph"/>
        <w:numPr>
          <w:ilvl w:val="0"/>
          <w:numId w:val="93"/>
        </w:numPr>
        <w:tabs>
          <w:tab w:val="left" w:pos="460"/>
          <w:tab w:val="left" w:pos="461"/>
        </w:tabs>
        <w:ind w:right="268"/>
        <w:rPr>
          <w:rFonts w:ascii="Symbol"/>
          <w:sz w:val="24"/>
        </w:rPr>
      </w:pPr>
      <w:r>
        <w:rPr>
          <w:sz w:val="24"/>
        </w:rPr>
        <w:t>The PHA approves a change in the allocation of responsibility for utilities between the</w:t>
      </w:r>
      <w:r>
        <w:rPr>
          <w:spacing w:val="-17"/>
          <w:sz w:val="24"/>
        </w:rPr>
        <w:t xml:space="preserve"> </w:t>
      </w:r>
      <w:r>
        <w:rPr>
          <w:sz w:val="24"/>
        </w:rPr>
        <w:t>owner and the</w:t>
      </w:r>
      <w:r>
        <w:rPr>
          <w:spacing w:val="-3"/>
          <w:sz w:val="24"/>
        </w:rPr>
        <w:t xml:space="preserve"> </w:t>
      </w:r>
      <w:r>
        <w:rPr>
          <w:sz w:val="24"/>
        </w:rPr>
        <w:t>tenant;</w:t>
      </w:r>
    </w:p>
    <w:p w:rsidR="004E13A5" w:rsidRDefault="00681463">
      <w:pPr>
        <w:pStyle w:val="ListParagraph"/>
        <w:numPr>
          <w:ilvl w:val="0"/>
          <w:numId w:val="93"/>
        </w:numPr>
        <w:tabs>
          <w:tab w:val="left" w:pos="460"/>
          <w:tab w:val="left" w:pos="461"/>
        </w:tabs>
        <w:ind w:right="530"/>
        <w:rPr>
          <w:rFonts w:ascii="Symbol"/>
          <w:sz w:val="24"/>
        </w:rPr>
      </w:pPr>
      <w:r>
        <w:rPr>
          <w:sz w:val="24"/>
        </w:rPr>
        <w:t>The HAP contract is amended to substitute a different contract unit in the same building</w:t>
      </w:r>
      <w:r>
        <w:rPr>
          <w:spacing w:val="-15"/>
          <w:sz w:val="24"/>
        </w:rPr>
        <w:t xml:space="preserve"> </w:t>
      </w:r>
      <w:r>
        <w:rPr>
          <w:sz w:val="24"/>
        </w:rPr>
        <w:t>or project;</w:t>
      </w:r>
      <w:r>
        <w:rPr>
          <w:spacing w:val="-4"/>
          <w:sz w:val="24"/>
        </w:rPr>
        <w:t xml:space="preserve"> </w:t>
      </w:r>
      <w:r>
        <w:rPr>
          <w:sz w:val="24"/>
        </w:rPr>
        <w:t>or</w:t>
      </w:r>
    </w:p>
    <w:p w:rsidR="004E13A5" w:rsidRDefault="00681463">
      <w:pPr>
        <w:pStyle w:val="ListParagraph"/>
        <w:numPr>
          <w:ilvl w:val="0"/>
          <w:numId w:val="93"/>
        </w:numPr>
        <w:tabs>
          <w:tab w:val="left" w:pos="460"/>
          <w:tab w:val="left" w:pos="461"/>
        </w:tabs>
        <w:rPr>
          <w:rFonts w:ascii="Symbol"/>
          <w:sz w:val="24"/>
        </w:rPr>
      </w:pPr>
      <w:r>
        <w:rPr>
          <w:sz w:val="24"/>
        </w:rPr>
        <w:t>There is any other change that may substantially affect the reasonable</w:t>
      </w:r>
      <w:r>
        <w:rPr>
          <w:spacing w:val="-15"/>
          <w:sz w:val="24"/>
        </w:rPr>
        <w:t xml:space="preserve"> </w:t>
      </w:r>
      <w:r>
        <w:rPr>
          <w:sz w:val="24"/>
        </w:rPr>
        <w:t>rent.</w:t>
      </w:r>
    </w:p>
    <w:p w:rsidR="004E13A5" w:rsidRDefault="00681463">
      <w:pPr>
        <w:pStyle w:val="Heading4"/>
        <w:spacing w:before="118"/>
      </w:pPr>
      <w:bookmarkStart w:id="402" w:name="_TOC_250029"/>
      <w:bookmarkEnd w:id="402"/>
      <w:r>
        <w:t>How to Determine Reasonable Rent</w:t>
      </w:r>
    </w:p>
    <w:p w:rsidR="004E13A5" w:rsidRDefault="00681463">
      <w:pPr>
        <w:pStyle w:val="BodyText"/>
      </w:pPr>
      <w:r>
        <w:t>The reasonable rent of a unit receiving PBV assistance must be determined by comparison to rent for other comparable unassisted units. When making this determination, the PHA must consider factors that affect market rent. Such factors include the location, quality, size, type and age of the unit, as well as the amenities, housing services maintenance, and utilities to be provided by the owner.</w:t>
      </w:r>
    </w:p>
    <w:p w:rsidR="004E13A5" w:rsidRDefault="004E13A5">
      <w:pPr>
        <w:sectPr w:rsidR="004E13A5">
          <w:footerReference w:type="default" r:id="rId69"/>
          <w:pgSz w:w="12240" w:h="15840"/>
          <w:pgMar w:top="1000" w:right="1320" w:bottom="1240" w:left="1220" w:header="0" w:footer="1058" w:gutter="0"/>
          <w:pgNumType w:start="401"/>
          <w:cols w:space="720"/>
        </w:sectPr>
      </w:pPr>
    </w:p>
    <w:p w:rsidR="004E13A5" w:rsidRDefault="00681463">
      <w:pPr>
        <w:pStyle w:val="Heading5"/>
        <w:spacing w:before="79"/>
      </w:pPr>
      <w:r>
        <w:lastRenderedPageBreak/>
        <w:t>Comparability Analysis</w:t>
      </w:r>
    </w:p>
    <w:p w:rsidR="004E13A5" w:rsidRDefault="00681463">
      <w:pPr>
        <w:pStyle w:val="BodyText"/>
        <w:spacing w:before="120"/>
        <w:ind w:right="116"/>
      </w:pPr>
      <w:r>
        <w:t>For each unit, the comparability analysis must use at least three comparable units in the private unassisted market. This may include units in the premises or project that is receiving project-based assistance. The analysis must show how the reasonable rent was determined, including major differences between the contract units and comparable unassisted units, and must be retained by the PHA. The comparability analysis may be performed by PHA staff or by another qualified person or entity. Those who conduct these analyses or are involved in determining the housing assistance payment based on the analyses may not have any direct or indirect interest in the property.</w:t>
      </w:r>
    </w:p>
    <w:p w:rsidR="004E13A5" w:rsidRDefault="00681463">
      <w:pPr>
        <w:pStyle w:val="Heading4"/>
        <w:spacing w:before="119"/>
      </w:pPr>
      <w:bookmarkStart w:id="403" w:name="_TOC_250028"/>
      <w:bookmarkEnd w:id="403"/>
      <w:r>
        <w:t>PHA-Owned Units</w:t>
      </w:r>
    </w:p>
    <w:p w:rsidR="004E13A5" w:rsidRDefault="00681463">
      <w:pPr>
        <w:pStyle w:val="BodyText"/>
        <w:ind w:right="249"/>
      </w:pPr>
      <w:r>
        <w:t>For PHA-owned units, the amount of the reasonable rent must be determined by an independent agency approved by HUD in accordance with PBV program requirements. The independent entity must provide a copy of the determination of reasonable rent for PHA-owned units to the PHA and to the HUD field office where the project is located.</w:t>
      </w:r>
    </w:p>
    <w:p w:rsidR="004E13A5" w:rsidRDefault="00681463">
      <w:pPr>
        <w:pStyle w:val="Heading4"/>
        <w:spacing w:before="120"/>
      </w:pPr>
      <w:bookmarkStart w:id="404" w:name="_TOC_250027"/>
      <w:bookmarkEnd w:id="404"/>
      <w:r>
        <w:t>Owner Certification of Reasonable Rent</w:t>
      </w:r>
    </w:p>
    <w:p w:rsidR="004E13A5" w:rsidRDefault="00681463">
      <w:pPr>
        <w:pStyle w:val="BodyText"/>
        <w:ind w:right="96"/>
      </w:pPr>
      <w:r>
        <w:t>By accepting each monthly housing assistance payment, the owner certifies that the rent to owner is not more than rent charged by the owner for other comparable unassisted units in the premises. At any time, the PHA may require the owner to submit information on rents charged by the owner for other units in the premises or elsewhere.</w:t>
      </w:r>
    </w:p>
    <w:p w:rsidR="004E13A5" w:rsidRDefault="004E13A5">
      <w:pPr>
        <w:pStyle w:val="BodyText"/>
        <w:spacing w:before="9"/>
        <w:ind w:left="0"/>
        <w:rPr>
          <w:sz w:val="20"/>
        </w:rPr>
      </w:pPr>
    </w:p>
    <w:p w:rsidR="004E13A5" w:rsidRDefault="00681463">
      <w:pPr>
        <w:pStyle w:val="Heading4"/>
      </w:pPr>
      <w:bookmarkStart w:id="405" w:name="_TOC_250026"/>
      <w:bookmarkEnd w:id="405"/>
      <w:r>
        <w:t>17-VIII.D. EFFECT OF OTHER SUBSIDY AND RENT CONTROL</w:t>
      </w:r>
    </w:p>
    <w:p w:rsidR="004E13A5" w:rsidRDefault="00681463">
      <w:pPr>
        <w:pStyle w:val="BodyText"/>
        <w:ind w:right="95"/>
      </w:pPr>
      <w:r>
        <w:t>In addition to the rent limits discussed in Section 17-VIII.B above, other restrictions may limit the amount of rent to owner in a PBV unit. In addition, certain types of subsidized housing are not even eligible to receive PBV assistance (see Section 17-II.D).</w:t>
      </w:r>
    </w:p>
    <w:p w:rsidR="004E13A5" w:rsidRDefault="004E13A5">
      <w:pPr>
        <w:pStyle w:val="BodyText"/>
        <w:spacing w:before="0"/>
        <w:ind w:left="0"/>
        <w:rPr>
          <w:sz w:val="26"/>
        </w:rPr>
      </w:pPr>
    </w:p>
    <w:p w:rsidR="004E13A5" w:rsidRDefault="00681463">
      <w:pPr>
        <w:pStyle w:val="Heading4"/>
        <w:spacing w:before="216"/>
      </w:pPr>
      <w:bookmarkStart w:id="406" w:name="_TOC_250025"/>
      <w:bookmarkEnd w:id="406"/>
      <w:r>
        <w:t>Other Subsidy [24 CFR 983.304]</w:t>
      </w:r>
    </w:p>
    <w:p w:rsidR="004E13A5" w:rsidRDefault="00681463">
      <w:pPr>
        <w:pStyle w:val="BodyText"/>
        <w:ind w:right="183"/>
      </w:pPr>
      <w:r>
        <w:t>To comply with HUD subsidy layering requirements, at the discretion of HUD or its designee, a PHA shall reduce the rent to owner because of other governmental subsidies, including tax credits or tax exemptions, grants, or other subsidized funding.</w:t>
      </w:r>
    </w:p>
    <w:p w:rsidR="004E13A5" w:rsidRDefault="00681463">
      <w:pPr>
        <w:pStyle w:val="BodyText"/>
        <w:ind w:right="183"/>
      </w:pPr>
      <w:r>
        <w:t>For units receiving assistance under the HOME program, rents may not exceed rent limits as required by that program.</w:t>
      </w:r>
    </w:p>
    <w:p w:rsidR="004E13A5" w:rsidRDefault="00681463">
      <w:pPr>
        <w:pStyle w:val="BodyText"/>
      </w:pPr>
      <w:r>
        <w:t>For units in any of the following types of federally subsidized projects, the rent to owner may not exceed the subsidized rent (basic rent) or tax credit rent as determined in accordance with requirements for the applicable federal program:</w:t>
      </w:r>
    </w:p>
    <w:p w:rsidR="004E13A5" w:rsidRDefault="00681463">
      <w:pPr>
        <w:pStyle w:val="ListParagraph"/>
        <w:numPr>
          <w:ilvl w:val="0"/>
          <w:numId w:val="93"/>
        </w:numPr>
        <w:tabs>
          <w:tab w:val="left" w:pos="460"/>
          <w:tab w:val="left" w:pos="461"/>
        </w:tabs>
        <w:rPr>
          <w:rFonts w:ascii="Symbol"/>
          <w:sz w:val="24"/>
        </w:rPr>
      </w:pPr>
      <w:r>
        <w:rPr>
          <w:sz w:val="24"/>
        </w:rPr>
        <w:t>An insured or non-insured Section 236</w:t>
      </w:r>
      <w:r>
        <w:rPr>
          <w:spacing w:val="-8"/>
          <w:sz w:val="24"/>
        </w:rPr>
        <w:t xml:space="preserve"> </w:t>
      </w:r>
      <w:r>
        <w:rPr>
          <w:sz w:val="24"/>
        </w:rPr>
        <w:t>project;</w:t>
      </w:r>
    </w:p>
    <w:p w:rsidR="004E13A5" w:rsidRDefault="00681463">
      <w:pPr>
        <w:pStyle w:val="ListParagraph"/>
        <w:numPr>
          <w:ilvl w:val="0"/>
          <w:numId w:val="93"/>
        </w:numPr>
        <w:tabs>
          <w:tab w:val="left" w:pos="460"/>
          <w:tab w:val="left" w:pos="461"/>
        </w:tabs>
        <w:ind w:right="929"/>
        <w:rPr>
          <w:rFonts w:ascii="Symbol"/>
          <w:sz w:val="24"/>
        </w:rPr>
      </w:pPr>
      <w:r>
        <w:rPr>
          <w:sz w:val="24"/>
        </w:rPr>
        <w:t>A formerly insured or non-insured Section 236 project that continues to receive</w:t>
      </w:r>
      <w:r>
        <w:rPr>
          <w:spacing w:val="-15"/>
          <w:sz w:val="24"/>
        </w:rPr>
        <w:t xml:space="preserve"> </w:t>
      </w:r>
      <w:r>
        <w:rPr>
          <w:sz w:val="24"/>
        </w:rPr>
        <w:t>Interest Reduction Payment following a decoupling</w:t>
      </w:r>
      <w:r>
        <w:rPr>
          <w:spacing w:val="-10"/>
          <w:sz w:val="24"/>
        </w:rPr>
        <w:t xml:space="preserve"> </w:t>
      </w:r>
      <w:r>
        <w:rPr>
          <w:sz w:val="24"/>
        </w:rPr>
        <w:t>action;</w:t>
      </w:r>
    </w:p>
    <w:p w:rsidR="004E13A5" w:rsidRDefault="00681463">
      <w:pPr>
        <w:pStyle w:val="ListParagraph"/>
        <w:numPr>
          <w:ilvl w:val="0"/>
          <w:numId w:val="93"/>
        </w:numPr>
        <w:tabs>
          <w:tab w:val="left" w:pos="460"/>
          <w:tab w:val="left" w:pos="461"/>
        </w:tabs>
        <w:rPr>
          <w:rFonts w:ascii="Symbol"/>
          <w:sz w:val="24"/>
        </w:rPr>
      </w:pPr>
      <w:r>
        <w:rPr>
          <w:sz w:val="24"/>
        </w:rPr>
        <w:t>A Section 221(d)(3) below market interest rate (BMIR)</w:t>
      </w:r>
      <w:r>
        <w:rPr>
          <w:spacing w:val="-14"/>
          <w:sz w:val="24"/>
        </w:rPr>
        <w:t xml:space="preserve"> </w:t>
      </w:r>
      <w:r>
        <w:rPr>
          <w:sz w:val="24"/>
        </w:rPr>
        <w:t>project;</w:t>
      </w:r>
    </w:p>
    <w:p w:rsidR="004E13A5" w:rsidRDefault="00681463">
      <w:pPr>
        <w:pStyle w:val="ListParagraph"/>
        <w:numPr>
          <w:ilvl w:val="0"/>
          <w:numId w:val="93"/>
        </w:numPr>
        <w:tabs>
          <w:tab w:val="left" w:pos="460"/>
          <w:tab w:val="left" w:pos="461"/>
        </w:tabs>
        <w:spacing w:before="118"/>
        <w:rPr>
          <w:rFonts w:ascii="Symbol"/>
          <w:sz w:val="24"/>
        </w:rPr>
      </w:pPr>
      <w:r>
        <w:rPr>
          <w:sz w:val="24"/>
        </w:rPr>
        <w:t>A Section 515 project of the Rural Housing</w:t>
      </w:r>
      <w:r>
        <w:rPr>
          <w:spacing w:val="-9"/>
          <w:sz w:val="24"/>
        </w:rPr>
        <w:t xml:space="preserve"> </w:t>
      </w:r>
      <w:r>
        <w:rPr>
          <w:sz w:val="24"/>
        </w:rPr>
        <w:t>Service;</w:t>
      </w:r>
    </w:p>
    <w:p w:rsidR="004E13A5" w:rsidRDefault="00681463">
      <w:pPr>
        <w:pStyle w:val="ListParagraph"/>
        <w:numPr>
          <w:ilvl w:val="0"/>
          <w:numId w:val="93"/>
        </w:numPr>
        <w:tabs>
          <w:tab w:val="left" w:pos="460"/>
          <w:tab w:val="left" w:pos="461"/>
        </w:tabs>
        <w:spacing w:before="118"/>
        <w:rPr>
          <w:rFonts w:ascii="Symbol"/>
          <w:sz w:val="24"/>
        </w:rPr>
      </w:pPr>
      <w:r>
        <w:rPr>
          <w:sz w:val="24"/>
        </w:rPr>
        <w:t>Any other type of federally subsidized project specified by</w:t>
      </w:r>
      <w:r>
        <w:rPr>
          <w:spacing w:val="-15"/>
          <w:sz w:val="24"/>
        </w:rPr>
        <w:t xml:space="preserve"> </w:t>
      </w:r>
      <w:r>
        <w:rPr>
          <w:sz w:val="24"/>
        </w:rPr>
        <w:t>HUD.</w:t>
      </w:r>
    </w:p>
    <w:p w:rsidR="004E13A5" w:rsidRDefault="004E13A5">
      <w:pPr>
        <w:rPr>
          <w:rFonts w:ascii="Symbol"/>
          <w:sz w:val="24"/>
        </w:rPr>
        <w:sectPr w:rsidR="004E13A5">
          <w:pgSz w:w="12240" w:h="15840"/>
          <w:pgMar w:top="1000" w:right="1220" w:bottom="1240" w:left="1220" w:header="0" w:footer="1058" w:gutter="0"/>
          <w:cols w:space="720"/>
        </w:sectPr>
      </w:pPr>
    </w:p>
    <w:p w:rsidR="004E13A5" w:rsidRDefault="00681463">
      <w:pPr>
        <w:pStyle w:val="Heading5"/>
        <w:spacing w:before="79"/>
      </w:pPr>
      <w:r>
        <w:lastRenderedPageBreak/>
        <w:t>Combining Subsidy</w:t>
      </w:r>
    </w:p>
    <w:p w:rsidR="004E13A5" w:rsidRDefault="00681463">
      <w:pPr>
        <w:pStyle w:val="BodyText"/>
        <w:spacing w:before="120"/>
      </w:pPr>
      <w:r>
        <w:t>Rent to owner may not exceed any limitation required to comply with HUD subsidy layering requirements.</w:t>
      </w:r>
    </w:p>
    <w:p w:rsidR="004E13A5" w:rsidRDefault="004E13A5">
      <w:pPr>
        <w:pStyle w:val="BodyText"/>
        <w:spacing w:before="0"/>
        <w:ind w:left="0"/>
        <w:rPr>
          <w:sz w:val="26"/>
        </w:rPr>
      </w:pPr>
    </w:p>
    <w:p w:rsidR="004E13A5" w:rsidRDefault="00681463">
      <w:pPr>
        <w:pStyle w:val="Heading4"/>
        <w:spacing w:before="216"/>
      </w:pPr>
      <w:bookmarkStart w:id="407" w:name="_TOC_250024"/>
      <w:bookmarkEnd w:id="407"/>
      <w:r>
        <w:t>Rent Control [24 CFR 983.305]</w:t>
      </w:r>
    </w:p>
    <w:p w:rsidR="004E13A5" w:rsidRDefault="00681463">
      <w:pPr>
        <w:pStyle w:val="BodyText"/>
        <w:ind w:right="108"/>
      </w:pPr>
      <w:r>
        <w:t>In addition to the rent limits set by PBV program regulations, the amount of rent to owner may also be subject to rent control or other limits under local, state, or federal law.</w:t>
      </w:r>
    </w:p>
    <w:p w:rsidR="004E13A5" w:rsidRDefault="00681463">
      <w:pPr>
        <w:pStyle w:val="Heading4"/>
        <w:spacing w:before="5" w:line="510" w:lineRule="atLeast"/>
        <w:ind w:right="2779" w:firstLine="2866"/>
      </w:pPr>
      <w:r>
        <w:t>PART IX: PAYMENTS TO OWNER 17-IX.A. HOUSING ASSISTANCE PAYMENTS [24 CFR 983.351]</w:t>
      </w:r>
    </w:p>
    <w:p w:rsidR="004E13A5" w:rsidRDefault="00681463">
      <w:pPr>
        <w:pStyle w:val="BodyText"/>
        <w:ind w:right="108"/>
      </w:pPr>
      <w:r>
        <w:t xml:space="preserve">During the term of the HAP contract, the PHA must make housing assistance payments to the owner in accordance with the terms of the HAP contract. During the term of the HAP contract, payments must be made for each month that a contract unit complies with </w:t>
      </w:r>
      <w:r w:rsidR="002C4221">
        <w:t>NSPIRE</w:t>
      </w:r>
      <w:r>
        <w:t xml:space="preserve"> and is leased to</w:t>
      </w:r>
      <w:r>
        <w:rPr>
          <w:spacing w:val="-12"/>
        </w:rPr>
        <w:t xml:space="preserve"> </w:t>
      </w:r>
      <w:r>
        <w:t>and occupied by an eligible family. The housing assistance payment must be paid to the owner on or about the first day of the month for which payment is due, unless the owner and the PHA agree on a later</w:t>
      </w:r>
      <w:r>
        <w:rPr>
          <w:spacing w:val="-3"/>
        </w:rPr>
        <w:t xml:space="preserve"> </w:t>
      </w:r>
      <w:r>
        <w:t>date.</w:t>
      </w:r>
    </w:p>
    <w:p w:rsidR="004E13A5" w:rsidRDefault="00681463">
      <w:pPr>
        <w:pStyle w:val="BodyText"/>
        <w:ind w:right="109"/>
      </w:pPr>
      <w:r>
        <w:t>Except for discretionary vacancy payments, the PHA may not make any housing assistance payment to the owner for any month after the month when the family moves out of the unit (even if household goods or property are left in the unit).</w:t>
      </w:r>
    </w:p>
    <w:p w:rsidR="004E13A5" w:rsidRDefault="00681463">
      <w:pPr>
        <w:pStyle w:val="BodyText"/>
        <w:ind w:right="415"/>
      </w:pPr>
      <w:r>
        <w:t>The amount of the housing assistance payment by the PHA is the rent to owner minus the tenant rent (total tenant payment minus the utility allowance).</w:t>
      </w:r>
    </w:p>
    <w:p w:rsidR="004E13A5" w:rsidRDefault="00681463">
      <w:pPr>
        <w:pStyle w:val="BodyText"/>
        <w:ind w:right="244"/>
        <w:jc w:val="both"/>
      </w:pPr>
      <w:r>
        <w:t>In order to receive housing assistance payments, the owner must comply with all provisions of the HAP contract. Unless the owner complies with all provisions of the HAP contract, the owner does not have a right to receive housing assistance payments.</w:t>
      </w:r>
    </w:p>
    <w:p w:rsidR="004E13A5" w:rsidRDefault="004E13A5">
      <w:pPr>
        <w:pStyle w:val="BodyText"/>
        <w:spacing w:before="0"/>
        <w:ind w:left="0"/>
        <w:rPr>
          <w:sz w:val="26"/>
        </w:rPr>
      </w:pPr>
    </w:p>
    <w:p w:rsidR="004E13A5" w:rsidRDefault="004E13A5">
      <w:pPr>
        <w:pStyle w:val="BodyText"/>
        <w:spacing w:before="0"/>
        <w:ind w:left="0"/>
        <w:rPr>
          <w:sz w:val="26"/>
        </w:rPr>
      </w:pPr>
    </w:p>
    <w:p w:rsidR="004E13A5" w:rsidRDefault="00681463">
      <w:pPr>
        <w:pStyle w:val="Heading4"/>
        <w:spacing w:before="157"/>
      </w:pPr>
      <w:bookmarkStart w:id="408" w:name="_TOC_250023"/>
      <w:bookmarkEnd w:id="408"/>
      <w:r>
        <w:t>17-IX.B. VACANCY PAYMENTS [24 CFR 983.352]</w:t>
      </w:r>
    </w:p>
    <w:p w:rsidR="004E13A5" w:rsidRDefault="00681463">
      <w:pPr>
        <w:pStyle w:val="BodyText"/>
        <w:ind w:right="142"/>
      </w:pPr>
      <w:r>
        <w:t>If an assisted family moves out of the unit, the owner may keep the housing assistance payment for the calendar month when the family moves out. However, the owner may not keep the payment if the PHA determines that the vacancy is the owner’s fault.</w:t>
      </w:r>
    </w:p>
    <w:p w:rsidR="004E13A5" w:rsidRDefault="00681463">
      <w:pPr>
        <w:pStyle w:val="BodyText"/>
        <w:ind w:left="820"/>
      </w:pPr>
      <w:r>
        <w:rPr>
          <w:u w:val="single"/>
        </w:rPr>
        <w:t>PHA Policy</w:t>
      </w:r>
    </w:p>
    <w:p w:rsidR="004E13A5" w:rsidRDefault="00681463">
      <w:pPr>
        <w:pStyle w:val="BodyText"/>
        <w:ind w:left="820" w:right="122"/>
      </w:pPr>
      <w:r>
        <w:t>If the PHA determines that the owner is responsible for a vacancy and, as a result, is not entitled to the keep the housing assistance payment, the PHA will notify the landlord of the amount of housing assistance payment that the owner must repay. The PHA will require the owner to repay the amount owed in accordance with the policies in Section 16-IV.B.</w:t>
      </w:r>
    </w:p>
    <w:p w:rsidR="004E13A5" w:rsidRDefault="00681463">
      <w:pPr>
        <w:pStyle w:val="BodyText"/>
        <w:ind w:right="369"/>
      </w:pPr>
      <w:r>
        <w:t>At the discretion of the PHA, the HAP contract may provide for vacancy payments to the owner. The PHA may only make vacancy payments if:</w:t>
      </w:r>
    </w:p>
    <w:p w:rsidR="004E13A5" w:rsidRDefault="00681463">
      <w:pPr>
        <w:pStyle w:val="ListParagraph"/>
        <w:numPr>
          <w:ilvl w:val="0"/>
          <w:numId w:val="93"/>
        </w:numPr>
        <w:tabs>
          <w:tab w:val="left" w:pos="460"/>
          <w:tab w:val="left" w:pos="461"/>
        </w:tabs>
        <w:ind w:right="215"/>
        <w:rPr>
          <w:rFonts w:ascii="Symbol" w:hAnsi="Symbol"/>
          <w:sz w:val="24"/>
        </w:rPr>
      </w:pPr>
      <w:r>
        <w:rPr>
          <w:sz w:val="24"/>
        </w:rPr>
        <w:t>The owner gives the PHA prompt, written notice certifying that the family has vacated the</w:t>
      </w:r>
      <w:r>
        <w:rPr>
          <w:spacing w:val="-17"/>
          <w:sz w:val="24"/>
        </w:rPr>
        <w:t xml:space="preserve"> </w:t>
      </w:r>
      <w:r>
        <w:rPr>
          <w:sz w:val="24"/>
        </w:rPr>
        <w:t>unit and identifies the date when the family moved out (to the best of the owner’s</w:t>
      </w:r>
      <w:r>
        <w:rPr>
          <w:spacing w:val="-10"/>
          <w:sz w:val="24"/>
        </w:rPr>
        <w:t xml:space="preserve"> </w:t>
      </w:r>
      <w:r>
        <w:rPr>
          <w:sz w:val="24"/>
        </w:rPr>
        <w:t>knowledge);</w:t>
      </w:r>
    </w:p>
    <w:p w:rsidR="004E13A5" w:rsidRDefault="00681463">
      <w:pPr>
        <w:pStyle w:val="ListParagraph"/>
        <w:numPr>
          <w:ilvl w:val="0"/>
          <w:numId w:val="93"/>
        </w:numPr>
        <w:tabs>
          <w:tab w:val="left" w:pos="460"/>
          <w:tab w:val="left" w:pos="461"/>
        </w:tabs>
        <w:ind w:right="392"/>
        <w:rPr>
          <w:rFonts w:ascii="Symbol"/>
          <w:sz w:val="24"/>
        </w:rPr>
      </w:pPr>
      <w:r>
        <w:rPr>
          <w:sz w:val="24"/>
        </w:rPr>
        <w:t>The owner certifies that the vacancy is not the fault of the owner and that the unit was</w:t>
      </w:r>
      <w:r>
        <w:rPr>
          <w:spacing w:val="-15"/>
          <w:sz w:val="24"/>
        </w:rPr>
        <w:t xml:space="preserve"> </w:t>
      </w:r>
      <w:r>
        <w:rPr>
          <w:sz w:val="24"/>
        </w:rPr>
        <w:t>vacant during the period for which payment is</w:t>
      </w:r>
      <w:r>
        <w:rPr>
          <w:spacing w:val="-8"/>
          <w:sz w:val="24"/>
        </w:rPr>
        <w:t xml:space="preserve"> </w:t>
      </w:r>
      <w:r>
        <w:rPr>
          <w:sz w:val="24"/>
        </w:rPr>
        <w:t>claimed;</w:t>
      </w:r>
    </w:p>
    <w:p w:rsidR="004E13A5" w:rsidRDefault="004E13A5">
      <w:pPr>
        <w:rPr>
          <w:rFonts w:ascii="Symbol"/>
          <w:sz w:val="24"/>
        </w:rPr>
        <w:sectPr w:rsidR="004E13A5">
          <w:pgSz w:w="12240" w:h="15840"/>
          <w:pgMar w:top="1000" w:right="1240" w:bottom="1240" w:left="1220" w:header="0" w:footer="1058" w:gutter="0"/>
          <w:cols w:space="720"/>
        </w:sectPr>
      </w:pPr>
    </w:p>
    <w:p w:rsidR="004E13A5" w:rsidRDefault="00681463">
      <w:pPr>
        <w:pStyle w:val="ListParagraph"/>
        <w:numPr>
          <w:ilvl w:val="0"/>
          <w:numId w:val="93"/>
        </w:numPr>
        <w:tabs>
          <w:tab w:val="left" w:pos="460"/>
          <w:tab w:val="left" w:pos="461"/>
        </w:tabs>
        <w:spacing w:before="78"/>
        <w:ind w:right="566"/>
        <w:rPr>
          <w:rFonts w:ascii="Symbol"/>
          <w:sz w:val="24"/>
        </w:rPr>
      </w:pPr>
      <w:r>
        <w:rPr>
          <w:sz w:val="24"/>
        </w:rPr>
        <w:lastRenderedPageBreak/>
        <w:t>The owner certifies that it has taken every reasonable action to minimize the likelihood and length of vacancy;</w:t>
      </w:r>
      <w:r>
        <w:rPr>
          <w:spacing w:val="-5"/>
          <w:sz w:val="24"/>
        </w:rPr>
        <w:t xml:space="preserve"> </w:t>
      </w:r>
      <w:r>
        <w:rPr>
          <w:sz w:val="24"/>
        </w:rPr>
        <w:t>and</w:t>
      </w:r>
    </w:p>
    <w:p w:rsidR="004E13A5" w:rsidRDefault="00681463">
      <w:pPr>
        <w:pStyle w:val="ListParagraph"/>
        <w:numPr>
          <w:ilvl w:val="0"/>
          <w:numId w:val="93"/>
        </w:numPr>
        <w:tabs>
          <w:tab w:val="left" w:pos="460"/>
          <w:tab w:val="left" w:pos="461"/>
        </w:tabs>
        <w:ind w:right="479"/>
        <w:rPr>
          <w:rFonts w:ascii="Symbol"/>
          <w:sz w:val="24"/>
        </w:rPr>
      </w:pPr>
      <w:r>
        <w:rPr>
          <w:sz w:val="24"/>
        </w:rPr>
        <w:t>The owner provides any additional information required and requested by the PHA to verify that the owner is entitled to the vacancy</w:t>
      </w:r>
      <w:r>
        <w:rPr>
          <w:spacing w:val="-9"/>
          <w:sz w:val="24"/>
        </w:rPr>
        <w:t xml:space="preserve"> </w:t>
      </w:r>
      <w:r>
        <w:rPr>
          <w:sz w:val="24"/>
        </w:rPr>
        <w:t>payment.</w:t>
      </w:r>
    </w:p>
    <w:p w:rsidR="004E13A5" w:rsidRDefault="00681463">
      <w:pPr>
        <w:pStyle w:val="BodyText"/>
        <w:ind w:right="515"/>
        <w:jc w:val="both"/>
      </w:pPr>
      <w:r>
        <w:t>The owner must submit a request for vacancy payments in the form and manner required by the PHA and must provide any information or substantiation required by the PHA to determine the amount of any vacancy payment.</w:t>
      </w:r>
    </w:p>
    <w:p w:rsidR="004E13A5" w:rsidRDefault="00681463">
      <w:pPr>
        <w:pStyle w:val="BodyText"/>
        <w:ind w:left="820"/>
      </w:pPr>
      <w:r>
        <w:rPr>
          <w:u w:val="single"/>
        </w:rPr>
        <w:t>PHA Policy</w:t>
      </w:r>
    </w:p>
    <w:p w:rsidR="004E13A5" w:rsidRDefault="00681463">
      <w:pPr>
        <w:pStyle w:val="BodyText"/>
        <w:ind w:left="820" w:right="110"/>
      </w:pPr>
      <w:r>
        <w:t>If an owner’s HAP contract calls for vacancy payments to be made, and the owner wishes</w:t>
      </w:r>
      <w:r>
        <w:rPr>
          <w:spacing w:val="-16"/>
        </w:rPr>
        <w:t xml:space="preserve"> </w:t>
      </w:r>
      <w:r>
        <w:t>to receive vacancy payments, the owner must have properly notified the PHA of the vacancy in accordance with the policy in Section 17-VI.F. regarding filling</w:t>
      </w:r>
      <w:r>
        <w:rPr>
          <w:spacing w:val="-17"/>
        </w:rPr>
        <w:t xml:space="preserve"> </w:t>
      </w:r>
      <w:r>
        <w:t>vacancies.</w:t>
      </w:r>
    </w:p>
    <w:p w:rsidR="004E13A5" w:rsidRDefault="00681463">
      <w:pPr>
        <w:pStyle w:val="BodyText"/>
        <w:ind w:left="820" w:right="183"/>
      </w:pPr>
      <w:r>
        <w:t>In order for a vacancy payment request to be considered, it must be made within 10 business days of the end of the period for which the owner is requesting the vacancy payment. The request must include the required owner certifications and the PHA may require the owner to provide documentation to support the request. If the owner does not provide the information requested by the PHA within 10 business days of the PHA’s request, no vacancy payments will be made.</w:t>
      </w:r>
    </w:p>
    <w:p w:rsidR="004E13A5" w:rsidRDefault="004E13A5">
      <w:pPr>
        <w:pStyle w:val="BodyText"/>
        <w:spacing w:before="9"/>
        <w:ind w:left="0"/>
        <w:rPr>
          <w:sz w:val="20"/>
        </w:rPr>
      </w:pPr>
    </w:p>
    <w:p w:rsidR="004E13A5" w:rsidRDefault="00681463">
      <w:pPr>
        <w:pStyle w:val="Heading4"/>
      </w:pPr>
      <w:bookmarkStart w:id="409" w:name="_TOC_250022"/>
      <w:bookmarkEnd w:id="409"/>
      <w:r>
        <w:t>17-IX.C. TENANT RENT TO OWNER [24 CFR 983.353]</w:t>
      </w:r>
    </w:p>
    <w:p w:rsidR="004E13A5" w:rsidRDefault="00681463">
      <w:pPr>
        <w:pStyle w:val="BodyText"/>
        <w:ind w:right="183"/>
      </w:pPr>
      <w:r>
        <w:t>The tenant rent is the portion of the rent to owner paid by the family. The amount of tenant rent is determined by the PHA in accordance with HUD requirements. Any changes in the amount of tenant rent will be effective on the date stated in the PHA notice to the family and owner.</w:t>
      </w:r>
    </w:p>
    <w:p w:rsidR="004E13A5" w:rsidRDefault="00681463">
      <w:pPr>
        <w:pStyle w:val="BodyText"/>
        <w:ind w:right="410"/>
      </w:pPr>
      <w:r>
        <w:t>The family is responsible for paying the tenant rent (total tenant payment minus the utility allowance). The amount of the tenant rent determined by the PHA is the maximum amount the owner may charge the family for rental of a contract unit. The tenant rent covers all housing services, maintenance, equipment, and utilities to be provided by the owner. The owner may not demand or accept any rent payment from the tenant in excess of the tenant rent as determined by the PHA. The owner must immediately return any excess payment to the tenant.</w:t>
      </w:r>
    </w:p>
    <w:p w:rsidR="004E13A5" w:rsidRDefault="00681463">
      <w:pPr>
        <w:pStyle w:val="Heading4"/>
        <w:spacing w:before="119"/>
      </w:pPr>
      <w:bookmarkStart w:id="410" w:name="_TOC_250021"/>
      <w:bookmarkEnd w:id="410"/>
      <w:r>
        <w:t>Tenant and PHA Responsibilities</w:t>
      </w:r>
    </w:p>
    <w:p w:rsidR="004E13A5" w:rsidRDefault="00681463">
      <w:pPr>
        <w:pStyle w:val="BodyText"/>
        <w:ind w:right="901"/>
      </w:pPr>
      <w:r>
        <w:t>The family is not responsible for the portion of rent to owner that is covered by the housing assistance payment and the owner may not terminate the tenancy of an assisted family for nonpayment by the PHA.</w:t>
      </w:r>
    </w:p>
    <w:p w:rsidR="004E13A5" w:rsidRDefault="00681463">
      <w:pPr>
        <w:pStyle w:val="BodyText"/>
        <w:ind w:right="100"/>
      </w:pPr>
      <w:r>
        <w:t>Likewise, the PHA is responsible only for making the housing assistance payment to the owner in accordance with the HAP contract. The PHA is not responsible for paying tenant rent, or any other claim by the owner, including damage to the unit. The PHA may not use housing assistance payments or other program funds (including administrative fee reserves) to pay any part of the tenant rent or other claim by the owner.</w:t>
      </w:r>
    </w:p>
    <w:p w:rsidR="004E13A5" w:rsidRDefault="00681463">
      <w:pPr>
        <w:pStyle w:val="Heading4"/>
        <w:spacing w:before="119"/>
      </w:pPr>
      <w:bookmarkStart w:id="411" w:name="_TOC_250020"/>
      <w:bookmarkEnd w:id="411"/>
      <w:r>
        <w:t>Utility Reimbursements</w:t>
      </w:r>
    </w:p>
    <w:p w:rsidR="004E13A5" w:rsidRDefault="00681463">
      <w:pPr>
        <w:pStyle w:val="BodyText"/>
        <w:ind w:right="183"/>
      </w:pPr>
      <w:r>
        <w:t>If the amount of the utility allowance exceeds the total tenant payment, the PHA must pay the amount of such excess to the tenant as a reimbursement for tenant-paid utilities, and the tenant rent to the owner must be zero.</w:t>
      </w:r>
    </w:p>
    <w:p w:rsidR="004E13A5" w:rsidRDefault="004E13A5">
      <w:pPr>
        <w:sectPr w:rsidR="004E13A5">
          <w:pgSz w:w="12240" w:h="15840"/>
          <w:pgMar w:top="1000" w:right="1220" w:bottom="1240" w:left="1220" w:header="0" w:footer="1058" w:gutter="0"/>
          <w:cols w:space="720"/>
        </w:sectPr>
      </w:pPr>
    </w:p>
    <w:p w:rsidR="004E13A5" w:rsidRDefault="00681463">
      <w:pPr>
        <w:pStyle w:val="BodyText"/>
        <w:spacing w:before="79"/>
        <w:ind w:right="268"/>
      </w:pPr>
      <w:r>
        <w:lastRenderedPageBreak/>
        <w:t>The PHA may pay the utility reimbursement directly to the family or to the utility supplier on behalf of the family. If the PHA chooses to pay the utility supplier directly, the PHA must notify the family of the amount paid to the utility supplier.</w:t>
      </w:r>
    </w:p>
    <w:p w:rsidR="004E13A5" w:rsidRDefault="00681463">
      <w:pPr>
        <w:pStyle w:val="BodyText"/>
        <w:spacing w:before="120"/>
        <w:ind w:left="820"/>
      </w:pPr>
      <w:r>
        <w:rPr>
          <w:u w:val="single"/>
        </w:rPr>
        <w:t>PHA Policy</w:t>
      </w:r>
    </w:p>
    <w:p w:rsidR="004E13A5" w:rsidRDefault="00681463">
      <w:pPr>
        <w:pStyle w:val="BodyText"/>
        <w:spacing w:before="120"/>
        <w:ind w:left="820"/>
      </w:pPr>
      <w:r>
        <w:t>The PHA will make utility reimbursements to the family.</w:t>
      </w:r>
    </w:p>
    <w:p w:rsidR="004E13A5" w:rsidRDefault="004E13A5">
      <w:pPr>
        <w:pStyle w:val="BodyText"/>
        <w:spacing w:before="9"/>
        <w:ind w:left="0"/>
        <w:rPr>
          <w:sz w:val="20"/>
        </w:rPr>
      </w:pPr>
    </w:p>
    <w:p w:rsidR="004E13A5" w:rsidRDefault="00681463">
      <w:pPr>
        <w:pStyle w:val="Heading4"/>
        <w:spacing w:before="1"/>
      </w:pPr>
      <w:bookmarkStart w:id="412" w:name="_TOC_250019"/>
      <w:bookmarkEnd w:id="412"/>
      <w:r>
        <w:t>17-IX.D. OTHER FEES AND CHARGES [24 CFR 983.354]</w:t>
      </w:r>
    </w:p>
    <w:p w:rsidR="004E13A5" w:rsidRDefault="00681463">
      <w:pPr>
        <w:pStyle w:val="Heading4"/>
        <w:spacing w:before="120"/>
      </w:pPr>
      <w:bookmarkStart w:id="413" w:name="_TOC_250018"/>
      <w:bookmarkEnd w:id="413"/>
      <w:r>
        <w:t>Meals and Supportive Services</w:t>
      </w:r>
    </w:p>
    <w:p w:rsidR="004E13A5" w:rsidRDefault="00681463">
      <w:pPr>
        <w:pStyle w:val="BodyText"/>
        <w:spacing w:before="120"/>
        <w:ind w:right="188"/>
      </w:pPr>
      <w:r>
        <w:t>With the exception of PBV assistance in assisted living developments, the owner may not require the tenant to pay charges for meals or supportive services. Non-payment of such charges is not grounds for termination of tenancy.</w:t>
      </w:r>
    </w:p>
    <w:p w:rsidR="004E13A5" w:rsidRDefault="00681463">
      <w:pPr>
        <w:pStyle w:val="BodyText"/>
        <w:spacing w:before="120"/>
        <w:ind w:right="90"/>
      </w:pPr>
      <w:r>
        <w:t>In assisted living developments receiving PBV assistance, the owner may charge for meals or supportive services. These charges may not be included in the rent to owner, nor may the value of meals and supportive services be included in the calculation of the reasonable rent. However, non- payment of such charges is grounds for termination of the lease by the owner in an assisted living development.</w:t>
      </w:r>
    </w:p>
    <w:p w:rsidR="004E13A5" w:rsidRDefault="00681463">
      <w:pPr>
        <w:pStyle w:val="Heading4"/>
        <w:spacing w:before="120"/>
      </w:pPr>
      <w:bookmarkStart w:id="414" w:name="_TOC_250017"/>
      <w:bookmarkEnd w:id="414"/>
      <w:r>
        <w:t>Other Charges by Owner</w:t>
      </w:r>
    </w:p>
    <w:p w:rsidR="004E13A5" w:rsidRDefault="00681463">
      <w:pPr>
        <w:pStyle w:val="BodyText"/>
        <w:spacing w:before="120"/>
      </w:pPr>
      <w:r>
        <w:t>The owner may not charge extra amounts for items customarily included in rent in the locality or provided at no additional cost to unsubsidized tenants in the premises.</w:t>
      </w:r>
    </w:p>
    <w:p w:rsidR="004E13A5" w:rsidRDefault="004E13A5">
      <w:pPr>
        <w:sectPr w:rsidR="004E13A5">
          <w:pgSz w:w="12240" w:h="15840"/>
          <w:pgMar w:top="1000" w:right="1360" w:bottom="1240" w:left="1220" w:header="0" w:footer="1058" w:gutter="0"/>
          <w:cols w:space="720"/>
        </w:sectPr>
      </w:pPr>
    </w:p>
    <w:p w:rsidR="004E13A5" w:rsidRDefault="00681463">
      <w:pPr>
        <w:ind w:left="102"/>
        <w:rPr>
          <w:sz w:val="20"/>
        </w:rPr>
      </w:pPr>
      <w:r>
        <w:rPr>
          <w:spacing w:val="-49"/>
          <w:sz w:val="20"/>
        </w:rPr>
        <w:lastRenderedPageBreak/>
        <w:t xml:space="preserve"> </w:t>
      </w:r>
      <w:r w:rsidR="003263D1">
        <w:rPr>
          <w:noProof/>
          <w:spacing w:val="-49"/>
          <w:sz w:val="20"/>
        </w:rPr>
        <mc:AlternateContent>
          <mc:Choice Requires="wps">
            <w:drawing>
              <wp:inline distT="0" distB="0" distL="0" distR="0">
                <wp:extent cx="6240780" cy="459105"/>
                <wp:effectExtent l="9525" t="9525" r="7620" b="7620"/>
                <wp:docPr id="3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305" w:right="306"/>
                              <w:jc w:val="center"/>
                              <w:rPr>
                                <w:b/>
                                <w:sz w:val="24"/>
                              </w:rPr>
                            </w:pPr>
                            <w:bookmarkStart w:id="415" w:name="_TOC_250016"/>
                            <w:bookmarkEnd w:id="415"/>
                            <w:r>
                              <w:rPr>
                                <w:b/>
                                <w:sz w:val="24"/>
                              </w:rPr>
                              <w:t>EXHIBIT 17-1: PBV DEVELOPMENT INFORMATION</w:t>
                            </w:r>
                          </w:p>
                          <w:p w:rsidR="00BA59C9" w:rsidRDefault="00BA59C9">
                            <w:pPr>
                              <w:pStyle w:val="BodyText"/>
                              <w:spacing w:before="120"/>
                              <w:ind w:left="305" w:right="306"/>
                              <w:jc w:val="center"/>
                            </w:pPr>
                            <w:r>
                              <w:t>(Fill out one for each development)</w:t>
                            </w:r>
                          </w:p>
                        </w:txbxContent>
                      </wps:txbx>
                      <wps:bodyPr rot="0" vert="horz" wrap="square" lIns="0" tIns="0" rIns="0" bIns="0" anchor="t" anchorCtr="0" upright="1">
                        <a:noAutofit/>
                      </wps:bodyPr>
                    </wps:wsp>
                  </a:graphicData>
                </a:graphic>
              </wp:inline>
            </w:drawing>
          </mc:Choice>
          <mc:Fallback>
            <w:pict>
              <v:shape id="Text Box 86" o:spid="_x0000_s1049" type="#_x0000_t202" style="width:491.4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YUfgIAAAk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" filled="f" strokeweight=".48pt">
                <v:textbox inset="0,0,0,0">
                  <w:txbxContent>
                    <w:p w:rsidR="00BA59C9" w:rsidRDefault="00BA59C9">
                      <w:pPr>
                        <w:spacing w:before="18"/>
                        <w:ind w:left="305" w:right="306"/>
                        <w:jc w:val="center"/>
                        <w:rPr>
                          <w:b/>
                          <w:sz w:val="24"/>
                        </w:rPr>
                      </w:pPr>
                      <w:bookmarkStart w:id="416" w:name="_TOC_250016"/>
                      <w:bookmarkEnd w:id="416"/>
                      <w:r>
                        <w:rPr>
                          <w:b/>
                          <w:sz w:val="24"/>
                        </w:rPr>
                        <w:t>EXHIBIT 17-1: PBV DEVELOPMENT INFORMATION</w:t>
                      </w:r>
                    </w:p>
                    <w:p w:rsidR="00BA59C9" w:rsidRDefault="00BA59C9">
                      <w:pPr>
                        <w:pStyle w:val="BodyText"/>
                        <w:spacing w:before="120"/>
                        <w:ind w:left="305" w:right="306"/>
                        <w:jc w:val="center"/>
                      </w:pPr>
                      <w:r>
                        <w:t>(Fill out one for each development)</w:t>
                      </w:r>
                    </w:p>
                  </w:txbxContent>
                </v:textbox>
                <w10:anchorlock/>
              </v:shape>
            </w:pict>
          </mc:Fallback>
        </mc:AlternateContent>
      </w:r>
    </w:p>
    <w:p w:rsidR="004E13A5" w:rsidRDefault="00681463">
      <w:pPr>
        <w:pStyle w:val="BodyText"/>
        <w:spacing w:before="91"/>
        <w:ind w:left="220"/>
      </w:pPr>
      <w:r>
        <w:rPr>
          <w:b/>
        </w:rPr>
        <w:t xml:space="preserve">Date: </w:t>
      </w:r>
      <w:r>
        <w:t>[Enter the date on which this form was completed]</w:t>
      </w:r>
    </w:p>
    <w:p w:rsidR="004E13A5" w:rsidRDefault="004E13A5">
      <w:pPr>
        <w:pStyle w:val="BodyText"/>
        <w:spacing w:before="9"/>
        <w:ind w:left="0"/>
        <w:rPr>
          <w:sz w:val="20"/>
        </w:rPr>
      </w:pPr>
    </w:p>
    <w:p w:rsidR="004E13A5" w:rsidRDefault="00681463">
      <w:pPr>
        <w:pStyle w:val="Heading4"/>
        <w:spacing w:before="1"/>
        <w:ind w:left="647" w:right="647"/>
        <w:jc w:val="center"/>
      </w:pPr>
      <w:r>
        <w:t>DEVELOPMENT INFORMATION</w:t>
      </w:r>
    </w:p>
    <w:p w:rsidR="004E13A5" w:rsidRDefault="00681463">
      <w:pPr>
        <w:spacing w:before="120"/>
        <w:ind w:left="220"/>
        <w:rPr>
          <w:sz w:val="24"/>
        </w:rPr>
      </w:pPr>
      <w:r>
        <w:rPr>
          <w:b/>
          <w:sz w:val="24"/>
        </w:rPr>
        <w:t xml:space="preserve">Development Name: </w:t>
      </w:r>
      <w:r>
        <w:rPr>
          <w:sz w:val="24"/>
        </w:rPr>
        <w:t>[Insert name of PBV development]</w:t>
      </w:r>
    </w:p>
    <w:p w:rsidR="004E13A5" w:rsidRDefault="00681463">
      <w:pPr>
        <w:pStyle w:val="BodyText"/>
        <w:spacing w:before="120"/>
        <w:ind w:left="220"/>
      </w:pPr>
      <w:r>
        <w:rPr>
          <w:b/>
        </w:rPr>
        <w:t xml:space="preserve">Address: </w:t>
      </w:r>
      <w:r>
        <w:t>[Insert full address of PBV development]</w:t>
      </w:r>
    </w:p>
    <w:p w:rsidR="004E13A5" w:rsidRDefault="00681463">
      <w:pPr>
        <w:pStyle w:val="BodyText"/>
        <w:spacing w:before="120"/>
        <w:ind w:left="220" w:right="260"/>
      </w:pPr>
      <w:r>
        <w:rPr>
          <w:b/>
        </w:rPr>
        <w:t xml:space="preserve">Owner Information: </w:t>
      </w:r>
      <w:r>
        <w:t>[Insert PBV development owner name and contact information. If development is PHA-owned, enter “PHA-owned.”]</w:t>
      </w:r>
    </w:p>
    <w:p w:rsidR="004E13A5" w:rsidRDefault="00681463">
      <w:pPr>
        <w:spacing w:before="120"/>
        <w:ind w:left="220"/>
        <w:rPr>
          <w:sz w:val="24"/>
        </w:rPr>
      </w:pPr>
      <w:r>
        <w:rPr>
          <w:b/>
          <w:sz w:val="24"/>
        </w:rPr>
        <w:t xml:space="preserve">Property Management Company: </w:t>
      </w:r>
      <w:r>
        <w:rPr>
          <w:sz w:val="24"/>
        </w:rPr>
        <w:t>[Insert property management company name and contact information, or enter “None”]</w:t>
      </w:r>
    </w:p>
    <w:p w:rsidR="004E13A5" w:rsidRDefault="00681463">
      <w:pPr>
        <w:pStyle w:val="BodyText"/>
        <w:spacing w:before="120"/>
        <w:ind w:left="220"/>
      </w:pPr>
      <w:r>
        <w:rPr>
          <w:b/>
        </w:rPr>
        <w:t xml:space="preserve">PHA-Owned: </w:t>
      </w:r>
      <w:r>
        <w:t>[Enter “Yes” or “No.” If yes, enter name of independent entity]</w:t>
      </w:r>
    </w:p>
    <w:p w:rsidR="004E13A5" w:rsidRDefault="00681463">
      <w:pPr>
        <w:pStyle w:val="BodyText"/>
        <w:ind w:left="220" w:right="982"/>
      </w:pPr>
      <w:r>
        <w:rPr>
          <w:b/>
        </w:rPr>
        <w:t xml:space="preserve">Mixed Finance Development: </w:t>
      </w:r>
      <w:r>
        <w:t>[Enter “Yes” or “No.” If yes, list other types of funding i.e., LIHTC, HOME, etc and units to which other funding applies.]</w:t>
      </w:r>
    </w:p>
    <w:p w:rsidR="004E13A5" w:rsidRDefault="004E13A5">
      <w:pPr>
        <w:pStyle w:val="BodyText"/>
        <w:spacing w:before="9"/>
        <w:ind w:left="0"/>
        <w:rPr>
          <w:sz w:val="20"/>
        </w:rPr>
      </w:pPr>
    </w:p>
    <w:p w:rsidR="004E13A5" w:rsidRDefault="00681463">
      <w:pPr>
        <w:pStyle w:val="Heading4"/>
        <w:ind w:left="647" w:right="646"/>
        <w:jc w:val="center"/>
      </w:pPr>
      <w:r>
        <w:t>HAP CONTRACT</w:t>
      </w:r>
    </w:p>
    <w:p w:rsidR="004E13A5" w:rsidRDefault="00681463">
      <w:pPr>
        <w:spacing w:before="119"/>
        <w:ind w:left="220"/>
        <w:rPr>
          <w:sz w:val="24"/>
        </w:rPr>
      </w:pPr>
      <w:r>
        <w:rPr>
          <w:b/>
          <w:sz w:val="24"/>
        </w:rPr>
        <w:t xml:space="preserve">Effective Date of Contract: </w:t>
      </w:r>
      <w:r>
        <w:rPr>
          <w:sz w:val="24"/>
        </w:rPr>
        <w:t>[Enter start date of HAP contract]</w:t>
      </w:r>
    </w:p>
    <w:p w:rsidR="004E13A5" w:rsidRDefault="00681463">
      <w:pPr>
        <w:pStyle w:val="BodyText"/>
        <w:ind w:left="220" w:right="1088"/>
      </w:pPr>
      <w:r>
        <w:rPr>
          <w:b/>
        </w:rPr>
        <w:t xml:space="preserve">HOTMA Requirements: </w:t>
      </w:r>
      <w:r>
        <w:t>[If HAP contract was signed prior to April 18, 2017, enter “Pre- HOTMA.” If HAP contract was signed on or after April 18, 2017, enter “Post-HOTMA.”]</w:t>
      </w:r>
    </w:p>
    <w:p w:rsidR="004E13A5" w:rsidRDefault="00681463">
      <w:pPr>
        <w:spacing w:before="119"/>
        <w:ind w:left="220"/>
        <w:rPr>
          <w:sz w:val="24"/>
        </w:rPr>
      </w:pPr>
      <w:r>
        <w:rPr>
          <w:b/>
          <w:sz w:val="24"/>
        </w:rPr>
        <w:t xml:space="preserve">Term of HAP Contract: </w:t>
      </w:r>
      <w:r>
        <w:rPr>
          <w:sz w:val="24"/>
        </w:rPr>
        <w:t>[Enter term from HAP contract]</w:t>
      </w:r>
    </w:p>
    <w:p w:rsidR="004E13A5" w:rsidRDefault="00681463">
      <w:pPr>
        <w:spacing w:before="119"/>
        <w:ind w:left="220"/>
        <w:rPr>
          <w:sz w:val="24"/>
        </w:rPr>
      </w:pPr>
      <w:r>
        <w:rPr>
          <w:b/>
          <w:sz w:val="24"/>
        </w:rPr>
        <w:t xml:space="preserve">Expiration Date of Contract: </w:t>
      </w:r>
      <w:r>
        <w:rPr>
          <w:sz w:val="24"/>
        </w:rPr>
        <w:t>[Enter expiration date from HAP contract]</w:t>
      </w:r>
    </w:p>
    <w:p w:rsidR="004E13A5" w:rsidRDefault="004E13A5">
      <w:pPr>
        <w:pStyle w:val="BodyText"/>
        <w:spacing w:before="9"/>
        <w:ind w:left="0"/>
        <w:rPr>
          <w:sz w:val="20"/>
        </w:rPr>
      </w:pPr>
    </w:p>
    <w:p w:rsidR="004E13A5" w:rsidRDefault="00681463">
      <w:pPr>
        <w:pStyle w:val="Heading4"/>
        <w:ind w:left="647" w:right="649"/>
        <w:jc w:val="center"/>
      </w:pPr>
      <w:r>
        <w:t>PBV UNITS</w:t>
      </w:r>
    </w:p>
    <w:p w:rsidR="004E13A5" w:rsidRDefault="004E13A5">
      <w:pPr>
        <w:pStyle w:val="BodyText"/>
        <w:spacing w:before="10"/>
        <w:ind w:left="0"/>
        <w:rPr>
          <w:b/>
          <w:sz w:val="20"/>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02"/>
        <w:gridCol w:w="1105"/>
        <w:gridCol w:w="1102"/>
        <w:gridCol w:w="1104"/>
        <w:gridCol w:w="1104"/>
        <w:gridCol w:w="1102"/>
        <w:gridCol w:w="1358"/>
      </w:tblGrid>
      <w:tr w:rsidR="004E13A5">
        <w:trPr>
          <w:trHeight w:hRule="exact" w:val="346"/>
        </w:trPr>
        <w:tc>
          <w:tcPr>
            <w:tcW w:w="1135" w:type="dxa"/>
          </w:tcPr>
          <w:p w:rsidR="004E13A5" w:rsidRDefault="004E13A5"/>
        </w:tc>
        <w:tc>
          <w:tcPr>
            <w:tcW w:w="1102" w:type="dxa"/>
          </w:tcPr>
          <w:p w:rsidR="004E13A5" w:rsidRDefault="00681463">
            <w:pPr>
              <w:pStyle w:val="TableParagraph"/>
              <w:spacing w:before="59"/>
              <w:ind w:left="287"/>
              <w:rPr>
                <w:b/>
                <w:sz w:val="24"/>
              </w:rPr>
            </w:pPr>
            <w:r>
              <w:rPr>
                <w:b/>
                <w:sz w:val="24"/>
              </w:rPr>
              <w:t>0 BR</w:t>
            </w:r>
          </w:p>
        </w:tc>
        <w:tc>
          <w:tcPr>
            <w:tcW w:w="1105" w:type="dxa"/>
          </w:tcPr>
          <w:p w:rsidR="004E13A5" w:rsidRDefault="00681463">
            <w:pPr>
              <w:pStyle w:val="TableParagraph"/>
              <w:spacing w:before="59"/>
              <w:ind w:left="290"/>
              <w:rPr>
                <w:b/>
                <w:sz w:val="24"/>
              </w:rPr>
            </w:pPr>
            <w:r>
              <w:rPr>
                <w:b/>
                <w:sz w:val="24"/>
              </w:rPr>
              <w:t>1 BR</w:t>
            </w:r>
          </w:p>
        </w:tc>
        <w:tc>
          <w:tcPr>
            <w:tcW w:w="1102" w:type="dxa"/>
          </w:tcPr>
          <w:p w:rsidR="004E13A5" w:rsidRDefault="00681463">
            <w:pPr>
              <w:pStyle w:val="TableParagraph"/>
              <w:spacing w:before="59"/>
              <w:ind w:left="290"/>
              <w:rPr>
                <w:b/>
                <w:sz w:val="24"/>
              </w:rPr>
            </w:pPr>
            <w:r>
              <w:rPr>
                <w:b/>
                <w:sz w:val="24"/>
              </w:rPr>
              <w:t>2 BR</w:t>
            </w:r>
          </w:p>
        </w:tc>
        <w:tc>
          <w:tcPr>
            <w:tcW w:w="1104" w:type="dxa"/>
          </w:tcPr>
          <w:p w:rsidR="004E13A5" w:rsidRDefault="00681463">
            <w:pPr>
              <w:pStyle w:val="TableParagraph"/>
              <w:spacing w:before="59"/>
              <w:ind w:left="290"/>
              <w:rPr>
                <w:b/>
                <w:sz w:val="24"/>
              </w:rPr>
            </w:pPr>
            <w:r>
              <w:rPr>
                <w:b/>
                <w:sz w:val="24"/>
              </w:rPr>
              <w:t>3 BR</w:t>
            </w:r>
          </w:p>
        </w:tc>
        <w:tc>
          <w:tcPr>
            <w:tcW w:w="1104" w:type="dxa"/>
          </w:tcPr>
          <w:p w:rsidR="004E13A5" w:rsidRDefault="00681463">
            <w:pPr>
              <w:pStyle w:val="TableParagraph"/>
              <w:spacing w:before="59"/>
              <w:ind w:left="290"/>
              <w:rPr>
                <w:b/>
                <w:sz w:val="24"/>
              </w:rPr>
            </w:pPr>
            <w:r>
              <w:rPr>
                <w:b/>
                <w:sz w:val="24"/>
              </w:rPr>
              <w:t>4 BR</w:t>
            </w:r>
          </w:p>
        </w:tc>
        <w:tc>
          <w:tcPr>
            <w:tcW w:w="1102" w:type="dxa"/>
          </w:tcPr>
          <w:p w:rsidR="004E13A5" w:rsidRDefault="00681463">
            <w:pPr>
              <w:pStyle w:val="TableParagraph"/>
              <w:spacing w:before="59"/>
              <w:ind w:left="288"/>
              <w:rPr>
                <w:b/>
                <w:sz w:val="24"/>
              </w:rPr>
            </w:pPr>
            <w:r>
              <w:rPr>
                <w:b/>
                <w:sz w:val="24"/>
              </w:rPr>
              <w:t>5 BR</w:t>
            </w:r>
          </w:p>
        </w:tc>
        <w:tc>
          <w:tcPr>
            <w:tcW w:w="1358" w:type="dxa"/>
          </w:tcPr>
          <w:p w:rsidR="004E13A5" w:rsidRDefault="00681463">
            <w:pPr>
              <w:pStyle w:val="TableParagraph"/>
              <w:spacing w:before="59"/>
              <w:ind w:left="400"/>
              <w:rPr>
                <w:b/>
                <w:sz w:val="24"/>
              </w:rPr>
            </w:pPr>
            <w:r>
              <w:rPr>
                <w:b/>
                <w:sz w:val="24"/>
              </w:rPr>
              <w:t>Total</w:t>
            </w:r>
          </w:p>
        </w:tc>
      </w:tr>
      <w:tr w:rsidR="004E13A5">
        <w:trPr>
          <w:trHeight w:hRule="exact" w:val="622"/>
        </w:trPr>
        <w:tc>
          <w:tcPr>
            <w:tcW w:w="1135" w:type="dxa"/>
          </w:tcPr>
          <w:p w:rsidR="004E13A5" w:rsidRDefault="00681463">
            <w:pPr>
              <w:pStyle w:val="TableParagraph"/>
              <w:spacing w:before="59"/>
              <w:ind w:left="287" w:right="271" w:firstLine="84"/>
              <w:rPr>
                <w:b/>
                <w:sz w:val="24"/>
              </w:rPr>
            </w:pPr>
            <w:r>
              <w:rPr>
                <w:b/>
                <w:sz w:val="24"/>
              </w:rPr>
              <w:t># of Units</w:t>
            </w:r>
          </w:p>
        </w:tc>
        <w:tc>
          <w:tcPr>
            <w:tcW w:w="1102" w:type="dxa"/>
          </w:tcPr>
          <w:p w:rsidR="004E13A5" w:rsidRDefault="004E13A5"/>
        </w:tc>
        <w:tc>
          <w:tcPr>
            <w:tcW w:w="1105" w:type="dxa"/>
          </w:tcPr>
          <w:p w:rsidR="004E13A5" w:rsidRDefault="004E13A5"/>
        </w:tc>
        <w:tc>
          <w:tcPr>
            <w:tcW w:w="1102" w:type="dxa"/>
          </w:tcPr>
          <w:p w:rsidR="004E13A5" w:rsidRDefault="004E13A5"/>
        </w:tc>
        <w:tc>
          <w:tcPr>
            <w:tcW w:w="1104" w:type="dxa"/>
          </w:tcPr>
          <w:p w:rsidR="004E13A5" w:rsidRDefault="004E13A5"/>
        </w:tc>
        <w:tc>
          <w:tcPr>
            <w:tcW w:w="1104" w:type="dxa"/>
          </w:tcPr>
          <w:p w:rsidR="004E13A5" w:rsidRDefault="004E13A5"/>
        </w:tc>
        <w:tc>
          <w:tcPr>
            <w:tcW w:w="1102" w:type="dxa"/>
          </w:tcPr>
          <w:p w:rsidR="004E13A5" w:rsidRDefault="004E13A5"/>
        </w:tc>
        <w:tc>
          <w:tcPr>
            <w:tcW w:w="1358" w:type="dxa"/>
          </w:tcPr>
          <w:p w:rsidR="004E13A5" w:rsidRDefault="004E13A5"/>
        </w:tc>
      </w:tr>
      <w:tr w:rsidR="004E13A5">
        <w:trPr>
          <w:trHeight w:hRule="exact" w:val="898"/>
        </w:trPr>
        <w:tc>
          <w:tcPr>
            <w:tcW w:w="1135" w:type="dxa"/>
          </w:tcPr>
          <w:p w:rsidR="004E13A5" w:rsidRDefault="00681463">
            <w:pPr>
              <w:pStyle w:val="TableParagraph"/>
              <w:spacing w:before="59"/>
              <w:ind w:right="102" w:hanging="2"/>
              <w:jc w:val="center"/>
              <w:rPr>
                <w:b/>
                <w:sz w:val="24"/>
              </w:rPr>
            </w:pPr>
            <w:r>
              <w:rPr>
                <w:b/>
                <w:sz w:val="24"/>
              </w:rPr>
              <w:t>Initial Contract Rent</w:t>
            </w:r>
          </w:p>
        </w:tc>
        <w:tc>
          <w:tcPr>
            <w:tcW w:w="1102" w:type="dxa"/>
          </w:tcPr>
          <w:p w:rsidR="004E13A5" w:rsidRDefault="004E13A5">
            <w:pPr>
              <w:pStyle w:val="TableParagraph"/>
              <w:spacing w:before="4"/>
              <w:ind w:left="0"/>
              <w:rPr>
                <w:b/>
                <w:sz w:val="34"/>
              </w:rPr>
            </w:pPr>
          </w:p>
          <w:p w:rsidR="004E13A5" w:rsidRDefault="00681463">
            <w:pPr>
              <w:pStyle w:val="TableParagraph"/>
              <w:rPr>
                <w:sz w:val="24"/>
              </w:rPr>
            </w:pPr>
            <w:r>
              <w:rPr>
                <w:sz w:val="24"/>
              </w:rPr>
              <w:t>$</w:t>
            </w:r>
          </w:p>
        </w:tc>
        <w:tc>
          <w:tcPr>
            <w:tcW w:w="1105" w:type="dxa"/>
          </w:tcPr>
          <w:p w:rsidR="004E13A5" w:rsidRDefault="004E13A5">
            <w:pPr>
              <w:pStyle w:val="TableParagraph"/>
              <w:spacing w:before="4"/>
              <w:ind w:left="0"/>
              <w:rPr>
                <w:b/>
                <w:sz w:val="34"/>
              </w:rPr>
            </w:pPr>
          </w:p>
          <w:p w:rsidR="004E13A5" w:rsidRDefault="00681463">
            <w:pPr>
              <w:pStyle w:val="TableParagraph"/>
              <w:rPr>
                <w:sz w:val="24"/>
              </w:rPr>
            </w:pPr>
            <w:r>
              <w:rPr>
                <w:sz w:val="24"/>
              </w:rPr>
              <w:t>$</w:t>
            </w:r>
          </w:p>
        </w:tc>
        <w:tc>
          <w:tcPr>
            <w:tcW w:w="1102" w:type="dxa"/>
          </w:tcPr>
          <w:p w:rsidR="004E13A5" w:rsidRDefault="004E13A5">
            <w:pPr>
              <w:pStyle w:val="TableParagraph"/>
              <w:spacing w:before="4"/>
              <w:ind w:left="0"/>
              <w:rPr>
                <w:b/>
                <w:sz w:val="34"/>
              </w:rPr>
            </w:pPr>
          </w:p>
          <w:p w:rsidR="004E13A5" w:rsidRDefault="00681463">
            <w:pPr>
              <w:pStyle w:val="TableParagraph"/>
              <w:rPr>
                <w:sz w:val="24"/>
              </w:rPr>
            </w:pPr>
            <w:r>
              <w:rPr>
                <w:sz w:val="24"/>
              </w:rPr>
              <w:t>$</w:t>
            </w:r>
          </w:p>
        </w:tc>
        <w:tc>
          <w:tcPr>
            <w:tcW w:w="1104" w:type="dxa"/>
          </w:tcPr>
          <w:p w:rsidR="004E13A5" w:rsidRDefault="004E13A5">
            <w:pPr>
              <w:pStyle w:val="TableParagraph"/>
              <w:spacing w:before="4"/>
              <w:ind w:left="0"/>
              <w:rPr>
                <w:b/>
                <w:sz w:val="34"/>
              </w:rPr>
            </w:pPr>
          </w:p>
          <w:p w:rsidR="004E13A5" w:rsidRDefault="00681463">
            <w:pPr>
              <w:pStyle w:val="TableParagraph"/>
              <w:rPr>
                <w:sz w:val="24"/>
              </w:rPr>
            </w:pPr>
            <w:r>
              <w:rPr>
                <w:sz w:val="24"/>
              </w:rPr>
              <w:t>$</w:t>
            </w:r>
          </w:p>
        </w:tc>
        <w:tc>
          <w:tcPr>
            <w:tcW w:w="1104" w:type="dxa"/>
          </w:tcPr>
          <w:p w:rsidR="004E13A5" w:rsidRDefault="004E13A5">
            <w:pPr>
              <w:pStyle w:val="TableParagraph"/>
              <w:spacing w:before="4"/>
              <w:ind w:left="0"/>
              <w:rPr>
                <w:b/>
                <w:sz w:val="34"/>
              </w:rPr>
            </w:pPr>
          </w:p>
          <w:p w:rsidR="004E13A5" w:rsidRDefault="00681463">
            <w:pPr>
              <w:pStyle w:val="TableParagraph"/>
              <w:rPr>
                <w:sz w:val="24"/>
              </w:rPr>
            </w:pPr>
            <w:r>
              <w:rPr>
                <w:sz w:val="24"/>
              </w:rPr>
              <w:t>$</w:t>
            </w:r>
          </w:p>
        </w:tc>
        <w:tc>
          <w:tcPr>
            <w:tcW w:w="1102" w:type="dxa"/>
          </w:tcPr>
          <w:p w:rsidR="004E13A5" w:rsidRDefault="004E13A5">
            <w:pPr>
              <w:pStyle w:val="TableParagraph"/>
              <w:spacing w:before="4"/>
              <w:ind w:left="0"/>
              <w:rPr>
                <w:b/>
                <w:sz w:val="34"/>
              </w:rPr>
            </w:pPr>
          </w:p>
          <w:p w:rsidR="004E13A5" w:rsidRDefault="00681463">
            <w:pPr>
              <w:pStyle w:val="TableParagraph"/>
              <w:ind w:left="100"/>
              <w:rPr>
                <w:sz w:val="24"/>
              </w:rPr>
            </w:pPr>
            <w:r>
              <w:rPr>
                <w:sz w:val="24"/>
              </w:rPr>
              <w:t>$</w:t>
            </w:r>
          </w:p>
        </w:tc>
        <w:tc>
          <w:tcPr>
            <w:tcW w:w="1358" w:type="dxa"/>
            <w:shd w:val="clear" w:color="auto" w:fill="767070"/>
          </w:tcPr>
          <w:p w:rsidR="004E13A5" w:rsidRDefault="004E13A5"/>
        </w:tc>
      </w:tr>
    </w:tbl>
    <w:p w:rsidR="004E13A5" w:rsidRDefault="004E13A5">
      <w:pPr>
        <w:pStyle w:val="BodyText"/>
        <w:spacing w:before="9"/>
        <w:ind w:left="0"/>
        <w:rPr>
          <w:b/>
          <w:sz w:val="20"/>
        </w:rPr>
      </w:pPr>
    </w:p>
    <w:p w:rsidR="004E13A5" w:rsidRDefault="00681463">
      <w:pPr>
        <w:pStyle w:val="BodyText"/>
        <w:spacing w:before="0"/>
        <w:ind w:left="220" w:right="260"/>
      </w:pPr>
      <w:r>
        <w:rPr>
          <w:b/>
        </w:rPr>
        <w:t xml:space="preserve">Structure Type: </w:t>
      </w:r>
      <w:r>
        <w:t>[Identify the structure type, i.e. Single Family Detached, Duplex or Two Family, Row House or Town House, Low Rise (3,4 Stories, including Garden Apartment), Highrise (5 or more stories)</w:t>
      </w:r>
    </w:p>
    <w:p w:rsidR="004E13A5" w:rsidRDefault="00681463">
      <w:pPr>
        <w:pStyle w:val="BodyText"/>
        <w:spacing w:before="141"/>
        <w:ind w:left="220"/>
      </w:pPr>
      <w:r>
        <w:rPr>
          <w:b/>
        </w:rPr>
        <w:t xml:space="preserve">Housing Type: </w:t>
      </w:r>
      <w:r>
        <w:t>[Identify if the units are an Independent Group Residence or Single Room Occupancy]</w:t>
      </w:r>
    </w:p>
    <w:p w:rsidR="004E13A5" w:rsidRDefault="004E13A5">
      <w:pPr>
        <w:sectPr w:rsidR="004E13A5">
          <w:pgSz w:w="12240" w:h="15840"/>
          <w:pgMar w:top="1200" w:right="1100" w:bottom="1240" w:left="1100" w:header="0" w:footer="1058" w:gutter="0"/>
          <w:cols w:space="720"/>
        </w:sectPr>
      </w:pPr>
    </w:p>
    <w:p w:rsidR="004E13A5" w:rsidRDefault="00681463">
      <w:pPr>
        <w:pStyle w:val="Heading4"/>
        <w:spacing w:before="60"/>
        <w:ind w:left="2885" w:right="2623"/>
        <w:jc w:val="center"/>
      </w:pPr>
      <w:r>
        <w:lastRenderedPageBreak/>
        <w:t>UTILITY RESPONSIBILITY</w:t>
      </w:r>
    </w:p>
    <w:p w:rsidR="004E13A5" w:rsidRDefault="00681463">
      <w:pPr>
        <w:spacing w:before="139"/>
        <w:ind w:left="1972" w:right="1716"/>
        <w:jc w:val="center"/>
        <w:rPr>
          <w:b/>
          <w:sz w:val="24"/>
        </w:rPr>
      </w:pPr>
      <w:r>
        <w:rPr>
          <w:b/>
          <w:sz w:val="24"/>
        </w:rPr>
        <w:t>[Enter in Accordance with the HAP Exhibit C]</w:t>
      </w:r>
    </w:p>
    <w:p w:rsidR="004E13A5" w:rsidRDefault="004E13A5">
      <w:pPr>
        <w:pStyle w:val="BodyText"/>
        <w:spacing w:before="2"/>
        <w:ind w:left="0"/>
        <w:rPr>
          <w:b/>
          <w:sz w:val="5"/>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405"/>
        <w:gridCol w:w="1882"/>
        <w:gridCol w:w="2206"/>
      </w:tblGrid>
      <w:tr w:rsidR="004E13A5">
        <w:trPr>
          <w:trHeight w:hRule="exact" w:val="1118"/>
        </w:trPr>
        <w:tc>
          <w:tcPr>
            <w:tcW w:w="2547" w:type="dxa"/>
            <w:shd w:val="clear" w:color="auto" w:fill="D0CECE"/>
          </w:tcPr>
          <w:p w:rsidR="004E13A5" w:rsidRDefault="00681463">
            <w:pPr>
              <w:pStyle w:val="TableParagraph"/>
              <w:spacing w:line="275" w:lineRule="exact"/>
              <w:rPr>
                <w:b/>
                <w:sz w:val="24"/>
              </w:rPr>
            </w:pPr>
            <w:r>
              <w:rPr>
                <w:b/>
                <w:sz w:val="24"/>
              </w:rPr>
              <w:t>Utility</w:t>
            </w:r>
          </w:p>
        </w:tc>
        <w:tc>
          <w:tcPr>
            <w:tcW w:w="2405" w:type="dxa"/>
            <w:tcBorders>
              <w:right w:val="single" w:sz="4" w:space="0" w:color="000000"/>
            </w:tcBorders>
            <w:shd w:val="clear" w:color="auto" w:fill="D0CECE"/>
          </w:tcPr>
          <w:p w:rsidR="004E13A5" w:rsidRDefault="00681463">
            <w:pPr>
              <w:pStyle w:val="TableParagraph"/>
              <w:spacing w:line="275" w:lineRule="exact"/>
              <w:ind w:left="100"/>
              <w:rPr>
                <w:b/>
                <w:sz w:val="24"/>
              </w:rPr>
            </w:pPr>
            <w:r>
              <w:rPr>
                <w:b/>
                <w:sz w:val="24"/>
              </w:rPr>
              <w:t>Fuel Type</w:t>
            </w:r>
          </w:p>
          <w:p w:rsidR="004E13A5" w:rsidRDefault="00681463">
            <w:pPr>
              <w:pStyle w:val="TableParagraph"/>
              <w:spacing w:before="139"/>
              <w:ind w:left="100"/>
              <w:rPr>
                <w:b/>
                <w:sz w:val="24"/>
              </w:rPr>
            </w:pPr>
            <w:r>
              <w:rPr>
                <w:b/>
                <w:sz w:val="24"/>
              </w:rPr>
              <w:t>(Gas, Electric, Oil, Coal, Other)</w:t>
            </w:r>
          </w:p>
        </w:tc>
        <w:tc>
          <w:tcPr>
            <w:tcW w:w="1882" w:type="dxa"/>
            <w:tcBorders>
              <w:left w:val="single" w:sz="4" w:space="0" w:color="000000"/>
            </w:tcBorders>
            <w:shd w:val="clear" w:color="auto" w:fill="D0CECE"/>
          </w:tcPr>
          <w:p w:rsidR="004E13A5" w:rsidRDefault="00681463">
            <w:pPr>
              <w:pStyle w:val="TableParagraph"/>
              <w:ind w:right="82"/>
              <w:rPr>
                <w:b/>
                <w:sz w:val="24"/>
              </w:rPr>
            </w:pPr>
            <w:r>
              <w:rPr>
                <w:b/>
                <w:sz w:val="24"/>
              </w:rPr>
              <w:t>Paid By (Tenant/Owner)</w:t>
            </w:r>
          </w:p>
        </w:tc>
        <w:tc>
          <w:tcPr>
            <w:tcW w:w="2206" w:type="dxa"/>
            <w:shd w:val="clear" w:color="auto" w:fill="D0CECE"/>
          </w:tcPr>
          <w:p w:rsidR="004E13A5" w:rsidRDefault="00681463">
            <w:pPr>
              <w:pStyle w:val="TableParagraph"/>
              <w:spacing w:line="360" w:lineRule="auto"/>
              <w:ind w:right="407"/>
              <w:rPr>
                <w:b/>
                <w:sz w:val="24"/>
              </w:rPr>
            </w:pPr>
            <w:r>
              <w:rPr>
                <w:b/>
                <w:sz w:val="24"/>
              </w:rPr>
              <w:t>Provided By (Tenant/Owner)</w:t>
            </w:r>
          </w:p>
        </w:tc>
      </w:tr>
      <w:tr w:rsidR="004E13A5">
        <w:trPr>
          <w:trHeight w:hRule="exact" w:val="425"/>
        </w:trPr>
        <w:tc>
          <w:tcPr>
            <w:tcW w:w="2547" w:type="dxa"/>
          </w:tcPr>
          <w:p w:rsidR="004E13A5" w:rsidRDefault="00681463">
            <w:pPr>
              <w:pStyle w:val="TableParagraph"/>
              <w:spacing w:line="275" w:lineRule="exact"/>
              <w:rPr>
                <w:sz w:val="24"/>
              </w:rPr>
            </w:pPr>
            <w:r>
              <w:rPr>
                <w:sz w:val="24"/>
              </w:rPr>
              <w:t>Heating</w:t>
            </w:r>
          </w:p>
        </w:tc>
        <w:tc>
          <w:tcPr>
            <w:tcW w:w="2405" w:type="dxa"/>
            <w:tcBorders>
              <w:right w:val="single" w:sz="4" w:space="0" w:color="000000"/>
            </w:tcBorders>
          </w:tcPr>
          <w:p w:rsidR="004E13A5" w:rsidRDefault="00681463">
            <w:pPr>
              <w:pStyle w:val="TableParagraph"/>
              <w:spacing w:line="275" w:lineRule="exact"/>
              <w:ind w:left="100"/>
              <w:rPr>
                <w:sz w:val="24"/>
              </w:rPr>
            </w:pPr>
            <w:r>
              <w:rPr>
                <w:sz w:val="24"/>
              </w:rPr>
              <w:t>Electric</w:t>
            </w:r>
          </w:p>
        </w:tc>
        <w:tc>
          <w:tcPr>
            <w:tcW w:w="1882" w:type="dxa"/>
            <w:tcBorders>
              <w:left w:val="single" w:sz="4" w:space="0" w:color="000000"/>
            </w:tcBorders>
          </w:tcPr>
          <w:p w:rsidR="004E13A5" w:rsidRDefault="00681463">
            <w:pPr>
              <w:pStyle w:val="TableParagraph"/>
              <w:spacing w:line="275" w:lineRule="exact"/>
              <w:rPr>
                <w:sz w:val="24"/>
              </w:rPr>
            </w:pPr>
            <w:r>
              <w:rPr>
                <w:sz w:val="24"/>
              </w:rPr>
              <w:t>Tenant</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7"/>
        </w:trPr>
        <w:tc>
          <w:tcPr>
            <w:tcW w:w="2547" w:type="dxa"/>
          </w:tcPr>
          <w:p w:rsidR="004E13A5" w:rsidRDefault="00681463">
            <w:pPr>
              <w:pStyle w:val="TableParagraph"/>
              <w:spacing w:line="275" w:lineRule="exact"/>
              <w:rPr>
                <w:sz w:val="24"/>
              </w:rPr>
            </w:pPr>
            <w:r>
              <w:rPr>
                <w:sz w:val="24"/>
              </w:rPr>
              <w:t>Cooking</w:t>
            </w:r>
          </w:p>
        </w:tc>
        <w:tc>
          <w:tcPr>
            <w:tcW w:w="2405" w:type="dxa"/>
            <w:tcBorders>
              <w:right w:val="single" w:sz="4" w:space="0" w:color="000000"/>
            </w:tcBorders>
          </w:tcPr>
          <w:p w:rsidR="004E13A5" w:rsidRDefault="00681463">
            <w:pPr>
              <w:pStyle w:val="TableParagraph"/>
              <w:spacing w:line="275" w:lineRule="exact"/>
              <w:ind w:left="100"/>
              <w:rPr>
                <w:sz w:val="24"/>
              </w:rPr>
            </w:pPr>
            <w:r>
              <w:rPr>
                <w:sz w:val="24"/>
              </w:rPr>
              <w:t>Electric</w:t>
            </w:r>
          </w:p>
        </w:tc>
        <w:tc>
          <w:tcPr>
            <w:tcW w:w="1882" w:type="dxa"/>
            <w:tcBorders>
              <w:left w:val="single" w:sz="4" w:space="0" w:color="000000"/>
            </w:tcBorders>
          </w:tcPr>
          <w:p w:rsidR="004E13A5" w:rsidRDefault="00681463">
            <w:pPr>
              <w:pStyle w:val="TableParagraph"/>
              <w:spacing w:line="275" w:lineRule="exact"/>
              <w:rPr>
                <w:sz w:val="24"/>
              </w:rPr>
            </w:pPr>
            <w:r>
              <w:rPr>
                <w:sz w:val="24"/>
              </w:rPr>
              <w:t>Tenant</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5"/>
        </w:trPr>
        <w:tc>
          <w:tcPr>
            <w:tcW w:w="2547" w:type="dxa"/>
          </w:tcPr>
          <w:p w:rsidR="004E13A5" w:rsidRDefault="00681463">
            <w:pPr>
              <w:pStyle w:val="TableParagraph"/>
              <w:spacing w:line="275" w:lineRule="exact"/>
              <w:rPr>
                <w:sz w:val="24"/>
              </w:rPr>
            </w:pPr>
            <w:r>
              <w:rPr>
                <w:sz w:val="24"/>
              </w:rPr>
              <w:t>Water Heating</w:t>
            </w:r>
          </w:p>
        </w:tc>
        <w:tc>
          <w:tcPr>
            <w:tcW w:w="2405" w:type="dxa"/>
            <w:tcBorders>
              <w:right w:val="single" w:sz="4" w:space="0" w:color="000000"/>
            </w:tcBorders>
          </w:tcPr>
          <w:p w:rsidR="004E13A5" w:rsidRDefault="00681463">
            <w:pPr>
              <w:pStyle w:val="TableParagraph"/>
              <w:spacing w:line="275" w:lineRule="exact"/>
              <w:ind w:left="100"/>
              <w:rPr>
                <w:sz w:val="24"/>
              </w:rPr>
            </w:pPr>
            <w:r>
              <w:rPr>
                <w:sz w:val="24"/>
              </w:rPr>
              <w:t>Electric</w:t>
            </w:r>
          </w:p>
        </w:tc>
        <w:tc>
          <w:tcPr>
            <w:tcW w:w="1882" w:type="dxa"/>
            <w:tcBorders>
              <w:left w:val="single" w:sz="4" w:space="0" w:color="000000"/>
            </w:tcBorders>
          </w:tcPr>
          <w:p w:rsidR="004E13A5" w:rsidRDefault="00681463">
            <w:pPr>
              <w:pStyle w:val="TableParagraph"/>
              <w:spacing w:line="275" w:lineRule="exact"/>
              <w:rPr>
                <w:sz w:val="24"/>
              </w:rPr>
            </w:pPr>
            <w:r>
              <w:rPr>
                <w:sz w:val="24"/>
              </w:rPr>
              <w:t>Tenant</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7"/>
        </w:trPr>
        <w:tc>
          <w:tcPr>
            <w:tcW w:w="2547" w:type="dxa"/>
          </w:tcPr>
          <w:p w:rsidR="004E13A5" w:rsidRDefault="00681463">
            <w:pPr>
              <w:pStyle w:val="TableParagraph"/>
              <w:spacing w:line="275" w:lineRule="exact"/>
              <w:rPr>
                <w:sz w:val="24"/>
              </w:rPr>
            </w:pPr>
            <w:r>
              <w:rPr>
                <w:sz w:val="24"/>
              </w:rPr>
              <w:t>Other Electric</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tcPr>
          <w:p w:rsidR="004E13A5" w:rsidRDefault="00681463">
            <w:pPr>
              <w:pStyle w:val="TableParagraph"/>
              <w:spacing w:line="275" w:lineRule="exact"/>
              <w:rPr>
                <w:sz w:val="24"/>
              </w:rPr>
            </w:pPr>
            <w:r>
              <w:rPr>
                <w:sz w:val="24"/>
              </w:rPr>
              <w:t>Tenant</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5"/>
        </w:trPr>
        <w:tc>
          <w:tcPr>
            <w:tcW w:w="2547" w:type="dxa"/>
          </w:tcPr>
          <w:p w:rsidR="004E13A5" w:rsidRDefault="00681463">
            <w:pPr>
              <w:pStyle w:val="TableParagraph"/>
              <w:spacing w:line="275" w:lineRule="exact"/>
              <w:rPr>
                <w:sz w:val="24"/>
              </w:rPr>
            </w:pPr>
            <w:r>
              <w:rPr>
                <w:sz w:val="24"/>
              </w:rPr>
              <w:t>Water</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tcPr>
          <w:p w:rsidR="004E13A5" w:rsidRDefault="00681463">
            <w:pPr>
              <w:pStyle w:val="TableParagraph"/>
              <w:spacing w:line="275" w:lineRule="exact"/>
              <w:rPr>
                <w:sz w:val="24"/>
              </w:rPr>
            </w:pPr>
            <w:r>
              <w:rPr>
                <w:sz w:val="24"/>
              </w:rPr>
              <w:t>Owner</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7"/>
        </w:trPr>
        <w:tc>
          <w:tcPr>
            <w:tcW w:w="2547" w:type="dxa"/>
          </w:tcPr>
          <w:p w:rsidR="004E13A5" w:rsidRDefault="00681463">
            <w:pPr>
              <w:pStyle w:val="TableParagraph"/>
              <w:spacing w:line="275" w:lineRule="exact"/>
              <w:rPr>
                <w:sz w:val="24"/>
              </w:rPr>
            </w:pPr>
            <w:r>
              <w:rPr>
                <w:sz w:val="24"/>
              </w:rPr>
              <w:t>Sewer</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tcPr>
          <w:p w:rsidR="004E13A5" w:rsidRDefault="00681463">
            <w:pPr>
              <w:pStyle w:val="TableParagraph"/>
              <w:spacing w:line="275" w:lineRule="exact"/>
              <w:rPr>
                <w:sz w:val="24"/>
              </w:rPr>
            </w:pPr>
            <w:r>
              <w:rPr>
                <w:sz w:val="24"/>
              </w:rPr>
              <w:t>Owner</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5"/>
        </w:trPr>
        <w:tc>
          <w:tcPr>
            <w:tcW w:w="2547" w:type="dxa"/>
          </w:tcPr>
          <w:p w:rsidR="004E13A5" w:rsidRDefault="00681463">
            <w:pPr>
              <w:pStyle w:val="TableParagraph"/>
              <w:spacing w:line="275" w:lineRule="exact"/>
              <w:rPr>
                <w:sz w:val="24"/>
              </w:rPr>
            </w:pPr>
            <w:r>
              <w:rPr>
                <w:sz w:val="24"/>
              </w:rPr>
              <w:t>Trash Collection</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tcPr>
          <w:p w:rsidR="004E13A5" w:rsidRDefault="00681463">
            <w:pPr>
              <w:pStyle w:val="TableParagraph"/>
              <w:spacing w:line="275" w:lineRule="exact"/>
              <w:rPr>
                <w:sz w:val="24"/>
              </w:rPr>
            </w:pPr>
            <w:r>
              <w:rPr>
                <w:sz w:val="24"/>
              </w:rPr>
              <w:t>Owner</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7"/>
        </w:trPr>
        <w:tc>
          <w:tcPr>
            <w:tcW w:w="2547" w:type="dxa"/>
          </w:tcPr>
          <w:p w:rsidR="004E13A5" w:rsidRDefault="00681463">
            <w:pPr>
              <w:pStyle w:val="TableParagraph"/>
              <w:spacing w:line="275" w:lineRule="exact"/>
              <w:rPr>
                <w:sz w:val="24"/>
              </w:rPr>
            </w:pPr>
            <w:r>
              <w:rPr>
                <w:sz w:val="24"/>
              </w:rPr>
              <w:t>Air Conditioning</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tcPr>
          <w:p w:rsidR="004E13A5" w:rsidRDefault="00681463">
            <w:pPr>
              <w:pStyle w:val="TableParagraph"/>
              <w:spacing w:line="275" w:lineRule="exact"/>
              <w:rPr>
                <w:sz w:val="24"/>
              </w:rPr>
            </w:pPr>
            <w:r>
              <w:rPr>
                <w:sz w:val="24"/>
              </w:rPr>
              <w:t>Tenant</w:t>
            </w:r>
          </w:p>
        </w:tc>
        <w:tc>
          <w:tcPr>
            <w:tcW w:w="2206" w:type="dxa"/>
          </w:tcPr>
          <w:p w:rsidR="004E13A5" w:rsidRDefault="00681463">
            <w:pPr>
              <w:pStyle w:val="TableParagraph"/>
              <w:spacing w:line="275" w:lineRule="exact"/>
              <w:rPr>
                <w:sz w:val="24"/>
              </w:rPr>
            </w:pPr>
            <w:r>
              <w:rPr>
                <w:sz w:val="24"/>
              </w:rPr>
              <w:t>Owner</w:t>
            </w:r>
          </w:p>
        </w:tc>
      </w:tr>
      <w:tr w:rsidR="004E13A5">
        <w:trPr>
          <w:trHeight w:hRule="exact" w:val="425"/>
        </w:trPr>
        <w:tc>
          <w:tcPr>
            <w:tcW w:w="2547" w:type="dxa"/>
          </w:tcPr>
          <w:p w:rsidR="004E13A5" w:rsidRDefault="00681463">
            <w:pPr>
              <w:pStyle w:val="TableParagraph"/>
              <w:spacing w:line="275" w:lineRule="exact"/>
              <w:rPr>
                <w:sz w:val="24"/>
              </w:rPr>
            </w:pPr>
            <w:r>
              <w:rPr>
                <w:sz w:val="24"/>
              </w:rPr>
              <w:t>Refrigerator</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shd w:val="clear" w:color="auto" w:fill="7E7E7E"/>
          </w:tcPr>
          <w:p w:rsidR="004E13A5" w:rsidRDefault="004E13A5"/>
        </w:tc>
        <w:tc>
          <w:tcPr>
            <w:tcW w:w="2206" w:type="dxa"/>
          </w:tcPr>
          <w:p w:rsidR="004E13A5" w:rsidRDefault="004E13A5"/>
        </w:tc>
      </w:tr>
      <w:tr w:rsidR="004E13A5">
        <w:trPr>
          <w:trHeight w:hRule="exact" w:val="427"/>
        </w:trPr>
        <w:tc>
          <w:tcPr>
            <w:tcW w:w="2547" w:type="dxa"/>
          </w:tcPr>
          <w:p w:rsidR="004E13A5" w:rsidRDefault="00681463">
            <w:pPr>
              <w:pStyle w:val="TableParagraph"/>
              <w:spacing w:line="275" w:lineRule="exact"/>
              <w:rPr>
                <w:sz w:val="24"/>
              </w:rPr>
            </w:pPr>
            <w:r>
              <w:rPr>
                <w:sz w:val="24"/>
              </w:rPr>
              <w:t>Range/Microwave</w:t>
            </w:r>
          </w:p>
        </w:tc>
        <w:tc>
          <w:tcPr>
            <w:tcW w:w="2405" w:type="dxa"/>
            <w:tcBorders>
              <w:right w:val="single" w:sz="4" w:space="0" w:color="000000"/>
            </w:tcBorders>
            <w:shd w:val="clear" w:color="auto" w:fill="7E7E7E"/>
          </w:tcPr>
          <w:p w:rsidR="004E13A5" w:rsidRDefault="004E13A5"/>
        </w:tc>
        <w:tc>
          <w:tcPr>
            <w:tcW w:w="1882" w:type="dxa"/>
            <w:tcBorders>
              <w:left w:val="single" w:sz="4" w:space="0" w:color="000000"/>
            </w:tcBorders>
            <w:shd w:val="clear" w:color="auto" w:fill="7E7E7E"/>
          </w:tcPr>
          <w:p w:rsidR="004E13A5" w:rsidRDefault="004E13A5"/>
        </w:tc>
        <w:tc>
          <w:tcPr>
            <w:tcW w:w="2206" w:type="dxa"/>
          </w:tcPr>
          <w:p w:rsidR="004E13A5" w:rsidRDefault="004E13A5"/>
        </w:tc>
      </w:tr>
      <w:tr w:rsidR="004E13A5">
        <w:trPr>
          <w:trHeight w:hRule="exact" w:val="442"/>
        </w:trPr>
        <w:tc>
          <w:tcPr>
            <w:tcW w:w="2547" w:type="dxa"/>
          </w:tcPr>
          <w:p w:rsidR="004E13A5" w:rsidRDefault="00681463">
            <w:pPr>
              <w:pStyle w:val="TableParagraph"/>
              <w:spacing w:line="292" w:lineRule="exact"/>
              <w:rPr>
                <w:rFonts w:ascii="Calibri"/>
                <w:sz w:val="24"/>
              </w:rPr>
            </w:pPr>
            <w:r>
              <w:rPr>
                <w:rFonts w:ascii="Calibri"/>
                <w:sz w:val="24"/>
              </w:rPr>
              <w:t>Other (specify)</w:t>
            </w:r>
          </w:p>
        </w:tc>
        <w:tc>
          <w:tcPr>
            <w:tcW w:w="2405" w:type="dxa"/>
            <w:tcBorders>
              <w:right w:val="single" w:sz="4" w:space="0" w:color="000000"/>
            </w:tcBorders>
          </w:tcPr>
          <w:p w:rsidR="004E13A5" w:rsidRDefault="004E13A5"/>
        </w:tc>
        <w:tc>
          <w:tcPr>
            <w:tcW w:w="1882" w:type="dxa"/>
            <w:tcBorders>
              <w:left w:val="single" w:sz="4" w:space="0" w:color="000000"/>
            </w:tcBorders>
          </w:tcPr>
          <w:p w:rsidR="004E13A5" w:rsidRDefault="004E13A5"/>
        </w:tc>
        <w:tc>
          <w:tcPr>
            <w:tcW w:w="2206" w:type="dxa"/>
          </w:tcPr>
          <w:p w:rsidR="004E13A5" w:rsidRDefault="004E13A5"/>
        </w:tc>
      </w:tr>
    </w:tbl>
    <w:p w:rsidR="004E13A5" w:rsidRDefault="004E13A5">
      <w:pPr>
        <w:pStyle w:val="BodyText"/>
        <w:spacing w:before="0"/>
        <w:ind w:left="0"/>
        <w:rPr>
          <w:b/>
          <w:sz w:val="26"/>
        </w:rPr>
      </w:pPr>
    </w:p>
    <w:p w:rsidR="004E13A5" w:rsidRDefault="004E13A5">
      <w:pPr>
        <w:pStyle w:val="BodyText"/>
        <w:spacing w:before="0"/>
        <w:ind w:left="0"/>
        <w:rPr>
          <w:b/>
          <w:sz w:val="26"/>
        </w:rPr>
      </w:pPr>
    </w:p>
    <w:p w:rsidR="004E13A5" w:rsidRDefault="00681463">
      <w:pPr>
        <w:spacing w:before="158"/>
        <w:ind w:left="100" w:right="309"/>
        <w:rPr>
          <w:sz w:val="24"/>
        </w:rPr>
      </w:pPr>
      <w:r>
        <w:rPr>
          <w:b/>
          <w:sz w:val="24"/>
        </w:rPr>
        <w:t xml:space="preserve">Accessible Units and Features: </w:t>
      </w:r>
      <w:r>
        <w:rPr>
          <w:sz w:val="24"/>
        </w:rPr>
        <w:t>[Identify which units are accessible and describe accessibility features or enter “None”]</w:t>
      </w:r>
    </w:p>
    <w:p w:rsidR="004E13A5" w:rsidRDefault="00681463">
      <w:pPr>
        <w:pStyle w:val="BodyText"/>
        <w:ind w:right="509"/>
      </w:pPr>
      <w:r>
        <w:rPr>
          <w:b/>
        </w:rPr>
        <w:t xml:space="preserve">Target Population: </w:t>
      </w:r>
      <w:r>
        <w:t>[Describe targeted population in accordance with HAP contract or enter “None”]</w:t>
      </w:r>
    </w:p>
    <w:p w:rsidR="004E13A5" w:rsidRDefault="004E13A5">
      <w:pPr>
        <w:sectPr w:rsidR="004E13A5">
          <w:pgSz w:w="12240" w:h="15840"/>
          <w:pgMar w:top="1120" w:right="1480" w:bottom="1240" w:left="1220" w:header="0" w:footer="1058" w:gutter="0"/>
          <w:cols w:space="720"/>
        </w:sectPr>
      </w:pPr>
    </w:p>
    <w:p w:rsidR="004E13A5" w:rsidRDefault="00681463">
      <w:pPr>
        <w:spacing w:before="79"/>
        <w:ind w:left="100"/>
        <w:rPr>
          <w:sz w:val="24"/>
        </w:rPr>
      </w:pPr>
      <w:r>
        <w:rPr>
          <w:b/>
          <w:sz w:val="24"/>
        </w:rPr>
        <w:lastRenderedPageBreak/>
        <w:t xml:space="preserve">Excepted Units: </w:t>
      </w:r>
      <w:r>
        <w:rPr>
          <w:sz w:val="24"/>
        </w:rPr>
        <w:t>[Identify excepted unit types below or enter “None”]</w:t>
      </w:r>
    </w:p>
    <w:p w:rsidR="004E13A5" w:rsidRDefault="00681463">
      <w:pPr>
        <w:spacing w:before="120"/>
        <w:ind w:left="100"/>
        <w:rPr>
          <w:sz w:val="24"/>
        </w:rPr>
      </w:pPr>
      <w:r>
        <w:rPr>
          <w:b/>
          <w:sz w:val="24"/>
        </w:rPr>
        <w:t xml:space="preserve">Supportive Services: </w:t>
      </w:r>
      <w:r>
        <w:rPr>
          <w:sz w:val="24"/>
        </w:rPr>
        <w:t>[Enter “Yes, see Exhibit D of HAP Contract” or enter “No”]</w:t>
      </w:r>
    </w:p>
    <w:p w:rsidR="004E13A5" w:rsidRDefault="00681463">
      <w:pPr>
        <w:pStyle w:val="BodyText"/>
      </w:pPr>
      <w:r>
        <w:rPr>
          <w:b/>
        </w:rPr>
        <w:t>Elderly Units</w:t>
      </w:r>
      <w:r>
        <w:t>: [Enter “Yes” or “No.” If yes, identify which units are elderly units.]</w:t>
      </w:r>
    </w:p>
    <w:p w:rsidR="004E13A5" w:rsidRDefault="00681463">
      <w:pPr>
        <w:pStyle w:val="BodyText"/>
      </w:pPr>
      <w:r>
        <w:rPr>
          <w:b/>
        </w:rPr>
        <w:t xml:space="preserve">Disabled Units </w:t>
      </w:r>
      <w:r>
        <w:t>(only for HAP contracts executed prior to April 18, 2017) [Enter “Yes” or “No.” If yes, identify which units are for persons with disabilities.]</w:t>
      </w:r>
    </w:p>
    <w:p w:rsidR="004E13A5" w:rsidRDefault="00681463">
      <w:pPr>
        <w:pStyle w:val="ListParagraph"/>
        <w:numPr>
          <w:ilvl w:val="0"/>
          <w:numId w:val="12"/>
        </w:numPr>
        <w:tabs>
          <w:tab w:val="left" w:pos="820"/>
          <w:tab w:val="left" w:pos="821"/>
        </w:tabs>
        <w:rPr>
          <w:sz w:val="24"/>
        </w:rPr>
      </w:pPr>
      <w:r>
        <w:rPr>
          <w:b/>
          <w:sz w:val="24"/>
        </w:rPr>
        <w:t xml:space="preserve">FUPY/FYI Units: </w:t>
      </w:r>
      <w:r>
        <w:rPr>
          <w:sz w:val="24"/>
        </w:rPr>
        <w:t>[Enter “Yes” or “No.” If yes, identify which units are FUP</w:t>
      </w:r>
      <w:r>
        <w:rPr>
          <w:spacing w:val="-14"/>
          <w:sz w:val="24"/>
        </w:rPr>
        <w:t xml:space="preserve"> </w:t>
      </w:r>
      <w:r>
        <w:rPr>
          <w:sz w:val="24"/>
        </w:rPr>
        <w:t>units]</w:t>
      </w:r>
    </w:p>
    <w:p w:rsidR="004E13A5" w:rsidRDefault="00681463">
      <w:pPr>
        <w:spacing w:before="119"/>
        <w:ind w:left="100" w:right="122"/>
        <w:rPr>
          <w:sz w:val="24"/>
        </w:rPr>
      </w:pPr>
      <w:r>
        <w:rPr>
          <w:b/>
          <w:sz w:val="24"/>
        </w:rPr>
        <w:t xml:space="preserve">Are units excepted because they are located in a low-poverty census tract area?: </w:t>
      </w:r>
      <w:r>
        <w:rPr>
          <w:sz w:val="24"/>
        </w:rPr>
        <w:t>[Enter “Yes” or “No”]</w:t>
      </w:r>
    </w:p>
    <w:p w:rsidR="004E13A5" w:rsidRDefault="004E13A5">
      <w:pPr>
        <w:pStyle w:val="BodyText"/>
        <w:spacing w:before="0"/>
        <w:ind w:left="0"/>
        <w:rPr>
          <w:sz w:val="13"/>
        </w:rPr>
      </w:pPr>
    </w:p>
    <w:p w:rsidR="004E13A5" w:rsidRDefault="00681463">
      <w:pPr>
        <w:pStyle w:val="Heading4"/>
        <w:spacing w:before="90"/>
        <w:ind w:left="2996" w:right="2916"/>
        <w:jc w:val="center"/>
      </w:pPr>
      <w:r>
        <w:t>WAITING LIST AND SELECTION</w:t>
      </w:r>
    </w:p>
    <w:p w:rsidR="004E13A5" w:rsidRDefault="00681463">
      <w:pPr>
        <w:pStyle w:val="BodyText"/>
        <w:ind w:right="448"/>
      </w:pPr>
      <w:r>
        <w:rPr>
          <w:b/>
        </w:rPr>
        <w:t xml:space="preserve">Waiting List Type: </w:t>
      </w:r>
      <w:r>
        <w:t>[ Enter “Site-based waiting list,” “Combined with HCV,” “Waiting list for entire PBV program,” or “Merged with another assisted housing program”]</w:t>
      </w:r>
    </w:p>
    <w:p w:rsidR="004E13A5" w:rsidRDefault="00681463">
      <w:pPr>
        <w:pStyle w:val="BodyText"/>
      </w:pPr>
      <w:r>
        <w:rPr>
          <w:b/>
        </w:rPr>
        <w:t xml:space="preserve">Preferences: </w:t>
      </w:r>
      <w:r>
        <w:t>[Enter “Same as HCV; see Chapter 74” or describe preferences offered. If different from HCV, also note in Section 17.1.B of this policy.]</w:t>
      </w:r>
    </w:p>
    <w:p w:rsidR="004E13A5" w:rsidRDefault="00681463">
      <w:pPr>
        <w:pStyle w:val="BodyText"/>
        <w:ind w:right="371"/>
      </w:pPr>
      <w:r>
        <w:rPr>
          <w:b/>
        </w:rPr>
        <w:t xml:space="preserve">Preference Verification: </w:t>
      </w:r>
      <w:r>
        <w:t>[Enter “Same as HCV; see Chapter 4” or describe for each preference listed above. If different from HCV, note in Section 17.1.B of this policy.]</w:t>
      </w:r>
    </w:p>
    <w:p w:rsidR="004E13A5" w:rsidRDefault="00681463">
      <w:pPr>
        <w:spacing w:before="119"/>
        <w:ind w:left="100" w:right="136"/>
        <w:rPr>
          <w:sz w:val="24"/>
        </w:rPr>
      </w:pPr>
      <w:r>
        <w:rPr>
          <w:b/>
          <w:sz w:val="24"/>
        </w:rPr>
        <w:t xml:space="preserve">For the PBV program, is the income limit the same as the HCV program? </w:t>
      </w:r>
      <w:r>
        <w:rPr>
          <w:sz w:val="24"/>
        </w:rPr>
        <w:t>(Note: In mixed finance developments, other income limits may also apply.) [Enter “Same as HCV; see Chapter 3” or clearly describe. If different from HCV, note in Section 17.1.B of this policy.]</w:t>
      </w:r>
    </w:p>
    <w:p w:rsidR="004E13A5" w:rsidRDefault="004E13A5">
      <w:pPr>
        <w:pStyle w:val="BodyText"/>
        <w:spacing w:before="9"/>
        <w:ind w:left="0"/>
        <w:rPr>
          <w:sz w:val="20"/>
        </w:rPr>
      </w:pPr>
    </w:p>
    <w:p w:rsidR="004E13A5" w:rsidRDefault="00681463">
      <w:pPr>
        <w:pStyle w:val="Heading4"/>
        <w:ind w:left="2996" w:right="2916"/>
        <w:jc w:val="center"/>
      </w:pPr>
      <w:r>
        <w:t>OCCUPANCY</w:t>
      </w:r>
    </w:p>
    <w:p w:rsidR="004E13A5" w:rsidRDefault="00681463">
      <w:pPr>
        <w:pStyle w:val="BodyText"/>
        <w:ind w:right="136"/>
      </w:pPr>
      <w:r>
        <w:rPr>
          <w:b/>
        </w:rPr>
        <w:t xml:space="preserve">Subsidy Standards: </w:t>
      </w:r>
      <w:r>
        <w:t>[Enter “Same as HCV; see Chapter 5” or describe. If different from HCV, note in Section 17.1.B of this policy]</w:t>
      </w:r>
    </w:p>
    <w:p w:rsidR="004E13A5" w:rsidRDefault="00681463">
      <w:pPr>
        <w:pStyle w:val="BodyText"/>
        <w:ind w:right="589"/>
      </w:pPr>
      <w:r>
        <w:rPr>
          <w:b/>
        </w:rPr>
        <w:t xml:space="preserve">Vacancy Payments: </w:t>
      </w:r>
      <w:r>
        <w:t>[Enter in accordance with HAP contract Part 1, e, 2 and Section 17-V.F. within this chapter]</w:t>
      </w:r>
    </w:p>
    <w:p w:rsidR="004E13A5" w:rsidRDefault="004E13A5">
      <w:pPr>
        <w:sectPr w:rsidR="004E13A5">
          <w:pgSz w:w="12240" w:h="15840"/>
          <w:pgMar w:top="1120" w:right="1300" w:bottom="1240" w:left="1220" w:header="0" w:footer="1058" w:gutter="0"/>
          <w:cols w:space="720"/>
        </w:sectPr>
      </w:pPr>
    </w:p>
    <w:p w:rsidR="004E13A5" w:rsidRDefault="00681463">
      <w:pPr>
        <w:spacing w:before="60"/>
        <w:ind w:left="3950" w:right="3797"/>
        <w:jc w:val="center"/>
        <w:rPr>
          <w:b/>
          <w:sz w:val="36"/>
        </w:rPr>
      </w:pPr>
      <w:r>
        <w:rPr>
          <w:b/>
          <w:sz w:val="36"/>
        </w:rPr>
        <w:lastRenderedPageBreak/>
        <w:t>Chapter 18</w:t>
      </w:r>
    </w:p>
    <w:p w:rsidR="004E13A5" w:rsidRDefault="00681463">
      <w:pPr>
        <w:pStyle w:val="Heading2"/>
        <w:spacing w:before="259"/>
        <w:ind w:left="1951"/>
      </w:pPr>
      <w:bookmarkStart w:id="417" w:name="_TOC_250015"/>
      <w:bookmarkEnd w:id="417"/>
      <w:r>
        <w:t>EMERGENCY HOUSING VOUCHERS (EHVs)</w:t>
      </w:r>
    </w:p>
    <w:p w:rsidR="004E13A5" w:rsidRDefault="00681463">
      <w:pPr>
        <w:pStyle w:val="Heading4"/>
        <w:spacing w:before="246"/>
      </w:pPr>
      <w:r>
        <w:t>INTRODUCTION</w:t>
      </w:r>
    </w:p>
    <w:p w:rsidR="004E13A5" w:rsidRDefault="00681463">
      <w:pPr>
        <w:pStyle w:val="BodyText"/>
        <w:spacing w:before="139"/>
        <w:ind w:right="277"/>
      </w:pPr>
      <w:r>
        <w:t>On March 11, 2021, President Biden signed the American Rescue Plan Act of 2021 (ARP) (P.L. 117-2). Section 3202 of the ARP appropriated $5 billion for the creation, administration, and renewal of new incremental emergency housing vouchers (EHVs) and other eligible expenses related to COVID-19.</w:t>
      </w:r>
    </w:p>
    <w:p w:rsidR="004E13A5" w:rsidRDefault="00681463">
      <w:pPr>
        <w:pStyle w:val="BodyText"/>
        <w:spacing w:before="139"/>
        <w:ind w:right="95"/>
      </w:pPr>
      <w:r>
        <w:t>On May 5, 2021, HUD issued Notice PIH 2021-15, which described HUD’s process for allocating approximately 70,000 EHVs to eligible PHAs and set forth the operating requirements for PHAs who administer them. Based on criteria outlined in the notice, HUD notified eligible PHAs of the number of EHVs allocated to their agency, and PHAs were able to accept or decline the invitation to participate in the program.</w:t>
      </w:r>
    </w:p>
    <w:p w:rsidR="004E13A5" w:rsidRDefault="00681463">
      <w:pPr>
        <w:pStyle w:val="BodyText"/>
        <w:spacing w:before="139"/>
      </w:pPr>
      <w:r>
        <w:t>PHAs may not project base EHVs; EHVs are exclusively tenant-based assistance.</w:t>
      </w:r>
    </w:p>
    <w:p w:rsidR="004E13A5" w:rsidRDefault="00681463">
      <w:pPr>
        <w:pStyle w:val="BodyText"/>
        <w:spacing w:before="141"/>
        <w:ind w:right="98"/>
      </w:pPr>
      <w:r>
        <w:t>All applicable nondiscrimination and equal opportunity requirements apply to the EHV program, including requirements that the PHA grant reasonable accommodations to persons with disabilities, effectively communicate with persons with disabilities, and ensure meaningful access for persons with limited English proficiency (LEP).</w:t>
      </w:r>
    </w:p>
    <w:p w:rsidR="004E13A5" w:rsidRDefault="00681463">
      <w:pPr>
        <w:pStyle w:val="BodyText"/>
        <w:spacing w:before="139"/>
      </w:pPr>
      <w:r>
        <w:t>This chapter describes HUD regulations and PHA policies for administering EHVs. The policies outlined in this chapter are organized into seven sections, as follows:</w:t>
      </w:r>
    </w:p>
    <w:p w:rsidR="004E13A5" w:rsidRDefault="00681463">
      <w:pPr>
        <w:pStyle w:val="BodyText"/>
        <w:spacing w:before="120"/>
        <w:ind w:left="909"/>
      </w:pPr>
      <w:r>
        <w:rPr>
          <w:u w:val="single"/>
        </w:rPr>
        <w:t>Part I: Funding</w:t>
      </w:r>
    </w:p>
    <w:p w:rsidR="004E13A5" w:rsidRDefault="00681463">
      <w:pPr>
        <w:pStyle w:val="BodyText"/>
        <w:spacing w:before="120"/>
        <w:ind w:left="909"/>
      </w:pPr>
      <w:r>
        <w:rPr>
          <w:u w:val="single"/>
        </w:rPr>
        <w:t>Part II: Partnering Agencies</w:t>
      </w:r>
    </w:p>
    <w:p w:rsidR="004E13A5" w:rsidRDefault="00681463">
      <w:pPr>
        <w:pStyle w:val="BodyText"/>
        <w:spacing w:before="120" w:line="343" w:lineRule="auto"/>
        <w:ind w:left="909" w:right="5052"/>
      </w:pPr>
      <w:r>
        <w:rPr>
          <w:u w:val="single"/>
        </w:rPr>
        <w:t>Part III: Waiting List Management Part IV: Family Eligibility</w:t>
      </w:r>
    </w:p>
    <w:p w:rsidR="004E13A5" w:rsidRDefault="00681463">
      <w:pPr>
        <w:pStyle w:val="BodyText"/>
        <w:spacing w:before="125"/>
        <w:ind w:left="909"/>
      </w:pPr>
      <w:r>
        <w:rPr>
          <w:u w:val="single"/>
        </w:rPr>
        <w:t>Part V: Housing Search and Leasing</w:t>
      </w:r>
    </w:p>
    <w:p w:rsidR="004E13A5" w:rsidRDefault="00681463">
      <w:pPr>
        <w:pStyle w:val="BodyText"/>
        <w:spacing w:before="120"/>
        <w:ind w:left="909"/>
      </w:pPr>
      <w:r>
        <w:rPr>
          <w:u w:val="single"/>
        </w:rPr>
        <w:t>Part VI: Use of Funds, Reporting, and Financial Records</w:t>
      </w:r>
    </w:p>
    <w:p w:rsidR="004E13A5" w:rsidRDefault="00681463">
      <w:pPr>
        <w:pStyle w:val="BodyText"/>
        <w:spacing w:before="211"/>
        <w:ind w:right="230"/>
      </w:pPr>
      <w:r>
        <w:t>Except as addressed by this chapter and as required under federal statute and HUD requirements, the general requirements of the HCV program apply to EHVs.</w:t>
      </w:r>
    </w:p>
    <w:p w:rsidR="004E13A5" w:rsidRDefault="00681463">
      <w:pPr>
        <w:pStyle w:val="Heading4"/>
        <w:spacing w:before="179"/>
        <w:ind w:left="3500" w:right="3405"/>
        <w:jc w:val="center"/>
      </w:pPr>
      <w:bookmarkStart w:id="418" w:name="_TOC_250014"/>
      <w:bookmarkEnd w:id="418"/>
      <w:r>
        <w:t>PART I: FUNDING</w:t>
      </w:r>
    </w:p>
    <w:p w:rsidR="004E13A5" w:rsidRDefault="004E13A5">
      <w:pPr>
        <w:pStyle w:val="BodyText"/>
        <w:spacing w:before="1"/>
        <w:ind w:left="0"/>
        <w:rPr>
          <w:b/>
          <w:sz w:val="31"/>
        </w:rPr>
      </w:pPr>
    </w:p>
    <w:p w:rsidR="004E13A5" w:rsidRDefault="00681463">
      <w:pPr>
        <w:pStyle w:val="ListParagraph"/>
        <w:numPr>
          <w:ilvl w:val="1"/>
          <w:numId w:val="11"/>
        </w:numPr>
        <w:tabs>
          <w:tab w:val="left" w:pos="820"/>
          <w:tab w:val="left" w:pos="821"/>
        </w:tabs>
        <w:spacing w:before="0"/>
        <w:rPr>
          <w:rFonts w:ascii="Calibri"/>
          <w:b/>
          <w:sz w:val="24"/>
        </w:rPr>
      </w:pPr>
      <w:r>
        <w:rPr>
          <w:rFonts w:ascii="Calibri"/>
          <w:b/>
          <w:sz w:val="24"/>
        </w:rPr>
        <w:t>FUNDING</w:t>
      </w:r>
      <w:r>
        <w:rPr>
          <w:rFonts w:ascii="Calibri"/>
          <w:b/>
          <w:spacing w:val="-19"/>
          <w:sz w:val="24"/>
        </w:rPr>
        <w:t xml:space="preserve"> </w:t>
      </w:r>
      <w:r>
        <w:rPr>
          <w:rFonts w:ascii="Calibri"/>
          <w:b/>
          <w:sz w:val="24"/>
        </w:rPr>
        <w:t>OVERVIEW</w:t>
      </w:r>
    </w:p>
    <w:p w:rsidR="004E13A5" w:rsidRDefault="00681463">
      <w:pPr>
        <w:pStyle w:val="BodyText"/>
        <w:spacing w:before="138"/>
        <w:ind w:right="277"/>
      </w:pPr>
      <w:r>
        <w:t>The American Rescue Plan Act of 2021 (ARP) provides administrative fees and funding for the costs of administering emergency housing vouchers (EHVs) and other eligible expenses defined in Notice PIH 2021-15. These fees may only be used for EHV administration and other eligible expenses and must not be used for or applied to other PHA programs or vouchers. The PHA must maintain separate financial records from its regular HCV funding for all EHV funding.</w:t>
      </w:r>
    </w:p>
    <w:p w:rsidR="004E13A5" w:rsidRDefault="004E13A5">
      <w:pPr>
        <w:sectPr w:rsidR="004E13A5">
          <w:pgSz w:w="12240" w:h="15840"/>
          <w:pgMar w:top="1020" w:right="1360" w:bottom="1240" w:left="1220" w:header="0" w:footer="1058" w:gutter="0"/>
          <w:cols w:space="720"/>
        </w:sectPr>
      </w:pPr>
    </w:p>
    <w:p w:rsidR="004E13A5" w:rsidRDefault="00681463">
      <w:pPr>
        <w:pStyle w:val="Heading4"/>
        <w:spacing w:before="79"/>
      </w:pPr>
      <w:bookmarkStart w:id="419" w:name="_TOC_250013"/>
      <w:bookmarkEnd w:id="419"/>
      <w:r>
        <w:lastRenderedPageBreak/>
        <w:t>Housing Assistance Payments (HAP) Funding</w:t>
      </w:r>
    </w:p>
    <w:p w:rsidR="004E13A5" w:rsidRDefault="00681463">
      <w:pPr>
        <w:pStyle w:val="BodyText"/>
        <w:spacing w:before="139"/>
        <w:ind w:right="105"/>
        <w:jc w:val="both"/>
      </w:pPr>
      <w:r>
        <w:t>ARP funding obligated to the PHA as housing assistance payments (HAP) funding may only be used for eligible EHV HAP expenses (i.e., rental assistance payments). EHV HAP funding may not be used for EHV administrative expenses or for the eligible uses under the EHV services fee.</w:t>
      </w:r>
    </w:p>
    <w:p w:rsidR="004E13A5" w:rsidRDefault="00681463">
      <w:pPr>
        <w:pStyle w:val="BodyText"/>
        <w:spacing w:before="138"/>
        <w:ind w:right="216"/>
      </w:pPr>
      <w:r>
        <w:t>The initial funding term will expire December 31, 2022. HUD will provide renewal funding to the PHA for the EHVs on a calendar year (CY) basis commencing with CY 2023. The renewal funding allocation will be based on the PHA’s actual EHV HAP costs in leasing, similar to the renewal process for the regular HCV program. EHV renewal funding is not part of the annual HCV renewal funding formula; EHVs are renewed separately from the regular HCV program. All renewal funding for the duration of the EHV program has been appropriated as part of the ARP funding.</w:t>
      </w:r>
    </w:p>
    <w:p w:rsidR="004E13A5" w:rsidRDefault="00681463">
      <w:pPr>
        <w:pStyle w:val="Heading4"/>
        <w:spacing w:before="119"/>
      </w:pPr>
      <w:bookmarkStart w:id="420" w:name="_TOC_250012"/>
      <w:bookmarkEnd w:id="420"/>
      <w:r>
        <w:t>Administrative Fee and Funding</w:t>
      </w:r>
    </w:p>
    <w:p w:rsidR="004E13A5" w:rsidRDefault="00681463">
      <w:pPr>
        <w:pStyle w:val="BodyText"/>
        <w:spacing w:before="139"/>
      </w:pPr>
      <w:r>
        <w:t>The following four types of fees and funding are allocated as part of the EHV program:</w:t>
      </w:r>
    </w:p>
    <w:p w:rsidR="004E13A5" w:rsidRDefault="00681463">
      <w:pPr>
        <w:pStyle w:val="ListParagraph"/>
        <w:numPr>
          <w:ilvl w:val="2"/>
          <w:numId w:val="11"/>
        </w:numPr>
        <w:tabs>
          <w:tab w:val="left" w:pos="580"/>
          <w:tab w:val="left" w:pos="581"/>
        </w:tabs>
        <w:ind w:right="245"/>
        <w:rPr>
          <w:sz w:val="24"/>
        </w:rPr>
      </w:pPr>
      <w:r>
        <w:rPr>
          <w:b/>
          <w:sz w:val="24"/>
        </w:rPr>
        <w:t xml:space="preserve">Preliminary fees </w:t>
      </w:r>
      <w:r>
        <w:rPr>
          <w:sz w:val="24"/>
        </w:rPr>
        <w:t>support immediate start-up costs that the PHA will incur in implementing alternative requirements under EHV, such as outreach and coordination with partnering agencies:</w:t>
      </w:r>
    </w:p>
    <w:p w:rsidR="004E13A5" w:rsidRDefault="00681463">
      <w:pPr>
        <w:pStyle w:val="ListParagraph"/>
        <w:numPr>
          <w:ilvl w:val="3"/>
          <w:numId w:val="11"/>
        </w:numPr>
        <w:tabs>
          <w:tab w:val="left" w:pos="940"/>
          <w:tab w:val="left" w:pos="941"/>
        </w:tabs>
        <w:ind w:right="176"/>
        <w:rPr>
          <w:sz w:val="24"/>
        </w:rPr>
      </w:pPr>
      <w:r>
        <w:rPr>
          <w:sz w:val="24"/>
        </w:rPr>
        <w:t>$400 per EHV allocated to the PHA, once the consolidated annual contributions</w:t>
      </w:r>
      <w:r>
        <w:rPr>
          <w:spacing w:val="-10"/>
          <w:sz w:val="24"/>
        </w:rPr>
        <w:t xml:space="preserve"> </w:t>
      </w:r>
      <w:r>
        <w:rPr>
          <w:sz w:val="24"/>
        </w:rPr>
        <w:t>contract (CACC) is</w:t>
      </w:r>
      <w:r>
        <w:rPr>
          <w:spacing w:val="-4"/>
          <w:sz w:val="24"/>
        </w:rPr>
        <w:t xml:space="preserve"> </w:t>
      </w:r>
      <w:r>
        <w:rPr>
          <w:sz w:val="24"/>
        </w:rPr>
        <w:t>amended.</w:t>
      </w:r>
    </w:p>
    <w:p w:rsidR="004E13A5" w:rsidRDefault="00681463">
      <w:pPr>
        <w:pStyle w:val="ListParagraph"/>
        <w:numPr>
          <w:ilvl w:val="3"/>
          <w:numId w:val="11"/>
        </w:numPr>
        <w:tabs>
          <w:tab w:val="left" w:pos="940"/>
          <w:tab w:val="left" w:pos="941"/>
        </w:tabs>
        <w:rPr>
          <w:sz w:val="24"/>
        </w:rPr>
      </w:pPr>
      <w:r>
        <w:rPr>
          <w:sz w:val="24"/>
        </w:rPr>
        <w:t>This fee may be used for any eligible administrative expenses related to</w:t>
      </w:r>
      <w:r>
        <w:rPr>
          <w:spacing w:val="-23"/>
          <w:sz w:val="24"/>
        </w:rPr>
        <w:t xml:space="preserve"> </w:t>
      </w:r>
      <w:r>
        <w:rPr>
          <w:sz w:val="24"/>
        </w:rPr>
        <w:t>EHVs.</w:t>
      </w:r>
    </w:p>
    <w:p w:rsidR="004E13A5" w:rsidRDefault="00681463">
      <w:pPr>
        <w:pStyle w:val="ListParagraph"/>
        <w:numPr>
          <w:ilvl w:val="3"/>
          <w:numId w:val="11"/>
        </w:numPr>
        <w:tabs>
          <w:tab w:val="left" w:pos="940"/>
          <w:tab w:val="left" w:pos="941"/>
        </w:tabs>
        <w:spacing w:before="121"/>
        <w:ind w:right="177"/>
        <w:rPr>
          <w:sz w:val="24"/>
        </w:rPr>
      </w:pPr>
      <w:r>
        <w:rPr>
          <w:sz w:val="24"/>
        </w:rPr>
        <w:t>The fee may also be used to pay for any eligible activities under EHV service fees (TPS- I.B).</w:t>
      </w:r>
    </w:p>
    <w:p w:rsidR="004E13A5" w:rsidRDefault="00681463">
      <w:pPr>
        <w:pStyle w:val="ListParagraph"/>
        <w:numPr>
          <w:ilvl w:val="2"/>
          <w:numId w:val="11"/>
        </w:numPr>
        <w:tabs>
          <w:tab w:val="left" w:pos="580"/>
          <w:tab w:val="left" w:pos="581"/>
        </w:tabs>
        <w:spacing w:before="90"/>
        <w:ind w:right="361"/>
        <w:rPr>
          <w:sz w:val="24"/>
        </w:rPr>
      </w:pPr>
      <w:r>
        <w:rPr>
          <w:sz w:val="24"/>
        </w:rPr>
        <w:t>Placement fees/expedited issuance reporting fees will support initial lease-up costs and</w:t>
      </w:r>
      <w:r>
        <w:rPr>
          <w:spacing w:val="-12"/>
          <w:sz w:val="24"/>
        </w:rPr>
        <w:t xml:space="preserve"> </w:t>
      </w:r>
      <w:r>
        <w:rPr>
          <w:sz w:val="24"/>
        </w:rPr>
        <w:t>the added cost and effort required to expedite leasing of</w:t>
      </w:r>
      <w:r>
        <w:rPr>
          <w:spacing w:val="-11"/>
          <w:sz w:val="24"/>
        </w:rPr>
        <w:t xml:space="preserve"> </w:t>
      </w:r>
      <w:r>
        <w:rPr>
          <w:sz w:val="24"/>
        </w:rPr>
        <w:t>EHVs:</w:t>
      </w:r>
    </w:p>
    <w:p w:rsidR="004E13A5" w:rsidRDefault="00681463">
      <w:pPr>
        <w:pStyle w:val="ListParagraph"/>
        <w:numPr>
          <w:ilvl w:val="3"/>
          <w:numId w:val="11"/>
        </w:numPr>
        <w:tabs>
          <w:tab w:val="left" w:pos="940"/>
          <w:tab w:val="left" w:pos="941"/>
        </w:tabs>
        <w:spacing w:before="1"/>
        <w:ind w:right="336"/>
        <w:rPr>
          <w:sz w:val="24"/>
        </w:rPr>
      </w:pPr>
      <w:r>
        <w:rPr>
          <w:sz w:val="24"/>
        </w:rPr>
        <w:t>$100 for each EHV initially leased, if the PHA reports the voucher issuance date in Public Housing Information Center–Next Generation (PIC–NG) system within 14</w:t>
      </w:r>
      <w:r>
        <w:rPr>
          <w:spacing w:val="-15"/>
          <w:sz w:val="24"/>
        </w:rPr>
        <w:t xml:space="preserve"> </w:t>
      </w:r>
      <w:r>
        <w:rPr>
          <w:sz w:val="24"/>
        </w:rPr>
        <w:t>days of voucher issuance or the date the system becomes available for</w:t>
      </w:r>
      <w:r>
        <w:rPr>
          <w:spacing w:val="-12"/>
          <w:sz w:val="24"/>
        </w:rPr>
        <w:t xml:space="preserve"> </w:t>
      </w:r>
      <w:r>
        <w:rPr>
          <w:sz w:val="24"/>
        </w:rPr>
        <w:t>reporting.</w:t>
      </w:r>
    </w:p>
    <w:p w:rsidR="004E13A5" w:rsidRDefault="00681463">
      <w:pPr>
        <w:pStyle w:val="BodyText"/>
        <w:spacing w:before="0"/>
        <w:ind w:left="580"/>
      </w:pPr>
      <w:r>
        <w:t>-Placement fees:</w:t>
      </w:r>
    </w:p>
    <w:p w:rsidR="004E13A5" w:rsidRDefault="00681463">
      <w:pPr>
        <w:pStyle w:val="ListParagraph"/>
        <w:numPr>
          <w:ilvl w:val="4"/>
          <w:numId w:val="11"/>
        </w:numPr>
        <w:tabs>
          <w:tab w:val="left" w:pos="1300"/>
          <w:tab w:val="left" w:pos="1301"/>
        </w:tabs>
        <w:spacing w:before="120"/>
        <w:ind w:right="912"/>
        <w:rPr>
          <w:sz w:val="24"/>
        </w:rPr>
      </w:pPr>
      <w:r>
        <w:rPr>
          <w:sz w:val="24"/>
        </w:rPr>
        <w:t>$500 for each EHV family placed under a HAP contract effective within four months of the effective date of the ACC funding increment;</w:t>
      </w:r>
      <w:r>
        <w:rPr>
          <w:spacing w:val="-11"/>
          <w:sz w:val="24"/>
        </w:rPr>
        <w:t xml:space="preserve"> </w:t>
      </w:r>
      <w:r>
        <w:rPr>
          <w:sz w:val="24"/>
        </w:rPr>
        <w:t>or</w:t>
      </w:r>
    </w:p>
    <w:p w:rsidR="004E13A5" w:rsidRDefault="00681463">
      <w:pPr>
        <w:pStyle w:val="ListParagraph"/>
        <w:numPr>
          <w:ilvl w:val="4"/>
          <w:numId w:val="11"/>
        </w:numPr>
        <w:tabs>
          <w:tab w:val="left" w:pos="1301"/>
        </w:tabs>
        <w:ind w:right="1082"/>
        <w:jc w:val="both"/>
        <w:rPr>
          <w:sz w:val="24"/>
        </w:rPr>
      </w:pPr>
      <w:r>
        <w:rPr>
          <w:sz w:val="24"/>
        </w:rPr>
        <w:t>$250 for each EHV family placed under a HAP contract effective after four months but less than six months after the effective date of the ACC</w:t>
      </w:r>
      <w:r>
        <w:rPr>
          <w:spacing w:val="-16"/>
          <w:sz w:val="24"/>
        </w:rPr>
        <w:t xml:space="preserve"> </w:t>
      </w:r>
      <w:r>
        <w:rPr>
          <w:sz w:val="24"/>
        </w:rPr>
        <w:t>funding increment.</w:t>
      </w:r>
    </w:p>
    <w:p w:rsidR="004E13A5" w:rsidRDefault="00681463">
      <w:pPr>
        <w:pStyle w:val="ListParagraph"/>
        <w:numPr>
          <w:ilvl w:val="4"/>
          <w:numId w:val="11"/>
        </w:numPr>
        <w:tabs>
          <w:tab w:val="left" w:pos="1300"/>
          <w:tab w:val="left" w:pos="1301"/>
        </w:tabs>
        <w:ind w:right="922"/>
        <w:rPr>
          <w:sz w:val="24"/>
        </w:rPr>
      </w:pPr>
      <w:r>
        <w:rPr>
          <w:sz w:val="24"/>
        </w:rPr>
        <w:t>HUD will determine placement fees in the event of multiple EHV</w:t>
      </w:r>
      <w:r>
        <w:rPr>
          <w:spacing w:val="-11"/>
          <w:sz w:val="24"/>
        </w:rPr>
        <w:t xml:space="preserve"> </w:t>
      </w:r>
      <w:r>
        <w:rPr>
          <w:sz w:val="24"/>
        </w:rPr>
        <w:t>allocations and funding increment effective</w:t>
      </w:r>
      <w:r>
        <w:rPr>
          <w:spacing w:val="-21"/>
          <w:sz w:val="24"/>
        </w:rPr>
        <w:t xml:space="preserve"> </w:t>
      </w:r>
      <w:r>
        <w:rPr>
          <w:sz w:val="24"/>
        </w:rPr>
        <w:t>dates.</w:t>
      </w:r>
    </w:p>
    <w:p w:rsidR="004E13A5" w:rsidRDefault="00681463">
      <w:pPr>
        <w:pStyle w:val="ListParagraph"/>
        <w:numPr>
          <w:ilvl w:val="3"/>
          <w:numId w:val="11"/>
        </w:numPr>
        <w:tabs>
          <w:tab w:val="left" w:pos="940"/>
          <w:tab w:val="left" w:pos="941"/>
        </w:tabs>
        <w:ind w:right="353"/>
        <w:rPr>
          <w:sz w:val="24"/>
        </w:rPr>
      </w:pPr>
      <w:r>
        <w:rPr>
          <w:sz w:val="24"/>
        </w:rPr>
        <w:t>Placement/expedited issuance fees only apply to the initial leasing of the voucher; they are not paid for family moves or to turnover</w:t>
      </w:r>
      <w:r>
        <w:rPr>
          <w:spacing w:val="-26"/>
          <w:sz w:val="24"/>
        </w:rPr>
        <w:t xml:space="preserve"> </w:t>
      </w:r>
      <w:r>
        <w:rPr>
          <w:sz w:val="24"/>
        </w:rPr>
        <w:t>vouchers.</w:t>
      </w:r>
    </w:p>
    <w:p w:rsidR="004E13A5" w:rsidRDefault="00681463">
      <w:pPr>
        <w:pStyle w:val="ListParagraph"/>
        <w:numPr>
          <w:ilvl w:val="2"/>
          <w:numId w:val="11"/>
        </w:numPr>
        <w:tabs>
          <w:tab w:val="left" w:pos="580"/>
          <w:tab w:val="left" w:pos="581"/>
        </w:tabs>
        <w:ind w:right="986"/>
        <w:rPr>
          <w:sz w:val="24"/>
        </w:rPr>
      </w:pPr>
      <w:r>
        <w:rPr>
          <w:b/>
          <w:sz w:val="24"/>
        </w:rPr>
        <w:t xml:space="preserve">Ongoing administrative fees, </w:t>
      </w:r>
      <w:r>
        <w:rPr>
          <w:sz w:val="24"/>
        </w:rPr>
        <w:t>which are calculated in the same way as the standard HCV</w:t>
      </w:r>
      <w:r>
        <w:rPr>
          <w:spacing w:val="-4"/>
          <w:sz w:val="24"/>
        </w:rPr>
        <w:t xml:space="preserve"> </w:t>
      </w:r>
      <w:r>
        <w:rPr>
          <w:sz w:val="24"/>
        </w:rPr>
        <w:t>program:</w:t>
      </w:r>
    </w:p>
    <w:p w:rsidR="004E13A5" w:rsidRDefault="00681463">
      <w:pPr>
        <w:pStyle w:val="ListParagraph"/>
        <w:numPr>
          <w:ilvl w:val="3"/>
          <w:numId w:val="11"/>
        </w:numPr>
        <w:tabs>
          <w:tab w:val="left" w:pos="940"/>
          <w:tab w:val="left" w:pos="941"/>
        </w:tabs>
        <w:spacing w:before="118"/>
        <w:ind w:right="844"/>
        <w:rPr>
          <w:sz w:val="24"/>
        </w:rPr>
      </w:pPr>
      <w:r>
        <w:rPr>
          <w:sz w:val="24"/>
        </w:rPr>
        <w:t>PHAs are allocated administrative fees using the full column A administrative</w:t>
      </w:r>
      <w:r>
        <w:rPr>
          <w:spacing w:val="-18"/>
          <w:sz w:val="24"/>
        </w:rPr>
        <w:t xml:space="preserve"> </w:t>
      </w:r>
      <w:r>
        <w:rPr>
          <w:sz w:val="24"/>
        </w:rPr>
        <w:t>fee amount for each EHV under contract as of the first day of each</w:t>
      </w:r>
      <w:r>
        <w:rPr>
          <w:spacing w:val="-12"/>
          <w:sz w:val="24"/>
        </w:rPr>
        <w:t xml:space="preserve"> </w:t>
      </w:r>
      <w:r>
        <w:rPr>
          <w:sz w:val="24"/>
        </w:rPr>
        <w:t>month.</w:t>
      </w:r>
    </w:p>
    <w:p w:rsidR="004E13A5" w:rsidRDefault="00681463">
      <w:pPr>
        <w:pStyle w:val="ListParagraph"/>
        <w:numPr>
          <w:ilvl w:val="3"/>
          <w:numId w:val="11"/>
        </w:numPr>
        <w:tabs>
          <w:tab w:val="left" w:pos="940"/>
          <w:tab w:val="left" w:pos="941"/>
        </w:tabs>
        <w:spacing w:before="118"/>
        <w:rPr>
          <w:sz w:val="24"/>
        </w:rPr>
      </w:pPr>
      <w:r>
        <w:rPr>
          <w:sz w:val="24"/>
        </w:rPr>
        <w:t>Ongoing EHV administrative fees may be subject to proration in future years,</w:t>
      </w:r>
      <w:r>
        <w:rPr>
          <w:spacing w:val="-18"/>
          <w:sz w:val="24"/>
        </w:rPr>
        <w:t xml:space="preserve"> </w:t>
      </w:r>
      <w:r>
        <w:rPr>
          <w:sz w:val="24"/>
        </w:rPr>
        <w:t>based</w:t>
      </w:r>
    </w:p>
    <w:p w:rsidR="004E13A5" w:rsidRDefault="004E13A5">
      <w:pPr>
        <w:rPr>
          <w:sz w:val="24"/>
        </w:rPr>
        <w:sectPr w:rsidR="004E13A5">
          <w:pgSz w:w="12240" w:h="15840"/>
          <w:pgMar w:top="1000" w:right="1380" w:bottom="1240" w:left="1220" w:header="0" w:footer="1058" w:gutter="0"/>
          <w:cols w:space="720"/>
        </w:sectPr>
      </w:pPr>
    </w:p>
    <w:p w:rsidR="004E13A5" w:rsidRDefault="00681463">
      <w:pPr>
        <w:pStyle w:val="BodyText"/>
        <w:spacing w:before="79"/>
        <w:ind w:left="940"/>
      </w:pPr>
      <w:r>
        <w:lastRenderedPageBreak/>
        <w:t>on available EHV funding.</w:t>
      </w:r>
    </w:p>
    <w:p w:rsidR="004E13A5" w:rsidRDefault="00681463">
      <w:pPr>
        <w:pStyle w:val="ListParagraph"/>
        <w:numPr>
          <w:ilvl w:val="2"/>
          <w:numId w:val="11"/>
        </w:numPr>
        <w:tabs>
          <w:tab w:val="left" w:pos="580"/>
          <w:tab w:val="left" w:pos="581"/>
        </w:tabs>
        <w:spacing w:before="120"/>
        <w:ind w:right="329"/>
        <w:rPr>
          <w:sz w:val="24"/>
        </w:rPr>
      </w:pPr>
      <w:r>
        <w:rPr>
          <w:b/>
          <w:sz w:val="24"/>
        </w:rPr>
        <w:t xml:space="preserve">Services fees, </w:t>
      </w:r>
      <w:r>
        <w:rPr>
          <w:sz w:val="24"/>
        </w:rPr>
        <w:t>which are a one-time fee to support PHAs’ efforts to implement and</w:t>
      </w:r>
      <w:r>
        <w:rPr>
          <w:spacing w:val="-14"/>
          <w:sz w:val="24"/>
        </w:rPr>
        <w:t xml:space="preserve"> </w:t>
      </w:r>
      <w:r>
        <w:rPr>
          <w:sz w:val="24"/>
        </w:rPr>
        <w:t>operate an effective EHV services program in its jurisdiction</w:t>
      </w:r>
      <w:r>
        <w:rPr>
          <w:spacing w:val="-18"/>
          <w:sz w:val="24"/>
        </w:rPr>
        <w:t xml:space="preserve"> </w:t>
      </w:r>
      <w:r>
        <w:rPr>
          <w:sz w:val="24"/>
        </w:rPr>
        <w:t>(TPS-I.B):</w:t>
      </w:r>
    </w:p>
    <w:p w:rsidR="004E13A5" w:rsidRDefault="00681463">
      <w:pPr>
        <w:pStyle w:val="ListParagraph"/>
        <w:numPr>
          <w:ilvl w:val="3"/>
          <w:numId w:val="11"/>
        </w:numPr>
        <w:tabs>
          <w:tab w:val="left" w:pos="940"/>
          <w:tab w:val="left" w:pos="941"/>
        </w:tabs>
        <w:rPr>
          <w:sz w:val="24"/>
        </w:rPr>
      </w:pPr>
      <w:r>
        <w:rPr>
          <w:sz w:val="24"/>
        </w:rPr>
        <w:t>The fee is allocated once the PHA’s CACC is amended to reflect EHV</w:t>
      </w:r>
      <w:r>
        <w:rPr>
          <w:spacing w:val="-23"/>
          <w:sz w:val="24"/>
        </w:rPr>
        <w:t xml:space="preserve"> </w:t>
      </w:r>
      <w:r>
        <w:rPr>
          <w:sz w:val="24"/>
        </w:rPr>
        <w:t>funding.</w:t>
      </w:r>
    </w:p>
    <w:p w:rsidR="004E13A5" w:rsidRDefault="00681463">
      <w:pPr>
        <w:pStyle w:val="ListParagraph"/>
        <w:numPr>
          <w:ilvl w:val="3"/>
          <w:numId w:val="11"/>
        </w:numPr>
        <w:tabs>
          <w:tab w:val="left" w:pos="940"/>
          <w:tab w:val="left" w:pos="941"/>
        </w:tabs>
        <w:rPr>
          <w:sz w:val="24"/>
        </w:rPr>
      </w:pPr>
      <w:r>
        <w:rPr>
          <w:sz w:val="24"/>
        </w:rPr>
        <w:t>The amount allocated is $3,500 for each EHV</w:t>
      </w:r>
      <w:r>
        <w:rPr>
          <w:spacing w:val="-28"/>
          <w:sz w:val="24"/>
        </w:rPr>
        <w:t xml:space="preserve"> </w:t>
      </w:r>
      <w:r>
        <w:rPr>
          <w:sz w:val="24"/>
        </w:rPr>
        <w:t>allocated.</w:t>
      </w:r>
    </w:p>
    <w:p w:rsidR="004E13A5" w:rsidRDefault="00681463">
      <w:pPr>
        <w:pStyle w:val="Heading4"/>
        <w:numPr>
          <w:ilvl w:val="1"/>
          <w:numId w:val="11"/>
        </w:numPr>
        <w:tabs>
          <w:tab w:val="left" w:pos="820"/>
          <w:tab w:val="left" w:pos="821"/>
        </w:tabs>
        <w:spacing w:before="144"/>
      </w:pPr>
      <w:r>
        <w:t>SERVICE</w:t>
      </w:r>
      <w:r>
        <w:rPr>
          <w:spacing w:val="-14"/>
        </w:rPr>
        <w:t xml:space="preserve"> </w:t>
      </w:r>
      <w:r>
        <w:t>FEES</w:t>
      </w:r>
    </w:p>
    <w:p w:rsidR="004E13A5" w:rsidRDefault="00681463">
      <w:pPr>
        <w:pStyle w:val="BodyText"/>
        <w:spacing w:before="120"/>
        <w:ind w:right="222"/>
      </w:pPr>
      <w:r>
        <w:t>Services fee funding must be initially used for defined eligible uses and not for other administrative expenses of operating the EHV program. Service fees fall into four categories:</w:t>
      </w:r>
    </w:p>
    <w:p w:rsidR="004E13A5" w:rsidRDefault="00681463">
      <w:pPr>
        <w:pStyle w:val="ListParagraph"/>
        <w:numPr>
          <w:ilvl w:val="2"/>
          <w:numId w:val="11"/>
        </w:numPr>
        <w:tabs>
          <w:tab w:val="left" w:pos="592"/>
          <w:tab w:val="left" w:pos="593"/>
        </w:tabs>
        <w:spacing w:before="151"/>
        <w:ind w:left="592"/>
        <w:rPr>
          <w:sz w:val="24"/>
        </w:rPr>
      </w:pPr>
      <w:r>
        <w:rPr>
          <w:sz w:val="24"/>
        </w:rPr>
        <w:t>Housing search</w:t>
      </w:r>
      <w:r>
        <w:rPr>
          <w:spacing w:val="-16"/>
          <w:sz w:val="24"/>
        </w:rPr>
        <w:t xml:space="preserve"> </w:t>
      </w:r>
      <w:r>
        <w:rPr>
          <w:sz w:val="24"/>
        </w:rPr>
        <w:t>assistance</w:t>
      </w:r>
    </w:p>
    <w:p w:rsidR="004E13A5" w:rsidRDefault="00681463">
      <w:pPr>
        <w:pStyle w:val="ListParagraph"/>
        <w:numPr>
          <w:ilvl w:val="2"/>
          <w:numId w:val="11"/>
        </w:numPr>
        <w:tabs>
          <w:tab w:val="left" w:pos="592"/>
          <w:tab w:val="left" w:pos="593"/>
        </w:tabs>
        <w:spacing w:before="116"/>
        <w:ind w:left="592"/>
        <w:rPr>
          <w:sz w:val="24"/>
        </w:rPr>
      </w:pPr>
      <w:r>
        <w:rPr>
          <w:sz w:val="24"/>
        </w:rPr>
        <w:t>Security deposit/utility deposit/rental application/holding fee</w:t>
      </w:r>
      <w:r>
        <w:rPr>
          <w:spacing w:val="-32"/>
          <w:sz w:val="24"/>
        </w:rPr>
        <w:t xml:space="preserve"> </w:t>
      </w:r>
      <w:r>
        <w:rPr>
          <w:sz w:val="24"/>
        </w:rPr>
        <w:t>uses</w:t>
      </w:r>
    </w:p>
    <w:p w:rsidR="004E13A5" w:rsidRDefault="00681463">
      <w:pPr>
        <w:pStyle w:val="ListParagraph"/>
        <w:numPr>
          <w:ilvl w:val="2"/>
          <w:numId w:val="11"/>
        </w:numPr>
        <w:tabs>
          <w:tab w:val="left" w:pos="592"/>
          <w:tab w:val="left" w:pos="593"/>
        </w:tabs>
        <w:ind w:left="592"/>
        <w:rPr>
          <w:sz w:val="24"/>
        </w:rPr>
      </w:pPr>
      <w:r>
        <w:rPr>
          <w:sz w:val="24"/>
        </w:rPr>
        <w:t>Owner-related</w:t>
      </w:r>
      <w:r>
        <w:rPr>
          <w:spacing w:val="-7"/>
          <w:sz w:val="24"/>
        </w:rPr>
        <w:t xml:space="preserve"> </w:t>
      </w:r>
      <w:r>
        <w:rPr>
          <w:sz w:val="24"/>
        </w:rPr>
        <w:t>uses</w:t>
      </w:r>
    </w:p>
    <w:p w:rsidR="004E13A5" w:rsidRDefault="00681463">
      <w:pPr>
        <w:pStyle w:val="ListParagraph"/>
        <w:numPr>
          <w:ilvl w:val="2"/>
          <w:numId w:val="11"/>
        </w:numPr>
        <w:tabs>
          <w:tab w:val="left" w:pos="592"/>
          <w:tab w:val="left" w:pos="593"/>
        </w:tabs>
        <w:spacing w:before="116"/>
        <w:ind w:left="592"/>
        <w:rPr>
          <w:rFonts w:ascii="Calibri"/>
          <w:sz w:val="24"/>
        </w:rPr>
      </w:pPr>
      <w:r>
        <w:rPr>
          <w:rFonts w:ascii="Calibri"/>
          <w:sz w:val="24"/>
        </w:rPr>
        <w:t>Other</w:t>
      </w:r>
      <w:r>
        <w:rPr>
          <w:rFonts w:ascii="Calibri"/>
          <w:spacing w:val="-4"/>
          <w:sz w:val="24"/>
        </w:rPr>
        <w:t xml:space="preserve"> </w:t>
      </w:r>
      <w:r>
        <w:rPr>
          <w:rFonts w:ascii="Calibri"/>
          <w:sz w:val="24"/>
        </w:rPr>
        <w:t>eligible</w:t>
      </w:r>
      <w:r>
        <w:rPr>
          <w:rFonts w:ascii="Calibri"/>
          <w:spacing w:val="-2"/>
          <w:sz w:val="24"/>
        </w:rPr>
        <w:t xml:space="preserve"> </w:t>
      </w:r>
      <w:r>
        <w:rPr>
          <w:rFonts w:ascii="Calibri"/>
          <w:sz w:val="24"/>
        </w:rPr>
        <w:t>uses</w:t>
      </w:r>
      <w:r>
        <w:rPr>
          <w:rFonts w:ascii="Calibri"/>
          <w:spacing w:val="-3"/>
          <w:sz w:val="24"/>
        </w:rPr>
        <w:t xml:space="preserve"> </w:t>
      </w:r>
      <w:r>
        <w:rPr>
          <w:rFonts w:ascii="Calibri"/>
          <w:sz w:val="24"/>
        </w:rPr>
        <w:t>such</w:t>
      </w:r>
      <w:r>
        <w:rPr>
          <w:rFonts w:ascii="Calibri"/>
          <w:spacing w:val="-6"/>
          <w:sz w:val="24"/>
        </w:rPr>
        <w:t xml:space="preserve"> </w:t>
      </w:r>
      <w:r>
        <w:rPr>
          <w:rFonts w:ascii="Calibri"/>
          <w:sz w:val="24"/>
        </w:rPr>
        <w:t>as</w:t>
      </w:r>
      <w:r>
        <w:rPr>
          <w:rFonts w:ascii="Calibri"/>
          <w:spacing w:val="-3"/>
          <w:sz w:val="24"/>
        </w:rPr>
        <w:t xml:space="preserve"> </w:t>
      </w:r>
      <w:r>
        <w:rPr>
          <w:rFonts w:ascii="Calibri"/>
          <w:sz w:val="24"/>
        </w:rPr>
        <w:t>moving</w:t>
      </w:r>
      <w:r>
        <w:rPr>
          <w:rFonts w:ascii="Calibri"/>
          <w:spacing w:val="-5"/>
          <w:sz w:val="24"/>
        </w:rPr>
        <w:t xml:space="preserve"> </w:t>
      </w:r>
      <w:r>
        <w:rPr>
          <w:rFonts w:ascii="Calibri"/>
          <w:sz w:val="24"/>
        </w:rPr>
        <w:t>expenses</w:t>
      </w:r>
      <w:r>
        <w:rPr>
          <w:rFonts w:ascii="Calibri"/>
          <w:spacing w:val="-3"/>
          <w:sz w:val="24"/>
        </w:rPr>
        <w:t xml:space="preserve"> </w:t>
      </w:r>
      <w:r>
        <w:rPr>
          <w:rFonts w:ascii="Calibri"/>
          <w:sz w:val="24"/>
        </w:rPr>
        <w:t>or</w:t>
      </w:r>
      <w:r>
        <w:rPr>
          <w:rFonts w:ascii="Calibri"/>
          <w:spacing w:val="-4"/>
          <w:sz w:val="24"/>
        </w:rPr>
        <w:t xml:space="preserve"> </w:t>
      </w:r>
      <w:r>
        <w:rPr>
          <w:rFonts w:ascii="Calibri"/>
          <w:sz w:val="24"/>
        </w:rPr>
        <w:t>tenant-readiness</w:t>
      </w:r>
      <w:r>
        <w:rPr>
          <w:rFonts w:ascii="Calibri"/>
          <w:spacing w:val="-25"/>
          <w:sz w:val="24"/>
        </w:rPr>
        <w:t xml:space="preserve"> </w:t>
      </w:r>
      <w:r>
        <w:rPr>
          <w:rFonts w:ascii="Calibri"/>
          <w:sz w:val="24"/>
        </w:rPr>
        <w:t>services</w:t>
      </w:r>
    </w:p>
    <w:p w:rsidR="004E13A5" w:rsidRDefault="00681463">
      <w:pPr>
        <w:pStyle w:val="BodyText"/>
        <w:spacing w:before="210" w:line="242" w:lineRule="auto"/>
      </w:pPr>
      <w:r>
        <w:t>The PHA must establish the eligible uses and the parameters and requirements for service fees in the PHA’s administrative plan.</w:t>
      </w:r>
    </w:p>
    <w:p w:rsidR="004E13A5" w:rsidRDefault="00681463">
      <w:pPr>
        <w:pStyle w:val="BodyText"/>
        <w:spacing w:before="117"/>
        <w:ind w:left="820"/>
      </w:pPr>
      <w:r>
        <w:rPr>
          <w:u w:val="single"/>
        </w:rPr>
        <w:t>PHA Policy</w:t>
      </w:r>
    </w:p>
    <w:p w:rsidR="004E13A5" w:rsidRDefault="00681463">
      <w:pPr>
        <w:pStyle w:val="BodyText"/>
        <w:spacing w:before="134"/>
        <w:ind w:left="820"/>
      </w:pPr>
      <w:r>
        <w:t>The eligible uses for service fees include:</w:t>
      </w:r>
    </w:p>
    <w:p w:rsidR="004E13A5" w:rsidRDefault="00681463">
      <w:pPr>
        <w:pStyle w:val="BodyText"/>
        <w:ind w:left="820" w:right="222"/>
      </w:pPr>
      <w:r>
        <w:rPr>
          <w:b/>
        </w:rPr>
        <w:t xml:space="preserve">Housing search assistance, </w:t>
      </w:r>
      <w:r>
        <w:t>which may include activities such as, but not limited to, helping a family identify and visit potentially available units during their housing search, helping to find a unit that meets the household’s disability-related needs, providing transportation and directions, assisting with the completion of rental applications and PHA forms, and helping to expedite the EHV leasing process for the family.</w:t>
      </w:r>
    </w:p>
    <w:p w:rsidR="004E13A5" w:rsidRDefault="00681463">
      <w:pPr>
        <w:spacing w:before="119"/>
        <w:ind w:left="820" w:right="353"/>
        <w:rPr>
          <w:sz w:val="24"/>
        </w:rPr>
      </w:pPr>
      <w:r>
        <w:rPr>
          <w:b/>
          <w:sz w:val="24"/>
        </w:rPr>
        <w:t xml:space="preserve">Application fees/non-refundable administrative or processing fees/refundable application deposit assistance. </w:t>
      </w:r>
      <w:r>
        <w:rPr>
          <w:sz w:val="24"/>
        </w:rPr>
        <w:t>The PHA may choose to assist the family with some or all these expenses.</w:t>
      </w:r>
    </w:p>
    <w:p w:rsidR="004E13A5" w:rsidRDefault="00681463">
      <w:pPr>
        <w:pStyle w:val="BodyText"/>
        <w:spacing w:before="139"/>
        <w:ind w:left="820" w:right="23"/>
      </w:pPr>
      <w:r>
        <w:rPr>
          <w:b/>
        </w:rPr>
        <w:t xml:space="preserve">Holding fees </w:t>
      </w:r>
      <w:r>
        <w:t>are fees an owner requests that are rolled into the security deposit after an application is accepted but before a lease is signed. The PHA may cover part or all of the holding fee for units where the fee is required by the owner after a tenant’s application has been accepted but before the lease signing. The PHA and owner must agree how the holding fee gets rolled into the deposit, and under what conditions the fee will be returned. In general, owners need to accept responsibility for making needed repairs to a unit required by the initial housing quality standards (</w:t>
      </w:r>
      <w:r w:rsidR="002C4221">
        <w:t>NSPIRE</w:t>
      </w:r>
      <w:r>
        <w:t>) inspections and can only keep the holding fee if the client is at fault for not entering into a lease.</w:t>
      </w:r>
    </w:p>
    <w:p w:rsidR="004E13A5" w:rsidRDefault="00681463">
      <w:pPr>
        <w:pStyle w:val="BodyText"/>
        <w:spacing w:before="120"/>
        <w:ind w:left="820" w:right="448"/>
      </w:pPr>
      <w:r>
        <w:rPr>
          <w:b/>
        </w:rPr>
        <w:t xml:space="preserve">Security deposit assistance. </w:t>
      </w:r>
      <w:r>
        <w:t>The amount of the security deposit assistance may not exceed the lesser of two months’ rent to owner, the maximum security deposit allowed under applicable state and/or local law, or the actual security deposit required by the owner. The PHA may pay the security deposit assistance directly to the owner or may pay the assistance to the family. If paid to the family, the PHA will require documentation that the family paid the security deposit.</w:t>
      </w:r>
    </w:p>
    <w:p w:rsidR="004E13A5" w:rsidRDefault="00681463">
      <w:pPr>
        <w:spacing w:before="119"/>
        <w:ind w:left="820" w:right="742"/>
        <w:rPr>
          <w:sz w:val="24"/>
        </w:rPr>
      </w:pPr>
      <w:r>
        <w:rPr>
          <w:b/>
          <w:sz w:val="24"/>
        </w:rPr>
        <w:t xml:space="preserve">Utility deposit assistance/utility arrears. </w:t>
      </w:r>
      <w:r>
        <w:rPr>
          <w:sz w:val="24"/>
        </w:rPr>
        <w:t>The PHA may provide utility deposit assistance for some or all of the family’s utility deposit expenses. Assistance can be</w:t>
      </w:r>
    </w:p>
    <w:p w:rsidR="004E13A5" w:rsidRDefault="004E13A5">
      <w:pPr>
        <w:rPr>
          <w:sz w:val="24"/>
        </w:rPr>
        <w:sectPr w:rsidR="004E13A5">
          <w:pgSz w:w="12240" w:h="15840"/>
          <w:pgMar w:top="1000" w:right="1400" w:bottom="1240" w:left="1220" w:header="0" w:footer="1058" w:gutter="0"/>
          <w:cols w:space="720"/>
        </w:sectPr>
      </w:pPr>
    </w:p>
    <w:p w:rsidR="004E13A5" w:rsidRDefault="00681463">
      <w:pPr>
        <w:pStyle w:val="BodyText"/>
        <w:spacing w:before="79"/>
        <w:ind w:left="320" w:right="326"/>
      </w:pPr>
      <w:r>
        <w:lastRenderedPageBreak/>
        <w:t>provided for deposits (including connection fees) required for the utilities to be supplied by the tenant under the lease. The PHA may pay the utility deposit assistance directly to the utility company or may pay the assistance to the family. If paid to the family, the PHA will require documentation the family paid the utility deposit. The PHA will require the utility supplier or family to return the utility deposit assistance to the PHA at such time the deposit is returned by the utility supplier (less any amounts retained by the utility supplier). In addition, some families may have large balances with gas, electric, water, sewer, or trash companies that will make it difficult if not impossible to establish services for tenant-supplied utilities. The PHA may also provide the family with assistance to help address these utility arrears to facilitate leasing. Utility deposit assistance returned to the PHA will be used for either services fee eligible uses or other EHV administrative costs, as required by</w:t>
      </w:r>
      <w:r>
        <w:rPr>
          <w:spacing w:val="-6"/>
        </w:rPr>
        <w:t xml:space="preserve"> </w:t>
      </w:r>
      <w:r>
        <w:t>HUD.</w:t>
      </w:r>
    </w:p>
    <w:p w:rsidR="004E13A5" w:rsidRDefault="00681463">
      <w:pPr>
        <w:pStyle w:val="BodyText"/>
        <w:spacing w:before="120"/>
        <w:ind w:left="320" w:right="355"/>
      </w:pPr>
      <w:r>
        <w:rPr>
          <w:b/>
        </w:rPr>
        <w:t xml:space="preserve">Owner recruitment and outreach for EHVs. </w:t>
      </w:r>
      <w:r>
        <w:t>The PHA may use the service fee funding to conduct owner recruitment and outreach specifically for EHVs. In addition to traditional owner recruitment and outreach, activities may include conducting pre- inspections or otherwise expediting the inspection process, providing enhanced customer service, and offering owner incentive and/or retention payments</w:t>
      </w:r>
    </w:p>
    <w:p w:rsidR="004E13A5" w:rsidRDefault="00681463">
      <w:pPr>
        <w:spacing w:before="120"/>
        <w:ind w:left="320" w:right="355"/>
        <w:rPr>
          <w:sz w:val="24"/>
        </w:rPr>
      </w:pPr>
      <w:r>
        <w:rPr>
          <w:b/>
          <w:sz w:val="24"/>
        </w:rPr>
        <w:t xml:space="preserve">Owner incentive and/or retention payments. </w:t>
      </w:r>
      <w:r>
        <w:rPr>
          <w:sz w:val="24"/>
        </w:rPr>
        <w:t>The PHA may make incentive or retention payments to owners that agree to initially lease their unit to an EHV family and/ or renew the lease of an EHV family.</w:t>
      </w:r>
    </w:p>
    <w:p w:rsidR="004E13A5" w:rsidRDefault="00681463">
      <w:pPr>
        <w:pStyle w:val="BodyText"/>
        <w:spacing w:before="139"/>
        <w:ind w:left="320" w:right="355"/>
      </w:pPr>
      <w:r>
        <w:t>Payments will be made as a single payment at the beginning of the assisted lease term (or lease renewal if a retention payment). Owner incentive and retentions payments are not housing assistance payments, are not part of the rent to owner, and are not taken into consideration when determining whether the rent for the unit is reasonable.</w:t>
      </w:r>
    </w:p>
    <w:p w:rsidR="004E13A5" w:rsidRDefault="00681463">
      <w:pPr>
        <w:pStyle w:val="BodyText"/>
        <w:spacing w:before="139"/>
        <w:ind w:left="320" w:right="282"/>
      </w:pPr>
      <w:r>
        <w:rPr>
          <w:b/>
        </w:rPr>
        <w:t xml:space="preserve">Moving expenses (including move-in fees and deposits). </w:t>
      </w:r>
      <w:r>
        <w:t>The PHA may provide assistance for some or all of the family’s reasonable moving expenses when they initially lease a unit with the EHV. The PHA will not provide moving expenses assistance for subsequent moves unless the family is required to move for reasons other than something the family did or failed to do (e.g., the PHA is terminating the HAP contract because the owner did not fulfill the owner responsibilities under the HAP contract or the owner is refusing to offer the family the opportunity to enter a new lease after the initial lease term, as opposed to the family choosing to terminate the tenancy in order to move to another unit), or a family has to move due to domestic violence, dating violence, sexual assault, or stalking.</w:t>
      </w:r>
    </w:p>
    <w:p w:rsidR="004E13A5" w:rsidRDefault="00681463">
      <w:pPr>
        <w:pStyle w:val="BodyText"/>
        <w:spacing w:before="139"/>
        <w:ind w:left="320" w:right="582"/>
      </w:pPr>
      <w:r>
        <w:rPr>
          <w:b/>
        </w:rPr>
        <w:t xml:space="preserve">Tenant-readiness services. </w:t>
      </w:r>
      <w:r>
        <w:t>The PHA may use fees to help create a customized plan to address or mitigate barriers that individual families may face in renting a unit with an EHV, such as negative credit, lack of credit, negative rental or utility history, or to connect the family to other community resources (including COVID-related resources) that can assist with rental arrears.</w:t>
      </w:r>
    </w:p>
    <w:p w:rsidR="004E13A5" w:rsidRDefault="00681463">
      <w:pPr>
        <w:pStyle w:val="BodyText"/>
        <w:spacing w:before="120"/>
        <w:ind w:left="320"/>
      </w:pPr>
      <w:r>
        <w:rPr>
          <w:b/>
        </w:rPr>
        <w:t xml:space="preserve">Essential household items. </w:t>
      </w:r>
      <w:r>
        <w:t>The PHA may use services fee funding to assist the family with some or all of the costs of acquiring essential household items such as tableware, cooking equipment, beds or bedding, and essential sanitary products such as soap and toiletries.</w:t>
      </w:r>
    </w:p>
    <w:p w:rsidR="004E13A5" w:rsidRDefault="00681463">
      <w:pPr>
        <w:spacing w:before="139"/>
        <w:ind w:left="320" w:right="494"/>
        <w:rPr>
          <w:sz w:val="24"/>
        </w:rPr>
      </w:pPr>
      <w:r>
        <w:rPr>
          <w:b/>
          <w:sz w:val="24"/>
        </w:rPr>
        <w:t xml:space="preserve">Renter’s insurance if required by the lease. </w:t>
      </w:r>
      <w:r>
        <w:rPr>
          <w:sz w:val="24"/>
        </w:rPr>
        <w:t>The PHA may choose to assist the family with some or all this cost.</w:t>
      </w:r>
    </w:p>
    <w:p w:rsidR="004E13A5" w:rsidRDefault="004E13A5">
      <w:pPr>
        <w:rPr>
          <w:sz w:val="24"/>
        </w:rPr>
        <w:sectPr w:rsidR="004E13A5">
          <w:pgSz w:w="12240" w:h="15840"/>
          <w:pgMar w:top="1000" w:right="1240" w:bottom="1240" w:left="1720" w:header="0" w:footer="1058" w:gutter="0"/>
          <w:cols w:space="720"/>
        </w:sectPr>
      </w:pPr>
    </w:p>
    <w:p w:rsidR="004E13A5" w:rsidRDefault="00681463">
      <w:pPr>
        <w:pStyle w:val="BodyText"/>
        <w:spacing w:before="79"/>
        <w:ind w:right="109"/>
      </w:pPr>
      <w:r>
        <w:lastRenderedPageBreak/>
        <w:t>Any services fee assistance that is returned to the PHA after its initial or subsequent use may only be applied to the eligible services fee uses defined in Notice PIH 2021-15 (or subsequent notice) or other EHV administrative costs. Any amounts not expended for these eligible uses when the PHA’s EHV program ends must be remitted to HUD.</w:t>
      </w:r>
    </w:p>
    <w:p w:rsidR="004E13A5" w:rsidRDefault="00681463">
      <w:pPr>
        <w:pStyle w:val="Heading4"/>
        <w:spacing w:before="136"/>
        <w:ind w:left="2806" w:right="2806"/>
        <w:jc w:val="center"/>
      </w:pPr>
      <w:bookmarkStart w:id="421" w:name="_TOC_250011"/>
      <w:bookmarkEnd w:id="421"/>
      <w:r>
        <w:t>PART II: PARTNERING AGENCIES</w:t>
      </w:r>
    </w:p>
    <w:p w:rsidR="004E13A5" w:rsidRDefault="00681463">
      <w:pPr>
        <w:pStyle w:val="ListParagraph"/>
        <w:numPr>
          <w:ilvl w:val="1"/>
          <w:numId w:val="10"/>
        </w:numPr>
        <w:tabs>
          <w:tab w:val="left" w:pos="348"/>
          <w:tab w:val="left" w:pos="820"/>
        </w:tabs>
        <w:rPr>
          <w:b/>
          <w:sz w:val="24"/>
        </w:rPr>
      </w:pPr>
      <w:r>
        <w:rPr>
          <w:b/>
          <w:sz w:val="24"/>
        </w:rPr>
        <w:t>CONTINUUM OF CARE</w:t>
      </w:r>
      <w:r>
        <w:rPr>
          <w:b/>
          <w:spacing w:val="-21"/>
          <w:sz w:val="24"/>
        </w:rPr>
        <w:t xml:space="preserve"> </w:t>
      </w:r>
      <w:r>
        <w:rPr>
          <w:b/>
          <w:sz w:val="24"/>
        </w:rPr>
        <w:t>(CoC)</w:t>
      </w:r>
    </w:p>
    <w:p w:rsidR="004E13A5" w:rsidRDefault="00681463">
      <w:pPr>
        <w:pStyle w:val="BodyText"/>
        <w:spacing w:before="139"/>
        <w:ind w:right="748"/>
      </w:pPr>
      <w:r>
        <w:t>PHAs that accept an allocation of EHVs are required to enter into a Memorandum of Understanding (MOU) with the Continuum of Care (CoC) to establish a partnership for the administration of EHVs.</w:t>
      </w:r>
    </w:p>
    <w:p w:rsidR="004E13A5" w:rsidRDefault="00681463">
      <w:pPr>
        <w:pStyle w:val="BodyText"/>
        <w:spacing w:before="139"/>
        <w:ind w:left="820"/>
      </w:pPr>
      <w:r>
        <w:rPr>
          <w:u w:val="single"/>
        </w:rPr>
        <w:t>PHA Policy</w:t>
      </w:r>
    </w:p>
    <w:p w:rsidR="004E13A5" w:rsidRDefault="00681463">
      <w:pPr>
        <w:pStyle w:val="BodyText"/>
        <w:spacing w:before="141"/>
        <w:ind w:left="820"/>
        <w:rPr>
          <w:b/>
          <w:i/>
        </w:rPr>
      </w:pPr>
      <w:r>
        <w:t xml:space="preserve">The PHA has entered into an MOU with Rural Oregon Continuum of Care </w:t>
      </w:r>
      <w:r>
        <w:rPr>
          <w:b/>
          <w:i/>
        </w:rPr>
        <w:t>(ROCC).</w:t>
      </w:r>
    </w:p>
    <w:p w:rsidR="004E13A5" w:rsidRDefault="00681463">
      <w:pPr>
        <w:pStyle w:val="Heading4"/>
        <w:numPr>
          <w:ilvl w:val="1"/>
          <w:numId w:val="10"/>
        </w:numPr>
        <w:tabs>
          <w:tab w:val="left" w:pos="820"/>
          <w:tab w:val="left" w:pos="821"/>
        </w:tabs>
        <w:spacing w:before="216"/>
        <w:ind w:left="820" w:hanging="720"/>
      </w:pPr>
      <w:r>
        <w:t>OTHER PARTNERING</w:t>
      </w:r>
      <w:r>
        <w:rPr>
          <w:spacing w:val="-34"/>
        </w:rPr>
        <w:t xml:space="preserve"> </w:t>
      </w:r>
      <w:r>
        <w:t>ORGANIZATIONS</w:t>
      </w:r>
    </w:p>
    <w:p w:rsidR="004E13A5" w:rsidRDefault="00681463">
      <w:pPr>
        <w:pStyle w:val="BodyText"/>
        <w:spacing w:before="139"/>
        <w:ind w:right="443"/>
      </w:pPr>
      <w:r>
        <w:t>The PHA may, but is not required to, partner with other organizations trusted by persons experiencing homelessness, such as victim services providers (VSPs) and other community partners. If the PHA chooses to partner with such agencies, the PHA must either enter into an MOU with the partnering agency or the partnering agency may be added to the MOU between the PHA and CoC.</w:t>
      </w:r>
    </w:p>
    <w:p w:rsidR="004E13A5" w:rsidRDefault="00681463">
      <w:pPr>
        <w:pStyle w:val="BodyText"/>
        <w:spacing w:before="139"/>
        <w:ind w:left="731"/>
      </w:pPr>
      <w:r>
        <w:rPr>
          <w:u w:val="single"/>
        </w:rPr>
        <w:t>PHA Policy</w:t>
      </w:r>
    </w:p>
    <w:p w:rsidR="004E13A5" w:rsidRDefault="00681463">
      <w:pPr>
        <w:pStyle w:val="BodyText"/>
        <w:spacing w:before="141"/>
        <w:ind w:left="820" w:right="1554"/>
      </w:pPr>
      <w:r>
        <w:t>The PHA has added the SAFE Project, The Devereux Center, ORRCA and Curry County Homeless Coalition to the MOU between the PHA and CoC.</w:t>
      </w:r>
    </w:p>
    <w:p w:rsidR="004E13A5" w:rsidRDefault="00681463">
      <w:pPr>
        <w:pStyle w:val="Heading4"/>
        <w:numPr>
          <w:ilvl w:val="1"/>
          <w:numId w:val="10"/>
        </w:numPr>
        <w:tabs>
          <w:tab w:val="left" w:pos="820"/>
          <w:tab w:val="left" w:pos="821"/>
        </w:tabs>
        <w:spacing w:before="119"/>
        <w:ind w:left="820" w:hanging="720"/>
      </w:pPr>
      <w:r>
        <w:rPr>
          <w:spacing w:val="-1"/>
        </w:rPr>
        <w:t>C.</w:t>
      </w:r>
      <w:r>
        <w:rPr>
          <w:spacing w:val="-1"/>
        </w:rPr>
        <w:tab/>
        <w:t>REFERRALS</w:t>
      </w:r>
    </w:p>
    <w:p w:rsidR="004E13A5" w:rsidRDefault="00681463">
      <w:pPr>
        <w:pStyle w:val="Heading4"/>
        <w:spacing w:before="119"/>
      </w:pPr>
      <w:bookmarkStart w:id="422" w:name="_TOC_250010"/>
      <w:bookmarkEnd w:id="422"/>
      <w:r>
        <w:t>CoC and Partnering Agency Referrals</w:t>
      </w:r>
    </w:p>
    <w:p w:rsidR="004E13A5" w:rsidRDefault="00681463">
      <w:pPr>
        <w:pStyle w:val="BodyText"/>
        <w:spacing w:before="138"/>
        <w:ind w:right="95"/>
      </w:pPr>
      <w:r>
        <w:t>The primary responsibility of the CoC under the MOU with the PHA is to make direct referrals of qualifying individuals and families to the PHA. The PHA must generally refer a family that is seeking EHV assistance directly from the PHA to the CoC or other referring agency for initial intake, assessment, and possible referral for EHV assistance. Partner CoCs are responsible for determining whether the family qualifies under one of the four eligibility categories for EHVs.</w:t>
      </w:r>
    </w:p>
    <w:p w:rsidR="004E13A5" w:rsidRDefault="00681463">
      <w:pPr>
        <w:pStyle w:val="BodyText"/>
        <w:spacing w:before="0"/>
        <w:ind w:right="409"/>
      </w:pPr>
      <w:r>
        <w:t>The CoC or other direct referral partner must provide supporting documentation to the PHA of the referring agency’s verification that the family meets one of the four eligible categories for EHV assistance.</w:t>
      </w:r>
    </w:p>
    <w:p w:rsidR="004E13A5" w:rsidRDefault="00681463">
      <w:pPr>
        <w:pStyle w:val="BodyText"/>
        <w:spacing w:before="144"/>
        <w:ind w:left="820"/>
      </w:pPr>
      <w:r>
        <w:rPr>
          <w:u w:val="single"/>
        </w:rPr>
        <w:t>PHA Policy</w:t>
      </w:r>
    </w:p>
    <w:p w:rsidR="004E13A5" w:rsidRDefault="00681463">
      <w:pPr>
        <w:pStyle w:val="BodyText"/>
        <w:spacing w:before="146" w:line="249" w:lineRule="auto"/>
        <w:ind w:left="820" w:right="142"/>
      </w:pPr>
      <w:r>
        <w:t>The CoC or partnering agency must establish and implement a system to identify EHV- eligible individuals and families within the agency’s caseload and make referrals to the PHA. The CoC or other partnering agency must certify that the EHV applicants they refer to the PHA meet at least one of the four EHV eligibility criteria. The PHA will maintain a copy of the referral or certification from the CoC or other partnering agency in the participant’s file along with other eligibility paperwork. Homeless service providers may, but are not required to, use the certification form found in Exhibit TPS-2 of this chapter. Victim services providers may, but are not required to, use the certification form found in Exhibit TPS-3 of this chapter when identifying eligible families who qualify as victims of human trafficking.</w:t>
      </w:r>
    </w:p>
    <w:p w:rsidR="004E13A5" w:rsidRDefault="004E13A5">
      <w:pPr>
        <w:spacing w:line="249" w:lineRule="auto"/>
        <w:sectPr w:rsidR="004E13A5">
          <w:pgSz w:w="12240" w:h="15840"/>
          <w:pgMar w:top="1000" w:right="1400" w:bottom="1240" w:left="1220" w:header="0" w:footer="1058" w:gutter="0"/>
          <w:cols w:space="720"/>
        </w:sectPr>
      </w:pPr>
    </w:p>
    <w:p w:rsidR="004E13A5" w:rsidRDefault="00681463">
      <w:pPr>
        <w:pStyle w:val="BodyText"/>
        <w:spacing w:before="79" w:line="249" w:lineRule="auto"/>
        <w:ind w:left="820" w:right="216"/>
      </w:pPr>
      <w:r>
        <w:lastRenderedPageBreak/>
        <w:t>As part of the MOU, the PHA and CoC or other partnering agency will identify staff positions to serve as lead EHV liaisons. These positions will be responsible for transmission and acceptance of referrals. The CoC or partnering agency must commit sufficient staff and resources to ensure eligible individuals and families are identified and determined eligible in a timely manner.</w:t>
      </w:r>
    </w:p>
    <w:p w:rsidR="004E13A5" w:rsidRDefault="00681463">
      <w:pPr>
        <w:pStyle w:val="BodyText"/>
        <w:spacing w:before="121"/>
        <w:ind w:left="820" w:right="96"/>
      </w:pPr>
      <w:r>
        <w:t>The PHA liaison responsible for acceptance of referrals will contact the CoC or partnering agency liaison via email indicating the number of vouchers available and requesting an appropriate number of referrals. No more than five business days from the date the CoC or partnering agency receives this notification, the CoC or partnering agency liaison will provide the PHA with a list of eligible referrals including the name, address, and contact phone number for each adult individual who is being referred; a completed release form for each adult family member; and a written certification for each referral indicating they are EHV-eligible.</w:t>
      </w:r>
    </w:p>
    <w:p w:rsidR="004E13A5" w:rsidRDefault="00681463">
      <w:pPr>
        <w:pStyle w:val="Heading4"/>
        <w:spacing w:before="120"/>
      </w:pPr>
      <w:bookmarkStart w:id="423" w:name="_TOC_250009"/>
      <w:bookmarkEnd w:id="423"/>
      <w:r>
        <w:t>Offers of Assistance with CoC Referral</w:t>
      </w:r>
    </w:p>
    <w:p w:rsidR="004E13A5" w:rsidRDefault="00681463">
      <w:pPr>
        <w:pStyle w:val="BodyText"/>
        <w:spacing w:before="117"/>
      </w:pPr>
      <w:r>
        <w:t>The PHA may make an EHV available without a referral from the CoC or other partnering organization in order to facilitate an emergency transfer under VAWA in accordance with the PHA’s Emergency Transfer Plan (ETP) in Chapter 16.</w:t>
      </w:r>
    </w:p>
    <w:p w:rsidR="004E13A5" w:rsidRDefault="00681463">
      <w:pPr>
        <w:pStyle w:val="BodyText"/>
        <w:spacing w:before="139"/>
      </w:pPr>
      <w:r>
        <w:t>The PHA must also take direct referrals from outside the CoC if:</w:t>
      </w:r>
    </w:p>
    <w:p w:rsidR="004E13A5" w:rsidRDefault="00681463">
      <w:pPr>
        <w:pStyle w:val="ListParagraph"/>
        <w:numPr>
          <w:ilvl w:val="2"/>
          <w:numId w:val="10"/>
        </w:numPr>
        <w:tabs>
          <w:tab w:val="left" w:pos="587"/>
          <w:tab w:val="left" w:pos="588"/>
        </w:tabs>
        <w:ind w:hanging="360"/>
        <w:rPr>
          <w:rFonts w:ascii="Calibri"/>
          <w:sz w:val="24"/>
        </w:rPr>
      </w:pPr>
      <w:r>
        <w:rPr>
          <w:rFonts w:ascii="Calibri"/>
          <w:sz w:val="24"/>
        </w:rPr>
        <w:t>The</w:t>
      </w:r>
      <w:r>
        <w:rPr>
          <w:rFonts w:ascii="Calibri"/>
          <w:spacing w:val="-1"/>
          <w:sz w:val="24"/>
        </w:rPr>
        <w:t xml:space="preserve"> </w:t>
      </w:r>
      <w:r>
        <w:rPr>
          <w:rFonts w:ascii="Calibri"/>
          <w:sz w:val="24"/>
        </w:rPr>
        <w:t>CoC</w:t>
      </w:r>
      <w:r>
        <w:rPr>
          <w:rFonts w:ascii="Calibri"/>
          <w:spacing w:val="-4"/>
          <w:sz w:val="24"/>
        </w:rPr>
        <w:t xml:space="preserve"> </w:t>
      </w:r>
      <w:r>
        <w:rPr>
          <w:rFonts w:ascii="Calibri"/>
          <w:sz w:val="24"/>
        </w:rPr>
        <w:t>does</w:t>
      </w:r>
      <w:r>
        <w:rPr>
          <w:rFonts w:ascii="Calibri"/>
          <w:spacing w:val="-4"/>
          <w:sz w:val="24"/>
        </w:rPr>
        <w:t xml:space="preserve"> </w:t>
      </w:r>
      <w:r>
        <w:rPr>
          <w:rFonts w:ascii="Calibri"/>
          <w:sz w:val="24"/>
        </w:rPr>
        <w:t>not</w:t>
      </w:r>
      <w:r>
        <w:rPr>
          <w:rFonts w:ascii="Calibri"/>
          <w:spacing w:val="-3"/>
          <w:sz w:val="24"/>
        </w:rPr>
        <w:t xml:space="preserve"> </w:t>
      </w:r>
      <w:r>
        <w:rPr>
          <w:rFonts w:ascii="Calibri"/>
          <w:sz w:val="24"/>
        </w:rPr>
        <w:t>have</w:t>
      </w:r>
      <w:r>
        <w:rPr>
          <w:rFonts w:ascii="Calibri"/>
          <w:spacing w:val="-1"/>
          <w:sz w:val="24"/>
        </w:rPr>
        <w:t xml:space="preserve"> </w:t>
      </w:r>
      <w:r>
        <w:rPr>
          <w:rFonts w:ascii="Calibri"/>
          <w:sz w:val="24"/>
        </w:rPr>
        <w:t>a</w:t>
      </w:r>
      <w:r>
        <w:rPr>
          <w:rFonts w:ascii="Calibri"/>
          <w:spacing w:val="-6"/>
          <w:sz w:val="24"/>
        </w:rPr>
        <w:t xml:space="preserve"> </w:t>
      </w:r>
      <w:r>
        <w:rPr>
          <w:rFonts w:ascii="Calibri"/>
          <w:sz w:val="24"/>
        </w:rPr>
        <w:t>sufficient</w:t>
      </w:r>
      <w:r>
        <w:rPr>
          <w:rFonts w:ascii="Calibri"/>
          <w:spacing w:val="-3"/>
          <w:sz w:val="24"/>
        </w:rPr>
        <w:t xml:space="preserve"> </w:t>
      </w:r>
      <w:r>
        <w:rPr>
          <w:rFonts w:ascii="Calibri"/>
          <w:sz w:val="24"/>
        </w:rPr>
        <w:t>number</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eligible</w:t>
      </w:r>
      <w:r>
        <w:rPr>
          <w:rFonts w:ascii="Calibri"/>
          <w:spacing w:val="-3"/>
          <w:sz w:val="24"/>
        </w:rPr>
        <w:t xml:space="preserve"> </w:t>
      </w:r>
      <w:r>
        <w:rPr>
          <w:rFonts w:ascii="Calibri"/>
          <w:sz w:val="24"/>
        </w:rPr>
        <w:t>families</w:t>
      </w:r>
      <w:r>
        <w:rPr>
          <w:rFonts w:ascii="Calibri"/>
          <w:spacing w:val="-4"/>
          <w:sz w:val="24"/>
        </w:rPr>
        <w:t xml:space="preserve"> </w:t>
      </w:r>
      <w:r>
        <w:rPr>
          <w:rFonts w:ascii="Calibri"/>
          <w:sz w:val="24"/>
        </w:rPr>
        <w:t>to</w:t>
      </w:r>
      <w:r>
        <w:rPr>
          <w:rFonts w:ascii="Calibri"/>
          <w:spacing w:val="-4"/>
          <w:sz w:val="24"/>
        </w:rPr>
        <w:t xml:space="preserve"> </w:t>
      </w:r>
      <w:r>
        <w:rPr>
          <w:rFonts w:ascii="Calibri"/>
          <w:sz w:val="24"/>
        </w:rPr>
        <w:t>refer</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PHA;</w:t>
      </w:r>
      <w:r>
        <w:rPr>
          <w:rFonts w:ascii="Calibri"/>
          <w:spacing w:val="-18"/>
          <w:sz w:val="24"/>
        </w:rPr>
        <w:t xml:space="preserve"> </w:t>
      </w:r>
      <w:r>
        <w:rPr>
          <w:rFonts w:ascii="Calibri"/>
          <w:sz w:val="24"/>
        </w:rPr>
        <w:t>or</w:t>
      </w:r>
    </w:p>
    <w:p w:rsidR="004E13A5" w:rsidRDefault="00681463">
      <w:pPr>
        <w:pStyle w:val="ListParagraph"/>
        <w:numPr>
          <w:ilvl w:val="2"/>
          <w:numId w:val="10"/>
        </w:numPr>
        <w:tabs>
          <w:tab w:val="left" w:pos="587"/>
          <w:tab w:val="left" w:pos="588"/>
        </w:tabs>
        <w:spacing w:before="118"/>
        <w:ind w:right="197" w:hanging="360"/>
        <w:rPr>
          <w:rFonts w:ascii="Calibri"/>
          <w:sz w:val="24"/>
        </w:rPr>
      </w:pPr>
      <w:r>
        <w:rPr>
          <w:rFonts w:ascii="Calibri"/>
          <w:sz w:val="24"/>
        </w:rPr>
        <w:t>The CoC does not identify families that may be eligible for EHV assistance because they</w:t>
      </w:r>
      <w:r>
        <w:rPr>
          <w:rFonts w:ascii="Calibri"/>
          <w:spacing w:val="-32"/>
          <w:sz w:val="24"/>
        </w:rPr>
        <w:t xml:space="preserve"> </w:t>
      </w:r>
      <w:r>
        <w:rPr>
          <w:rFonts w:ascii="Calibri"/>
          <w:sz w:val="24"/>
        </w:rPr>
        <w:t>are fleeing, or attempting to flee, domestic violence, dating violence, sexual assault, stalking or human</w:t>
      </w:r>
      <w:r>
        <w:rPr>
          <w:rFonts w:ascii="Calibri"/>
          <w:spacing w:val="-12"/>
          <w:sz w:val="24"/>
        </w:rPr>
        <w:t xml:space="preserve"> </w:t>
      </w:r>
      <w:r>
        <w:rPr>
          <w:rFonts w:ascii="Calibri"/>
          <w:sz w:val="24"/>
        </w:rPr>
        <w:t>trafficking.</w:t>
      </w:r>
    </w:p>
    <w:p w:rsidR="004E13A5" w:rsidRDefault="00681463">
      <w:pPr>
        <w:pStyle w:val="BodyText"/>
        <w:spacing w:before="133"/>
        <w:ind w:right="163"/>
      </w:pPr>
      <w:r>
        <w:t>If at any time the PHA is not receiving enough referrals or is not receiving referrals in a timely manner from the CoC or other partner referral agencies (or the PHA and CoC cannot identify any such alternative referral partner agencies), HUD may permit the PHA on a temporary or permanent basis to take EHV applications directly from applicants and admit eligible families to the EHV program in lieu of or in addition to direct referrals in those circumstances.</w:t>
      </w:r>
    </w:p>
    <w:p w:rsidR="004E13A5" w:rsidRDefault="00681463">
      <w:pPr>
        <w:pStyle w:val="Heading4"/>
        <w:spacing w:before="167"/>
        <w:ind w:left="2512"/>
      </w:pPr>
      <w:bookmarkStart w:id="424" w:name="_TOC_250008"/>
      <w:bookmarkEnd w:id="424"/>
      <w:r>
        <w:t>PART III: WAITING LIST MANAGEMENT</w:t>
      </w:r>
    </w:p>
    <w:p w:rsidR="004E13A5" w:rsidRDefault="004E13A5">
      <w:pPr>
        <w:pStyle w:val="BodyText"/>
        <w:spacing w:before="10"/>
        <w:ind w:left="0"/>
        <w:rPr>
          <w:b/>
          <w:sz w:val="32"/>
        </w:rPr>
      </w:pPr>
    </w:p>
    <w:p w:rsidR="004E13A5" w:rsidRDefault="00681463">
      <w:pPr>
        <w:ind w:left="100"/>
        <w:rPr>
          <w:b/>
          <w:sz w:val="24"/>
        </w:rPr>
      </w:pPr>
      <w:r>
        <w:rPr>
          <w:b/>
          <w:sz w:val="24"/>
        </w:rPr>
        <w:t>III. A. HCV WAITING LIST</w:t>
      </w:r>
    </w:p>
    <w:p w:rsidR="004E13A5" w:rsidRDefault="00681463">
      <w:pPr>
        <w:pStyle w:val="BodyText"/>
        <w:spacing w:before="138"/>
        <w:ind w:right="188"/>
      </w:pPr>
      <w:r>
        <w:t>The regulation that requires the PHA to admit applicants as waiting list admissions or special admissions in accordance with admission policies in Chapter 4 does not apply to PHAs operating the EHV program. Direct referrals are not added to the PHA’s HCV waiting list.</w:t>
      </w:r>
    </w:p>
    <w:p w:rsidR="004E13A5" w:rsidRDefault="00681463">
      <w:pPr>
        <w:pStyle w:val="BodyText"/>
        <w:spacing w:before="138"/>
        <w:ind w:right="461"/>
      </w:pPr>
      <w:r>
        <w:t>The PHA must inform families on the HCV waiting list of the availability of EHVs by, at a minimum, either by posting the information to their website or providing public notice in their respective communities in accordance with the requirements listed in Notice PIH 2021-15.</w:t>
      </w:r>
    </w:p>
    <w:p w:rsidR="004E13A5" w:rsidRDefault="00681463">
      <w:pPr>
        <w:pStyle w:val="BodyText"/>
        <w:ind w:left="820"/>
      </w:pPr>
      <w:r>
        <w:rPr>
          <w:u w:val="single"/>
        </w:rPr>
        <w:t>PHA Policy</w:t>
      </w:r>
    </w:p>
    <w:p w:rsidR="004E13A5" w:rsidRDefault="00681463">
      <w:pPr>
        <w:pStyle w:val="BodyText"/>
        <w:ind w:left="820"/>
      </w:pPr>
      <w:r>
        <w:t>The PHA will post information about the EHV program for families on the PHA’s HCV waiting list on their website. The notice will:</w:t>
      </w:r>
    </w:p>
    <w:p w:rsidR="004E13A5" w:rsidRDefault="00681463">
      <w:pPr>
        <w:pStyle w:val="BodyText"/>
        <w:spacing w:before="179"/>
        <w:ind w:left="1643"/>
      </w:pPr>
      <w:r>
        <w:t>Describe the eligible populations to which EHVs are limited</w:t>
      </w:r>
    </w:p>
    <w:p w:rsidR="004E13A5" w:rsidRDefault="004E13A5">
      <w:pPr>
        <w:sectPr w:rsidR="004E13A5">
          <w:pgSz w:w="12240" w:h="15840"/>
          <w:pgMar w:top="1000" w:right="1380" w:bottom="1240" w:left="1220" w:header="0" w:footer="1058" w:gutter="0"/>
          <w:cols w:space="720"/>
        </w:sectPr>
      </w:pPr>
    </w:p>
    <w:p w:rsidR="004E13A5" w:rsidRDefault="00681463">
      <w:pPr>
        <w:pStyle w:val="BodyText"/>
        <w:spacing w:before="79"/>
        <w:ind w:left="1643" w:right="395"/>
      </w:pPr>
      <w:r>
        <w:lastRenderedPageBreak/>
        <w:t>Clearly state that the availability of these EHVs is managed through a direct referral process</w:t>
      </w:r>
    </w:p>
    <w:p w:rsidR="004E13A5" w:rsidRDefault="00681463">
      <w:pPr>
        <w:pStyle w:val="BodyText"/>
        <w:spacing w:before="139"/>
        <w:ind w:left="1643" w:right="752"/>
      </w:pPr>
      <w:r>
        <w:t>Advise the family to contact the CoC (or any other PHA referral partner, if applicable) if the family believes they may be eligible for EHV assistance</w:t>
      </w:r>
    </w:p>
    <w:p w:rsidR="004E13A5" w:rsidRDefault="00681463">
      <w:pPr>
        <w:pStyle w:val="BodyText"/>
        <w:spacing w:before="196"/>
        <w:ind w:left="820" w:right="148"/>
      </w:pPr>
      <w:r>
        <w:t>The PHA will ensure effective communication with persons with disabilities, including those with vision, hearing, and other communication-related disabilities in accordance with Chapter 2. The PHA will also take reasonable steps to ensure meaningful access for persons with limited English proficiency (LEP) in accordance with Chapter 2.</w:t>
      </w:r>
    </w:p>
    <w:p w:rsidR="004E13A5" w:rsidRDefault="00681463">
      <w:pPr>
        <w:pStyle w:val="Heading4"/>
        <w:numPr>
          <w:ilvl w:val="1"/>
          <w:numId w:val="9"/>
        </w:numPr>
        <w:tabs>
          <w:tab w:val="left" w:pos="722"/>
        </w:tabs>
        <w:spacing w:before="131"/>
        <w:ind w:hanging="621"/>
      </w:pPr>
      <w:r>
        <w:t>EHV WAITING</w:t>
      </w:r>
      <w:r>
        <w:rPr>
          <w:spacing w:val="-4"/>
        </w:rPr>
        <w:t xml:space="preserve"> </w:t>
      </w:r>
      <w:r>
        <w:t>LIST</w:t>
      </w:r>
    </w:p>
    <w:p w:rsidR="004E13A5" w:rsidRDefault="00681463">
      <w:pPr>
        <w:pStyle w:val="BodyText"/>
        <w:spacing w:before="138"/>
        <w:ind w:right="263"/>
      </w:pPr>
      <w:r>
        <w:t>The HCV regulations requiring the PHA to operate a single waiting list for admission to the HCV program do not apply to PHAs operating the EHV program. Instead, when the number of applicants referred by the CoC or partnering agency exceeds the EHVs available, the PHA must maintain a separate waiting list for EHV referrals, both at initial leasing and for any turnover vouchers that may be issued prior to September 30, 2023.</w:t>
      </w:r>
    </w:p>
    <w:p w:rsidR="004E13A5" w:rsidRDefault="00681463">
      <w:pPr>
        <w:pStyle w:val="BodyText"/>
        <w:spacing w:before="138"/>
        <w:ind w:right="181"/>
      </w:pPr>
      <w:r>
        <w:t>Further, the EHV waiting list is not subject to PHA policies in Chapter 4 regarding opening and closing the HCV waiting list. The PHA will work directly with its CoC and other referral agency partners to manage the number of referrals and the size of the EHV waiting list.</w:t>
      </w:r>
    </w:p>
    <w:p w:rsidR="004E13A5" w:rsidRDefault="00681463">
      <w:pPr>
        <w:pStyle w:val="Heading4"/>
        <w:numPr>
          <w:ilvl w:val="1"/>
          <w:numId w:val="9"/>
        </w:numPr>
        <w:tabs>
          <w:tab w:val="left" w:pos="795"/>
        </w:tabs>
        <w:spacing w:before="117"/>
        <w:ind w:left="794" w:hanging="694"/>
      </w:pPr>
      <w:r>
        <w:t>PREFERENCE</w:t>
      </w:r>
    </w:p>
    <w:p w:rsidR="004E13A5" w:rsidRDefault="00681463">
      <w:pPr>
        <w:pStyle w:val="Heading4"/>
        <w:spacing w:before="120"/>
      </w:pPr>
      <w:bookmarkStart w:id="425" w:name="_TOC_250007"/>
      <w:bookmarkEnd w:id="425"/>
      <w:r>
        <w:t>HCV Waiting List Preferences</w:t>
      </w:r>
    </w:p>
    <w:p w:rsidR="004E13A5" w:rsidRDefault="00681463">
      <w:pPr>
        <w:pStyle w:val="BodyText"/>
        <w:spacing w:before="139"/>
        <w:ind w:right="96"/>
      </w:pPr>
      <w:r>
        <w:t>If local preferences are established by the PHA for HCV, they do not apply to EHVs. However, if the PHA has a homeless preference or a VAWA preference for the HCV waiting list, the PHA must adopt additional policies related to EHVs in accordance with Notice PIH 2021-15.</w:t>
      </w:r>
    </w:p>
    <w:p w:rsidR="004E13A5" w:rsidRDefault="00681463">
      <w:pPr>
        <w:pStyle w:val="BodyText"/>
        <w:spacing w:before="151"/>
        <w:ind w:left="820"/>
      </w:pPr>
      <w:r>
        <w:rPr>
          <w:u w:val="single"/>
        </w:rPr>
        <w:t>PHA Policy</w:t>
      </w:r>
    </w:p>
    <w:p w:rsidR="004E13A5" w:rsidRDefault="00681463">
      <w:pPr>
        <w:pStyle w:val="BodyText"/>
        <w:spacing w:before="196"/>
        <w:ind w:left="820" w:right="1162"/>
      </w:pPr>
      <w:r>
        <w:t>The PHA does not offer either a homeless or a VAWA preference for the HCV waiting list.</w:t>
      </w:r>
    </w:p>
    <w:p w:rsidR="004E13A5" w:rsidRDefault="00681463">
      <w:pPr>
        <w:pStyle w:val="Heading4"/>
        <w:spacing w:before="117"/>
      </w:pPr>
      <w:bookmarkStart w:id="426" w:name="_TOC_250006"/>
      <w:bookmarkEnd w:id="426"/>
      <w:r>
        <w:t>EHV Waiting List Preferences</w:t>
      </w:r>
    </w:p>
    <w:p w:rsidR="004E13A5" w:rsidRDefault="00681463">
      <w:pPr>
        <w:pStyle w:val="BodyText"/>
        <w:ind w:right="102"/>
      </w:pPr>
      <w:r>
        <w:t>With the exception of a residency preference, the PHA may choose, in coordination with the CoC and other referral partners, to establish separate local preferences for EHVs. The PHA may, however, choose to not establish any local preferences for the EHV waiting list.</w:t>
      </w:r>
    </w:p>
    <w:p w:rsidR="004E13A5" w:rsidRDefault="00681463">
      <w:pPr>
        <w:pStyle w:val="BodyText"/>
        <w:spacing w:before="210"/>
        <w:ind w:left="820"/>
      </w:pPr>
      <w:r>
        <w:rPr>
          <w:u w:val="single"/>
        </w:rPr>
        <w:t>PHA Policy</w:t>
      </w:r>
    </w:p>
    <w:p w:rsidR="004E13A5" w:rsidRDefault="00681463">
      <w:pPr>
        <w:pStyle w:val="BodyText"/>
        <w:spacing w:before="153"/>
        <w:ind w:left="820"/>
      </w:pPr>
      <w:r>
        <w:t>No local preferences have been established for the EHV waiting list.</w:t>
      </w:r>
    </w:p>
    <w:p w:rsidR="004E13A5" w:rsidRDefault="004E13A5">
      <w:pPr>
        <w:sectPr w:rsidR="004E13A5">
          <w:pgSz w:w="12240" w:h="15840"/>
          <w:pgMar w:top="1000" w:right="1420" w:bottom="1240" w:left="1220" w:header="0" w:footer="1058" w:gutter="0"/>
          <w:cols w:space="720"/>
        </w:sectPr>
      </w:pPr>
    </w:p>
    <w:p w:rsidR="004E13A5" w:rsidRDefault="00681463">
      <w:pPr>
        <w:pStyle w:val="Heading4"/>
        <w:spacing w:before="60"/>
        <w:ind w:left="3019"/>
      </w:pPr>
      <w:r>
        <w:lastRenderedPageBreak/>
        <w:t>PART IV: FAMILY ELIGIBLTY</w:t>
      </w:r>
    </w:p>
    <w:p w:rsidR="004E13A5" w:rsidRDefault="004E13A5">
      <w:pPr>
        <w:pStyle w:val="BodyText"/>
        <w:spacing w:before="1"/>
        <w:ind w:left="0"/>
        <w:rPr>
          <w:b/>
          <w:sz w:val="31"/>
        </w:rPr>
      </w:pPr>
    </w:p>
    <w:p w:rsidR="004E13A5" w:rsidRDefault="00681463">
      <w:pPr>
        <w:pStyle w:val="ListParagraph"/>
        <w:numPr>
          <w:ilvl w:val="1"/>
          <w:numId w:val="8"/>
        </w:numPr>
        <w:tabs>
          <w:tab w:val="left" w:pos="842"/>
        </w:tabs>
        <w:spacing w:before="0"/>
        <w:ind w:firstLine="0"/>
        <w:jc w:val="left"/>
        <w:rPr>
          <w:rFonts w:ascii="Calibri"/>
          <w:b/>
          <w:sz w:val="24"/>
        </w:rPr>
      </w:pPr>
      <w:r>
        <w:rPr>
          <w:rFonts w:ascii="Calibri"/>
          <w:b/>
          <w:sz w:val="24"/>
        </w:rPr>
        <w:t>OVERVIEW</w:t>
      </w:r>
    </w:p>
    <w:p w:rsidR="004E13A5" w:rsidRDefault="00681463">
      <w:pPr>
        <w:pStyle w:val="BodyText"/>
        <w:spacing w:before="138"/>
        <w:ind w:right="343"/>
      </w:pPr>
      <w:r>
        <w:t>The CoC or referring agency determines whether the individual or family meets any one of the four eligibility criteria described in Notice PIH 2021-15 and then refers the family to the PHA. The PHA determines that the family meets other eligibility criteria for the HCV program, as modified for the EHV program and outlined below.</w:t>
      </w:r>
    </w:p>
    <w:p w:rsidR="004E13A5" w:rsidRDefault="00681463">
      <w:pPr>
        <w:pStyle w:val="Heading4"/>
        <w:numPr>
          <w:ilvl w:val="1"/>
          <w:numId w:val="8"/>
        </w:numPr>
        <w:tabs>
          <w:tab w:val="left" w:pos="821"/>
        </w:tabs>
        <w:spacing w:before="119"/>
        <w:ind w:left="820" w:hanging="720"/>
        <w:jc w:val="left"/>
      </w:pPr>
      <w:r>
        <w:t>REFERRING AGENCY DETERMINATION</w:t>
      </w:r>
      <w:r>
        <w:rPr>
          <w:spacing w:val="12"/>
        </w:rPr>
        <w:t xml:space="preserve"> </w:t>
      </w:r>
      <w:r>
        <w:t>OFELIGIBLITY</w:t>
      </w:r>
    </w:p>
    <w:p w:rsidR="004E13A5" w:rsidRDefault="00681463">
      <w:pPr>
        <w:pStyle w:val="BodyText"/>
        <w:spacing w:before="138"/>
        <w:ind w:right="682"/>
      </w:pPr>
      <w:r>
        <w:t>In order to be eligible for an EHV, an individual or family must meet one of four eligibility criteria:</w:t>
      </w:r>
    </w:p>
    <w:p w:rsidR="004E13A5" w:rsidRDefault="00681463">
      <w:pPr>
        <w:pStyle w:val="ListParagraph"/>
        <w:numPr>
          <w:ilvl w:val="2"/>
          <w:numId w:val="8"/>
        </w:numPr>
        <w:tabs>
          <w:tab w:val="left" w:pos="580"/>
          <w:tab w:val="left" w:pos="581"/>
        </w:tabs>
        <w:rPr>
          <w:rFonts w:ascii="Calibri"/>
          <w:sz w:val="24"/>
        </w:rPr>
      </w:pPr>
      <w:r>
        <w:rPr>
          <w:rFonts w:ascii="Calibri"/>
          <w:sz w:val="24"/>
        </w:rPr>
        <w:t>Homeless as defined in 24 CFR</w:t>
      </w:r>
      <w:r>
        <w:rPr>
          <w:rFonts w:ascii="Calibri"/>
          <w:spacing w:val="-23"/>
          <w:sz w:val="24"/>
        </w:rPr>
        <w:t xml:space="preserve"> </w:t>
      </w:r>
      <w:r>
        <w:rPr>
          <w:rFonts w:ascii="Calibri"/>
          <w:sz w:val="24"/>
        </w:rPr>
        <w:t>578.3;</w:t>
      </w:r>
    </w:p>
    <w:p w:rsidR="004E13A5" w:rsidRDefault="00681463">
      <w:pPr>
        <w:pStyle w:val="ListParagraph"/>
        <w:numPr>
          <w:ilvl w:val="2"/>
          <w:numId w:val="8"/>
        </w:numPr>
        <w:tabs>
          <w:tab w:val="left" w:pos="580"/>
          <w:tab w:val="left" w:pos="581"/>
        </w:tabs>
        <w:spacing w:before="118"/>
        <w:rPr>
          <w:rFonts w:ascii="Calibri"/>
          <w:sz w:val="24"/>
        </w:rPr>
      </w:pPr>
      <w:r>
        <w:rPr>
          <w:rFonts w:ascii="Calibri"/>
          <w:sz w:val="24"/>
        </w:rPr>
        <w:t>At risk of homelessness as defined in 24 CFR</w:t>
      </w:r>
      <w:r>
        <w:rPr>
          <w:rFonts w:ascii="Calibri"/>
          <w:spacing w:val="-20"/>
          <w:sz w:val="24"/>
        </w:rPr>
        <w:t xml:space="preserve"> </w:t>
      </w:r>
      <w:r>
        <w:rPr>
          <w:rFonts w:ascii="Calibri"/>
          <w:sz w:val="24"/>
        </w:rPr>
        <w:t>578.3;</w:t>
      </w:r>
    </w:p>
    <w:p w:rsidR="004E13A5" w:rsidRDefault="00681463">
      <w:pPr>
        <w:pStyle w:val="ListParagraph"/>
        <w:numPr>
          <w:ilvl w:val="2"/>
          <w:numId w:val="8"/>
        </w:numPr>
        <w:tabs>
          <w:tab w:val="left" w:pos="580"/>
          <w:tab w:val="left" w:pos="581"/>
        </w:tabs>
        <w:spacing w:before="116"/>
        <w:ind w:right="98"/>
        <w:rPr>
          <w:rFonts w:ascii="Calibri"/>
          <w:sz w:val="24"/>
        </w:rPr>
      </w:pPr>
      <w:r>
        <w:rPr>
          <w:rFonts w:ascii="Calibri"/>
          <w:sz w:val="24"/>
        </w:rPr>
        <w:t>Fleeing, or attempting to flee, domestic violence, dating violence, sexual assault, stalking (as defined in Notice PIH 2021-15), or human trafficking (as defined in the 22 U.S.C.</w:t>
      </w:r>
      <w:r>
        <w:rPr>
          <w:rFonts w:ascii="Calibri"/>
          <w:spacing w:val="-36"/>
          <w:sz w:val="24"/>
        </w:rPr>
        <w:t xml:space="preserve"> </w:t>
      </w:r>
      <w:r>
        <w:rPr>
          <w:rFonts w:ascii="Calibri"/>
          <w:sz w:val="24"/>
        </w:rPr>
        <w:t>Section 7102);</w:t>
      </w:r>
      <w:r>
        <w:rPr>
          <w:rFonts w:ascii="Calibri"/>
          <w:spacing w:val="-3"/>
          <w:sz w:val="24"/>
        </w:rPr>
        <w:t xml:space="preserve"> </w:t>
      </w:r>
      <w:r>
        <w:rPr>
          <w:rFonts w:ascii="Calibri"/>
          <w:sz w:val="24"/>
        </w:rPr>
        <w:t>or</w:t>
      </w:r>
    </w:p>
    <w:p w:rsidR="004E13A5" w:rsidRDefault="00681463">
      <w:pPr>
        <w:pStyle w:val="ListParagraph"/>
        <w:numPr>
          <w:ilvl w:val="2"/>
          <w:numId w:val="8"/>
        </w:numPr>
        <w:tabs>
          <w:tab w:val="left" w:pos="580"/>
          <w:tab w:val="left" w:pos="581"/>
        </w:tabs>
        <w:spacing w:before="121"/>
        <w:ind w:right="669"/>
        <w:rPr>
          <w:rFonts w:ascii="Calibri" w:hAnsi="Calibri"/>
          <w:sz w:val="24"/>
        </w:rPr>
      </w:pPr>
      <w:r>
        <w:rPr>
          <w:rFonts w:ascii="Calibri" w:hAnsi="Calibri"/>
          <w:sz w:val="24"/>
        </w:rPr>
        <w:t>Recently homeless and for whom providing rental assistance will prevent the family’s homelessness or having high risk of housing instability as determined by the CoC or its</w:t>
      </w:r>
      <w:r>
        <w:rPr>
          <w:rFonts w:ascii="Calibri" w:hAnsi="Calibri"/>
          <w:spacing w:val="-3"/>
          <w:sz w:val="24"/>
        </w:rPr>
        <w:t xml:space="preserve"> </w:t>
      </w:r>
      <w:r>
        <w:rPr>
          <w:rFonts w:ascii="Calibri" w:hAnsi="Calibri"/>
          <w:sz w:val="24"/>
        </w:rPr>
        <w:t>designee</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accordance</w:t>
      </w:r>
      <w:r>
        <w:rPr>
          <w:rFonts w:ascii="Calibri" w:hAnsi="Calibri"/>
          <w:spacing w:val="-2"/>
          <w:sz w:val="24"/>
        </w:rPr>
        <w:t xml:space="preserve"> </w:t>
      </w:r>
      <w:r>
        <w:rPr>
          <w:rFonts w:ascii="Calibri" w:hAnsi="Calibri"/>
          <w:sz w:val="24"/>
        </w:rPr>
        <w:t>with</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definition</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Notice</w:t>
      </w:r>
      <w:r>
        <w:rPr>
          <w:rFonts w:ascii="Calibri" w:hAnsi="Calibri"/>
          <w:spacing w:val="-2"/>
          <w:sz w:val="24"/>
        </w:rPr>
        <w:t xml:space="preserve"> </w:t>
      </w:r>
      <w:r>
        <w:rPr>
          <w:rFonts w:ascii="Calibri" w:hAnsi="Calibri"/>
          <w:sz w:val="24"/>
        </w:rPr>
        <w:t>PIH</w:t>
      </w:r>
      <w:r>
        <w:rPr>
          <w:rFonts w:ascii="Calibri" w:hAnsi="Calibri"/>
          <w:spacing w:val="-18"/>
          <w:sz w:val="24"/>
        </w:rPr>
        <w:t xml:space="preserve"> </w:t>
      </w:r>
      <w:r>
        <w:rPr>
          <w:rFonts w:ascii="Calibri" w:hAnsi="Calibri"/>
          <w:sz w:val="24"/>
        </w:rPr>
        <w:t>2021-15.</w:t>
      </w:r>
    </w:p>
    <w:p w:rsidR="004E13A5" w:rsidRDefault="00681463">
      <w:pPr>
        <w:pStyle w:val="BodyText"/>
        <w:spacing w:before="138"/>
      </w:pPr>
      <w:r>
        <w:t>As applicable, the CoC or referring agency must provide documentation to the PHA of the referring agency’s verification that the family meets one of the four eligible categories for EHV assistance. The PHA must retain this documentation as part of the family’s file.</w:t>
      </w:r>
    </w:p>
    <w:p w:rsidR="004E13A5" w:rsidRDefault="00681463">
      <w:pPr>
        <w:pStyle w:val="Heading4"/>
        <w:numPr>
          <w:ilvl w:val="1"/>
          <w:numId w:val="8"/>
        </w:numPr>
        <w:tabs>
          <w:tab w:val="left" w:pos="826"/>
        </w:tabs>
        <w:spacing w:before="119" w:line="343" w:lineRule="auto"/>
        <w:ind w:right="6749" w:firstLine="0"/>
        <w:jc w:val="left"/>
      </w:pPr>
      <w:r>
        <w:t>PHA</w:t>
      </w:r>
      <w:r>
        <w:rPr>
          <w:spacing w:val="-13"/>
        </w:rPr>
        <w:t xml:space="preserve"> </w:t>
      </w:r>
      <w:r>
        <w:t>SCREENING Overview</w:t>
      </w:r>
    </w:p>
    <w:p w:rsidR="004E13A5" w:rsidRDefault="00681463">
      <w:pPr>
        <w:pStyle w:val="BodyText"/>
        <w:spacing w:before="10"/>
        <w:ind w:right="235"/>
      </w:pPr>
      <w:r>
        <w:t>HUD waived 24 CFR 982.552 and 982.553 in part for the EHV applicants and established alternative requirement for mandatory and permissive prohibitions of admissions. Except where applicable, PHA policies regarding denials in Chapter 3 of this policy do not apply to screening individuals and families for eligibility for an EHV. Instead, the EHV alternative requirement listed in this section will apply to all EHV applicants.</w:t>
      </w:r>
    </w:p>
    <w:p w:rsidR="004E13A5" w:rsidRDefault="00681463">
      <w:pPr>
        <w:pStyle w:val="BodyText"/>
        <w:spacing w:before="120"/>
        <w:ind w:right="393"/>
      </w:pPr>
      <w:r>
        <w:t>The mandatory and permissive prohibitions listed in Notice PIH 2021-15 and in this chapter, however, apply only when screening the individual or family for eligibility for an EHV. When adding a family member after the family has been placed under a HAP contract with EHV assistance, the regulations at 24 CFR 982.551(h)(2) apply. Other than the birth, adoption, or court-awarded custody of a child, the PHA must approve additional family members and may apply its regular HCV screening criteria in Chapter 3 in doing so.</w:t>
      </w:r>
    </w:p>
    <w:p w:rsidR="004E13A5" w:rsidRDefault="004E13A5">
      <w:pPr>
        <w:sectPr w:rsidR="004E13A5">
          <w:footerReference w:type="default" r:id="rId70"/>
          <w:pgSz w:w="12240" w:h="15840"/>
          <w:pgMar w:top="1480" w:right="1460" w:bottom="1240" w:left="1220" w:header="0" w:footer="1058" w:gutter="0"/>
          <w:pgNumType w:start="8"/>
          <w:cols w:space="720"/>
        </w:sectPr>
      </w:pPr>
    </w:p>
    <w:p w:rsidR="004E13A5" w:rsidRDefault="00681463">
      <w:pPr>
        <w:pStyle w:val="Heading4"/>
        <w:spacing w:before="79"/>
      </w:pPr>
      <w:bookmarkStart w:id="427" w:name="_TOC_250005"/>
      <w:bookmarkEnd w:id="427"/>
      <w:r>
        <w:lastRenderedPageBreak/>
        <w:t>Mandatory Denials</w:t>
      </w:r>
    </w:p>
    <w:p w:rsidR="004E13A5" w:rsidRDefault="00681463">
      <w:pPr>
        <w:pStyle w:val="BodyText"/>
      </w:pPr>
      <w:r>
        <w:t>Under alternative requirements for the EHV program, mandatory denials for EHV applicants include:</w:t>
      </w:r>
    </w:p>
    <w:p w:rsidR="004E13A5" w:rsidRDefault="00681463">
      <w:pPr>
        <w:pStyle w:val="ListParagraph"/>
        <w:numPr>
          <w:ilvl w:val="2"/>
          <w:numId w:val="8"/>
        </w:numPr>
        <w:tabs>
          <w:tab w:val="left" w:pos="580"/>
          <w:tab w:val="left" w:pos="581"/>
        </w:tabs>
        <w:ind w:right="248"/>
        <w:rPr>
          <w:rFonts w:ascii="Calibri"/>
          <w:sz w:val="24"/>
        </w:rPr>
      </w:pPr>
      <w:r>
        <w:rPr>
          <w:rFonts w:ascii="Calibri"/>
          <w:sz w:val="24"/>
        </w:rPr>
        <w:t>24</w:t>
      </w:r>
      <w:r>
        <w:rPr>
          <w:rFonts w:ascii="Calibri"/>
          <w:spacing w:val="-3"/>
          <w:sz w:val="24"/>
        </w:rPr>
        <w:t xml:space="preserve"> </w:t>
      </w:r>
      <w:r>
        <w:rPr>
          <w:rFonts w:ascii="Calibri"/>
          <w:sz w:val="24"/>
        </w:rPr>
        <w:t>CFR</w:t>
      </w:r>
      <w:r>
        <w:rPr>
          <w:rFonts w:ascii="Calibri"/>
          <w:spacing w:val="-4"/>
          <w:sz w:val="24"/>
        </w:rPr>
        <w:t xml:space="preserve"> </w:t>
      </w:r>
      <w:r>
        <w:rPr>
          <w:rFonts w:ascii="Calibri"/>
          <w:sz w:val="24"/>
        </w:rPr>
        <w:t>982.553(a)(1)(ii)(C),</w:t>
      </w:r>
      <w:r>
        <w:rPr>
          <w:rFonts w:ascii="Calibri"/>
          <w:spacing w:val="-4"/>
          <w:sz w:val="24"/>
        </w:rPr>
        <w:t xml:space="preserve"> </w:t>
      </w:r>
      <w:r>
        <w:rPr>
          <w:rFonts w:ascii="Calibri"/>
          <w:sz w:val="24"/>
        </w:rPr>
        <w:t>which</w:t>
      </w:r>
      <w:r>
        <w:rPr>
          <w:rFonts w:ascii="Calibri"/>
          <w:spacing w:val="-3"/>
          <w:sz w:val="24"/>
        </w:rPr>
        <w:t xml:space="preserve"> </w:t>
      </w:r>
      <w:r>
        <w:rPr>
          <w:rFonts w:ascii="Calibri"/>
          <w:sz w:val="24"/>
        </w:rPr>
        <w:t>prohibits</w:t>
      </w:r>
      <w:r>
        <w:rPr>
          <w:rFonts w:ascii="Calibri"/>
          <w:spacing w:val="-4"/>
          <w:sz w:val="24"/>
        </w:rPr>
        <w:t xml:space="preserve"> </w:t>
      </w:r>
      <w:r>
        <w:rPr>
          <w:rFonts w:ascii="Calibri"/>
          <w:sz w:val="24"/>
        </w:rPr>
        <w:t>admission</w:t>
      </w:r>
      <w:r>
        <w:rPr>
          <w:rFonts w:ascii="Calibri"/>
          <w:spacing w:val="-3"/>
          <w:sz w:val="24"/>
        </w:rPr>
        <w:t xml:space="preserve"> </w:t>
      </w:r>
      <w:r>
        <w:rPr>
          <w:rFonts w:ascii="Calibri"/>
          <w:sz w:val="24"/>
        </w:rPr>
        <w:t>if</w:t>
      </w:r>
      <w:r>
        <w:rPr>
          <w:rFonts w:ascii="Calibri"/>
          <w:spacing w:val="-5"/>
          <w:sz w:val="24"/>
        </w:rPr>
        <w:t xml:space="preserve"> </w:t>
      </w:r>
      <w:r>
        <w:rPr>
          <w:rFonts w:ascii="Calibri"/>
          <w:sz w:val="24"/>
        </w:rPr>
        <w:t>any</w:t>
      </w:r>
      <w:r>
        <w:rPr>
          <w:rFonts w:ascii="Calibri"/>
          <w:spacing w:val="-6"/>
          <w:sz w:val="24"/>
        </w:rPr>
        <w:t xml:space="preserve"> </w:t>
      </w:r>
      <w:r>
        <w:rPr>
          <w:rFonts w:ascii="Calibri"/>
          <w:sz w:val="24"/>
        </w:rPr>
        <w:t>household</w:t>
      </w:r>
      <w:r>
        <w:rPr>
          <w:rFonts w:ascii="Calibri"/>
          <w:spacing w:val="-4"/>
          <w:sz w:val="24"/>
        </w:rPr>
        <w:t xml:space="preserve"> </w:t>
      </w:r>
      <w:r>
        <w:rPr>
          <w:rFonts w:ascii="Calibri"/>
          <w:sz w:val="24"/>
        </w:rPr>
        <w:t>member</w:t>
      </w:r>
      <w:r>
        <w:rPr>
          <w:rFonts w:ascii="Calibri"/>
          <w:spacing w:val="-5"/>
          <w:sz w:val="24"/>
        </w:rPr>
        <w:t xml:space="preserve"> </w:t>
      </w:r>
      <w:r>
        <w:rPr>
          <w:rFonts w:ascii="Calibri"/>
          <w:sz w:val="24"/>
        </w:rPr>
        <w:t>has</w:t>
      </w:r>
      <w:r>
        <w:rPr>
          <w:rFonts w:ascii="Calibri"/>
          <w:spacing w:val="-6"/>
          <w:sz w:val="24"/>
        </w:rPr>
        <w:t xml:space="preserve"> </w:t>
      </w:r>
      <w:r>
        <w:rPr>
          <w:rFonts w:ascii="Calibri"/>
          <w:sz w:val="24"/>
        </w:rPr>
        <w:t>ever been convicted of drug-related criminal activity for manufacture or production of methamphetamine on the premises of federally assisted</w:t>
      </w:r>
      <w:r>
        <w:rPr>
          <w:rFonts w:ascii="Calibri"/>
          <w:spacing w:val="-27"/>
          <w:sz w:val="24"/>
        </w:rPr>
        <w:t xml:space="preserve"> </w:t>
      </w:r>
      <w:r>
        <w:rPr>
          <w:rFonts w:ascii="Calibri"/>
          <w:sz w:val="24"/>
        </w:rPr>
        <w:t>housing.</w:t>
      </w:r>
    </w:p>
    <w:p w:rsidR="004E13A5" w:rsidRDefault="00681463">
      <w:pPr>
        <w:pStyle w:val="ListParagraph"/>
        <w:numPr>
          <w:ilvl w:val="2"/>
          <w:numId w:val="8"/>
        </w:numPr>
        <w:tabs>
          <w:tab w:val="left" w:pos="580"/>
          <w:tab w:val="left" w:pos="581"/>
        </w:tabs>
        <w:ind w:right="374"/>
        <w:rPr>
          <w:rFonts w:ascii="Calibri"/>
          <w:sz w:val="24"/>
        </w:rPr>
      </w:pPr>
      <w:r>
        <w:rPr>
          <w:rFonts w:ascii="Calibri"/>
          <w:sz w:val="24"/>
        </w:rPr>
        <w:t>24</w:t>
      </w:r>
      <w:r>
        <w:rPr>
          <w:rFonts w:ascii="Calibri"/>
          <w:spacing w:val="-2"/>
          <w:sz w:val="24"/>
        </w:rPr>
        <w:t xml:space="preserve"> </w:t>
      </w:r>
      <w:r>
        <w:rPr>
          <w:rFonts w:ascii="Calibri"/>
          <w:sz w:val="24"/>
        </w:rPr>
        <w:t>CFR</w:t>
      </w:r>
      <w:r>
        <w:rPr>
          <w:rFonts w:ascii="Calibri"/>
          <w:spacing w:val="-3"/>
          <w:sz w:val="24"/>
        </w:rPr>
        <w:t xml:space="preserve"> </w:t>
      </w:r>
      <w:r>
        <w:rPr>
          <w:rFonts w:ascii="Calibri"/>
          <w:sz w:val="24"/>
        </w:rPr>
        <w:t>982.553(a)(2)(i),</w:t>
      </w:r>
      <w:r>
        <w:rPr>
          <w:rFonts w:ascii="Calibri"/>
          <w:spacing w:val="-3"/>
          <w:sz w:val="24"/>
        </w:rPr>
        <w:t xml:space="preserve"> </w:t>
      </w:r>
      <w:r>
        <w:rPr>
          <w:rFonts w:ascii="Calibri"/>
          <w:sz w:val="24"/>
        </w:rPr>
        <w:t>which</w:t>
      </w:r>
      <w:r>
        <w:rPr>
          <w:rFonts w:ascii="Calibri"/>
          <w:spacing w:val="-2"/>
          <w:sz w:val="24"/>
        </w:rPr>
        <w:t xml:space="preserve"> </w:t>
      </w:r>
      <w:r>
        <w:rPr>
          <w:rFonts w:ascii="Calibri"/>
          <w:sz w:val="24"/>
        </w:rPr>
        <w:t>prohibits</w:t>
      </w:r>
      <w:r>
        <w:rPr>
          <w:rFonts w:ascii="Calibri"/>
          <w:spacing w:val="-3"/>
          <w:sz w:val="24"/>
        </w:rPr>
        <w:t xml:space="preserve"> </w:t>
      </w:r>
      <w:r>
        <w:rPr>
          <w:rFonts w:ascii="Calibri"/>
          <w:sz w:val="24"/>
        </w:rPr>
        <w:t>admission</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program</w:t>
      </w:r>
      <w:r>
        <w:rPr>
          <w:rFonts w:ascii="Calibri"/>
          <w:spacing w:val="-2"/>
          <w:sz w:val="24"/>
        </w:rPr>
        <w:t xml:space="preserve"> </w:t>
      </w:r>
      <w:r>
        <w:rPr>
          <w:rFonts w:ascii="Calibri"/>
          <w:sz w:val="24"/>
        </w:rPr>
        <w:t>if</w:t>
      </w:r>
      <w:r>
        <w:rPr>
          <w:rFonts w:ascii="Calibri"/>
          <w:spacing w:val="-2"/>
          <w:sz w:val="24"/>
        </w:rPr>
        <w:t xml:space="preserve"> </w:t>
      </w:r>
      <w:r>
        <w:rPr>
          <w:rFonts w:ascii="Calibri"/>
          <w:sz w:val="24"/>
        </w:rPr>
        <w:t>any</w:t>
      </w:r>
      <w:r>
        <w:rPr>
          <w:rFonts w:ascii="Calibri"/>
          <w:spacing w:val="-6"/>
          <w:sz w:val="24"/>
        </w:rPr>
        <w:t xml:space="preserve"> </w:t>
      </w:r>
      <w:r>
        <w:rPr>
          <w:rFonts w:ascii="Calibri"/>
          <w:sz w:val="24"/>
        </w:rPr>
        <w:t>member</w:t>
      </w:r>
      <w:r>
        <w:rPr>
          <w:rFonts w:ascii="Calibri"/>
          <w:spacing w:val="-4"/>
          <w:sz w:val="24"/>
        </w:rPr>
        <w:t xml:space="preserve"> </w:t>
      </w:r>
      <w:r>
        <w:rPr>
          <w:rFonts w:ascii="Calibri"/>
          <w:sz w:val="24"/>
        </w:rPr>
        <w:t>of</w:t>
      </w:r>
      <w:r>
        <w:rPr>
          <w:rFonts w:ascii="Calibri"/>
          <w:spacing w:val="-19"/>
          <w:sz w:val="24"/>
        </w:rPr>
        <w:t xml:space="preserve"> </w:t>
      </w:r>
      <w:r>
        <w:rPr>
          <w:rFonts w:ascii="Calibri"/>
          <w:sz w:val="24"/>
        </w:rPr>
        <w:t>the household is subject to a lifetime registration requirement under a state sex offender registration</w:t>
      </w:r>
      <w:r>
        <w:rPr>
          <w:rFonts w:ascii="Calibri"/>
          <w:spacing w:val="-3"/>
          <w:sz w:val="24"/>
        </w:rPr>
        <w:t xml:space="preserve"> </w:t>
      </w:r>
      <w:r>
        <w:rPr>
          <w:rFonts w:ascii="Calibri"/>
          <w:sz w:val="24"/>
        </w:rPr>
        <w:t>program.</w:t>
      </w:r>
    </w:p>
    <w:p w:rsidR="004E13A5" w:rsidRDefault="00681463">
      <w:pPr>
        <w:pStyle w:val="BodyText"/>
        <w:spacing w:before="179"/>
      </w:pPr>
      <w:r>
        <w:t>The PHA must deny admission to the program if any member of the family fails to sign and submit consent forms for obtaining information as required by 24 CFR 982.552(b)(3) but should notify the family of the limited EHV grounds for denial of admission first.</w:t>
      </w:r>
    </w:p>
    <w:p w:rsidR="004E13A5" w:rsidRDefault="00681463">
      <w:pPr>
        <w:pStyle w:val="BodyText"/>
        <w:spacing w:before="210"/>
        <w:ind w:left="820"/>
      </w:pPr>
      <w:r>
        <w:rPr>
          <w:u w:val="single"/>
        </w:rPr>
        <w:t>PHA Policy</w:t>
      </w:r>
    </w:p>
    <w:p w:rsidR="004E13A5" w:rsidRDefault="00681463">
      <w:pPr>
        <w:pStyle w:val="BodyText"/>
        <w:spacing w:before="165"/>
        <w:ind w:left="820" w:right="174"/>
      </w:pPr>
      <w:r>
        <w:t>While the PHA will deny admission to the program if any adult member (or head of household or spouse, regardless of age) fails to sign and submit consent forms, the PHA will first notify the family of the limited EHV grounds for denial of admission as part of the notice of denial that will be mailed to the family.</w:t>
      </w:r>
    </w:p>
    <w:p w:rsidR="004E13A5" w:rsidRDefault="004E13A5">
      <w:pPr>
        <w:sectPr w:rsidR="004E13A5">
          <w:pgSz w:w="12240" w:h="15840"/>
          <w:pgMar w:top="1420" w:right="1540" w:bottom="1240" w:left="1220" w:header="0" w:footer="1058" w:gutter="0"/>
          <w:cols w:space="720"/>
        </w:sectPr>
      </w:pPr>
    </w:p>
    <w:p w:rsidR="004E13A5" w:rsidRDefault="00681463">
      <w:pPr>
        <w:pStyle w:val="Heading4"/>
        <w:spacing w:before="60"/>
      </w:pPr>
      <w:r>
        <w:lastRenderedPageBreak/>
        <w:t>Permissive Denial</w:t>
      </w:r>
    </w:p>
    <w:p w:rsidR="004E13A5" w:rsidRDefault="00681463">
      <w:pPr>
        <w:pStyle w:val="BodyText"/>
        <w:spacing w:before="139"/>
        <w:ind w:right="257"/>
      </w:pPr>
      <w:r>
        <w:t>Notice PIH 2021-15 lists permissive prohibitions for which the PHA may, but is not required to, deny admission to EHV families. The notice also lists prohibitions that, while allowable under the HCV program, may not be used to deny assistance for EHV families.</w:t>
      </w:r>
    </w:p>
    <w:p w:rsidR="004E13A5" w:rsidRDefault="00681463">
      <w:pPr>
        <w:pStyle w:val="BodyText"/>
        <w:spacing w:before="139"/>
        <w:ind w:right="501"/>
      </w:pPr>
      <w:r>
        <w:t>If the PHA intends to establish permissive prohibition policies for EHV applicants, the PHA must first consult with its CoC partner to understand the impact that the proposed prohibitions may have on referrals and must take the CoC’s recommendations into consideration.</w:t>
      </w:r>
    </w:p>
    <w:p w:rsidR="004E13A5" w:rsidRDefault="00681463">
      <w:pPr>
        <w:pStyle w:val="BodyText"/>
        <w:spacing w:before="120"/>
        <w:ind w:left="820"/>
      </w:pPr>
      <w:r>
        <w:rPr>
          <w:u w:val="single"/>
        </w:rPr>
        <w:t>PHA Policy</w:t>
      </w:r>
    </w:p>
    <w:p w:rsidR="004E13A5" w:rsidRDefault="00681463">
      <w:pPr>
        <w:pStyle w:val="BodyText"/>
        <w:spacing w:before="134"/>
        <w:ind w:left="820" w:right="188"/>
      </w:pPr>
      <w:r>
        <w:t>In consultation with the CoC, the PHA will apply permissive prohibition to the screening of EHV applicants. Determinations using permissive prohibitions will be made based on an individualized assessment of relevant mitigating information in accordance with policies in Section 3-III.E.</w:t>
      </w:r>
    </w:p>
    <w:p w:rsidR="004E13A5" w:rsidRDefault="00681463">
      <w:pPr>
        <w:pStyle w:val="BodyText"/>
        <w:ind w:left="820"/>
      </w:pPr>
      <w:r>
        <w:t>The PHA will establish the following permissive prohibitions:</w:t>
      </w:r>
    </w:p>
    <w:p w:rsidR="004E13A5" w:rsidRDefault="00681463">
      <w:pPr>
        <w:pStyle w:val="BodyText"/>
        <w:spacing w:before="196" w:line="242" w:lineRule="auto"/>
        <w:ind w:left="1674"/>
      </w:pPr>
      <w:r>
        <w:t>If the PHA determines that any household member is currently engaged in, or has engaged in within the previous 12 months:</w:t>
      </w:r>
    </w:p>
    <w:p w:rsidR="004E13A5" w:rsidRDefault="00681463">
      <w:pPr>
        <w:pStyle w:val="BodyText"/>
        <w:spacing w:before="124"/>
        <w:ind w:left="2426"/>
      </w:pPr>
      <w:r>
        <w:t>Violent criminal activity</w:t>
      </w:r>
    </w:p>
    <w:p w:rsidR="004E13A5" w:rsidRDefault="00681463">
      <w:pPr>
        <w:pStyle w:val="BodyText"/>
        <w:spacing w:before="137"/>
        <w:ind w:left="2426" w:right="149"/>
      </w:pPr>
      <w:r>
        <w:t>Other criminal activity that may threaten the health, safety, or right to peaceful enjoyment of the premises by other residents or persons residing in the immediate vicinity</w:t>
      </w:r>
    </w:p>
    <w:p w:rsidR="004E13A5" w:rsidRDefault="00681463">
      <w:pPr>
        <w:pStyle w:val="BodyText"/>
        <w:spacing w:before="189"/>
        <w:ind w:left="1691" w:right="98"/>
      </w:pPr>
      <w:r>
        <w:t>If any member of the family has committed fraud, bribery, or any other corrupt or criminal act in connection with any federal housing program within the previous 12 months.</w:t>
      </w:r>
    </w:p>
    <w:p w:rsidR="004E13A5" w:rsidRDefault="00681463">
      <w:pPr>
        <w:pStyle w:val="BodyText"/>
        <w:ind w:left="1691" w:right="378"/>
      </w:pPr>
      <w:r>
        <w:t>If the family engaged in or threatened abusive or violent behavior toward PHA personnel within the previous 12 months.</w:t>
      </w:r>
    </w:p>
    <w:p w:rsidR="004E13A5" w:rsidRDefault="004E13A5">
      <w:pPr>
        <w:sectPr w:rsidR="004E13A5">
          <w:footerReference w:type="default" r:id="rId71"/>
          <w:pgSz w:w="12240" w:h="15840"/>
          <w:pgMar w:top="760" w:right="1360" w:bottom="920" w:left="1220" w:header="0" w:footer="726" w:gutter="0"/>
          <w:cols w:space="720"/>
        </w:sectPr>
      </w:pPr>
    </w:p>
    <w:p w:rsidR="004E13A5" w:rsidRDefault="00681463">
      <w:pPr>
        <w:pStyle w:val="BodyText"/>
        <w:spacing w:before="60"/>
        <w:ind w:left="839" w:right="709"/>
      </w:pPr>
      <w:r>
        <w:lastRenderedPageBreak/>
        <w:t>The PHA will also deny assistance to household members already receiving assistance from another program in accordance with Section 9.h. of Notice PIH 2021-15.</w:t>
      </w:r>
    </w:p>
    <w:p w:rsidR="004E13A5" w:rsidRDefault="00681463">
      <w:pPr>
        <w:pStyle w:val="BodyText"/>
        <w:spacing w:before="120"/>
        <w:ind w:left="839" w:right="616"/>
      </w:pPr>
      <w:r>
        <w:t>Prohibitions based on criminal activity for the eligible EHV populations regarding drug possession will be considered apart from criminal activity against persons (i.e., violent criminal activity).</w:t>
      </w:r>
    </w:p>
    <w:p w:rsidR="004E13A5" w:rsidRDefault="00681463">
      <w:pPr>
        <w:pStyle w:val="BodyText"/>
        <w:spacing w:before="160"/>
        <w:ind w:left="839" w:right="742"/>
      </w:pPr>
      <w:r>
        <w:t xml:space="preserve">In compliance with PIH 2021-15, the PHA </w:t>
      </w:r>
      <w:r>
        <w:rPr>
          <w:b/>
        </w:rPr>
        <w:t xml:space="preserve">will not </w:t>
      </w:r>
      <w:r>
        <w:t>deny an EHV applicant admission regardless of whether:</w:t>
      </w:r>
    </w:p>
    <w:p w:rsidR="004E13A5" w:rsidRDefault="00681463">
      <w:pPr>
        <w:pStyle w:val="BodyText"/>
        <w:spacing w:before="196"/>
        <w:ind w:left="1559" w:right="430"/>
      </w:pPr>
      <w:r>
        <w:t>Any member of the family has been evicted from federally assisted housing in the last five years;</w:t>
      </w:r>
    </w:p>
    <w:p w:rsidR="004E13A5" w:rsidRDefault="00681463">
      <w:pPr>
        <w:pStyle w:val="BodyText"/>
        <w:ind w:left="1559" w:right="590"/>
      </w:pPr>
      <w:r>
        <w:t>A PHA has ever terminated assistance under the program for any member of the family;</w:t>
      </w:r>
    </w:p>
    <w:p w:rsidR="004E13A5" w:rsidRDefault="00681463">
      <w:pPr>
        <w:pStyle w:val="BodyText"/>
        <w:ind w:left="1559" w:right="429"/>
      </w:pPr>
      <w:r>
        <w:t>The family currently owes rent or other amounts to the PHA or to another PHA in connection with Section 8 or public housing assistance under the 1937 Act;</w:t>
      </w:r>
    </w:p>
    <w:p w:rsidR="004E13A5" w:rsidRDefault="00681463">
      <w:pPr>
        <w:pStyle w:val="BodyText"/>
        <w:ind w:left="1559" w:right="556"/>
      </w:pPr>
      <w:r>
        <w:t>The family has not reimbursed any PHA for amounts paid to an owner under a HAP contract for rent, damages to the unit, or other amounts owed by the family under the lease;</w:t>
      </w:r>
    </w:p>
    <w:p w:rsidR="004E13A5" w:rsidRDefault="00681463">
      <w:pPr>
        <w:pStyle w:val="BodyText"/>
        <w:ind w:left="1559" w:right="344"/>
      </w:pPr>
      <w:r>
        <w:t>The family breached an agreement with the PHA to pay amounts owed to a PHA, or amounts paid to an owner by a PHA;</w:t>
      </w:r>
    </w:p>
    <w:p w:rsidR="004E13A5" w:rsidRDefault="00681463">
      <w:pPr>
        <w:pStyle w:val="BodyText"/>
        <w:ind w:left="1559" w:right="642"/>
      </w:pPr>
      <w:r>
        <w:t>The family would otherwise be prohibited admission under alcohol abuse standards established by the PHA in accordance with 24 CFR 982.553(a)(3);</w:t>
      </w:r>
    </w:p>
    <w:p w:rsidR="004E13A5" w:rsidRDefault="00681463">
      <w:pPr>
        <w:pStyle w:val="BodyText"/>
        <w:ind w:left="1559" w:right="544"/>
        <w:jc w:val="both"/>
      </w:pPr>
      <w:r>
        <w:t>The PHA determines that any household member is currently engaged in or has engaged in during a reasonable time before the admission, drug-related criminal activity.</w:t>
      </w:r>
    </w:p>
    <w:p w:rsidR="004E13A5" w:rsidRDefault="00681463">
      <w:pPr>
        <w:pStyle w:val="Heading4"/>
        <w:numPr>
          <w:ilvl w:val="1"/>
          <w:numId w:val="8"/>
        </w:numPr>
        <w:tabs>
          <w:tab w:val="left" w:pos="840"/>
        </w:tabs>
        <w:spacing w:before="120" w:line="343" w:lineRule="auto"/>
        <w:ind w:left="119" w:right="4346" w:firstLine="0"/>
        <w:jc w:val="left"/>
      </w:pPr>
      <w:r>
        <w:t>INCOME VERIFICATION AT</w:t>
      </w:r>
      <w:r>
        <w:rPr>
          <w:spacing w:val="-27"/>
        </w:rPr>
        <w:t xml:space="preserve"> </w:t>
      </w:r>
      <w:r>
        <w:t>ADMISSION Self-Certification at</w:t>
      </w:r>
      <w:r>
        <w:rPr>
          <w:spacing w:val="-13"/>
        </w:rPr>
        <w:t xml:space="preserve"> </w:t>
      </w:r>
      <w:r>
        <w:t>Admission</w:t>
      </w:r>
    </w:p>
    <w:p w:rsidR="004E13A5" w:rsidRDefault="00681463">
      <w:pPr>
        <w:pStyle w:val="BodyText"/>
        <w:spacing w:before="10"/>
        <w:ind w:left="119" w:right="101"/>
      </w:pPr>
      <w:r>
        <w:t>The requirement to obtain third-party verification of income in accordance with Notice PIH 2018-18 does not apply to the EHV program applicants at admission, and alternatively, PHAs may consider self-certification the highest form of income verification at admission. As such, PHA policies related to the verification of income in Section 7-I.B. do not apply to EHV families at</w:t>
      </w:r>
      <w:r>
        <w:rPr>
          <w:spacing w:val="-13"/>
        </w:rPr>
        <w:t xml:space="preserve"> </w:t>
      </w:r>
      <w:r>
        <w:t>admission.</w:t>
      </w:r>
    </w:p>
    <w:p w:rsidR="004E13A5" w:rsidRDefault="00681463">
      <w:pPr>
        <w:pStyle w:val="BodyText"/>
        <w:spacing w:before="0"/>
        <w:ind w:left="119"/>
      </w:pPr>
      <w:r>
        <w:t>Instead, applicants must submit an affidavit attesting to their reported income, assets, expenses, and other factors that would affect an income eligibility determination.</w:t>
      </w:r>
    </w:p>
    <w:p w:rsidR="004E13A5" w:rsidRDefault="00681463">
      <w:pPr>
        <w:pStyle w:val="BodyText"/>
        <w:spacing w:before="140"/>
        <w:ind w:left="119" w:right="314"/>
        <w:jc w:val="both"/>
      </w:pPr>
      <w:r>
        <w:t>Additionally, applicants may provide third-party documentation that represents the applicant’s income within the 60-day period prior to admission or voucher issuance but is not dated within 60 days of the PHA’s request.</w:t>
      </w:r>
    </w:p>
    <w:p w:rsidR="004E13A5" w:rsidRDefault="00681463">
      <w:pPr>
        <w:pStyle w:val="BodyText"/>
        <w:spacing w:before="166"/>
        <w:ind w:left="839"/>
      </w:pPr>
      <w:r>
        <w:rPr>
          <w:u w:val="single"/>
        </w:rPr>
        <w:t>PHA Policy</w:t>
      </w:r>
    </w:p>
    <w:p w:rsidR="004E13A5" w:rsidRDefault="00681463">
      <w:pPr>
        <w:pStyle w:val="BodyText"/>
        <w:spacing w:before="204" w:line="247" w:lineRule="auto"/>
        <w:ind w:left="839" w:right="642"/>
      </w:pPr>
      <w:r>
        <w:t>Any documents used for verification must be the original (not photocopies) and dated within the 60-day period prior to admission. The documents must not be damaged, altered, or in any way illegible.</w:t>
      </w:r>
    </w:p>
    <w:p w:rsidR="004E13A5" w:rsidRDefault="00681463">
      <w:pPr>
        <w:pStyle w:val="BodyText"/>
        <w:spacing w:before="123"/>
        <w:ind w:left="839"/>
      </w:pPr>
      <w:r>
        <w:t>Printouts from webpages are considered original documents.</w:t>
      </w:r>
    </w:p>
    <w:p w:rsidR="004E13A5" w:rsidRDefault="004E13A5">
      <w:pPr>
        <w:sectPr w:rsidR="004E13A5">
          <w:footerReference w:type="default" r:id="rId72"/>
          <w:pgSz w:w="12240" w:h="15840"/>
          <w:pgMar w:top="940" w:right="1140" w:bottom="280" w:left="1220" w:header="0" w:footer="0" w:gutter="0"/>
          <w:cols w:space="720"/>
        </w:sectPr>
      </w:pPr>
    </w:p>
    <w:p w:rsidR="004E13A5" w:rsidRDefault="00681463">
      <w:pPr>
        <w:pStyle w:val="BodyText"/>
        <w:spacing w:before="79"/>
        <w:ind w:left="839" w:right="190"/>
      </w:pPr>
      <w:r>
        <w:lastRenderedPageBreak/>
        <w:t>Any family self-certifications must be made in a format acceptable to the PHA and must be signed by the family member whose information or status is being verified.</w:t>
      </w:r>
    </w:p>
    <w:p w:rsidR="004E13A5" w:rsidRDefault="00681463">
      <w:pPr>
        <w:pStyle w:val="BodyText"/>
        <w:ind w:left="839" w:right="96"/>
      </w:pPr>
      <w:r>
        <w:t>The PHA will incorporate additional procedures to remind families of the obligation to provide true and complete information in accordance with Chapter 14. The PHA will address any material discrepancies (i.e., unreported income or a substantial difference in reported income) that may arise later. The PHA may, but is not required to, offer the family a repayment agreement in accordance with Chapter 16. If the family fails to repay the excess subsidy, the PHA will terminate the family’s assistance in accordance with the policies in Chapter 12.</w:t>
      </w:r>
    </w:p>
    <w:p w:rsidR="004E13A5" w:rsidRDefault="00681463">
      <w:pPr>
        <w:pStyle w:val="Heading4"/>
        <w:spacing w:before="177"/>
        <w:ind w:left="119"/>
      </w:pPr>
      <w:bookmarkStart w:id="428" w:name="_TOC_250004"/>
      <w:bookmarkEnd w:id="428"/>
      <w:r>
        <w:t>Recently Conducted Income Determinations</w:t>
      </w:r>
    </w:p>
    <w:p w:rsidR="004E13A5" w:rsidRDefault="00681463">
      <w:pPr>
        <w:pStyle w:val="BodyText"/>
        <w:spacing w:before="139"/>
        <w:ind w:left="119" w:right="390"/>
      </w:pPr>
      <w:r>
        <w:t>PHAs may accept income calculations and verifications from third-party providers or from an examination that the PHA conducted on behalf of the family for another subsidized housing program in lieu of conducting an initial examination of income as long as:</w:t>
      </w:r>
    </w:p>
    <w:p w:rsidR="004E13A5" w:rsidRDefault="00681463">
      <w:pPr>
        <w:pStyle w:val="ListParagraph"/>
        <w:numPr>
          <w:ilvl w:val="0"/>
          <w:numId w:val="93"/>
        </w:numPr>
        <w:tabs>
          <w:tab w:val="left" w:pos="479"/>
          <w:tab w:val="left" w:pos="480"/>
        </w:tabs>
        <w:spacing w:before="134" w:line="242" w:lineRule="auto"/>
        <w:ind w:left="479" w:right="454"/>
        <w:rPr>
          <w:rFonts w:ascii="Symbol"/>
          <w:sz w:val="24"/>
        </w:rPr>
      </w:pPr>
      <w:r>
        <w:rPr>
          <w:rFonts w:ascii="Calibri"/>
          <w:sz w:val="24"/>
        </w:rPr>
        <w:t>The</w:t>
      </w:r>
      <w:r>
        <w:rPr>
          <w:rFonts w:ascii="Calibri"/>
          <w:spacing w:val="-2"/>
          <w:sz w:val="24"/>
        </w:rPr>
        <w:t xml:space="preserve"> </w:t>
      </w:r>
      <w:r>
        <w:rPr>
          <w:rFonts w:ascii="Calibri"/>
          <w:sz w:val="24"/>
        </w:rPr>
        <w:t>income</w:t>
      </w:r>
      <w:r>
        <w:rPr>
          <w:rFonts w:ascii="Calibri"/>
          <w:spacing w:val="-5"/>
          <w:sz w:val="24"/>
        </w:rPr>
        <w:t xml:space="preserve"> </w:t>
      </w:r>
      <w:r>
        <w:rPr>
          <w:rFonts w:ascii="Calibri"/>
          <w:sz w:val="24"/>
        </w:rPr>
        <w:t>was</w:t>
      </w:r>
      <w:r>
        <w:rPr>
          <w:rFonts w:ascii="Calibri"/>
          <w:spacing w:val="-3"/>
          <w:sz w:val="24"/>
        </w:rPr>
        <w:t xml:space="preserve"> </w:t>
      </w:r>
      <w:r>
        <w:rPr>
          <w:rFonts w:ascii="Calibri"/>
          <w:sz w:val="24"/>
        </w:rPr>
        <w:t>calculated</w:t>
      </w:r>
      <w:r>
        <w:rPr>
          <w:rFonts w:ascii="Calibri"/>
          <w:spacing w:val="-1"/>
          <w:sz w:val="24"/>
        </w:rPr>
        <w:t xml:space="preserve"> </w:t>
      </w:r>
      <w:r>
        <w:rPr>
          <w:rFonts w:ascii="Calibri"/>
          <w:sz w:val="24"/>
        </w:rPr>
        <w:t>in</w:t>
      </w:r>
      <w:r>
        <w:rPr>
          <w:rFonts w:ascii="Calibri"/>
          <w:spacing w:val="-2"/>
          <w:sz w:val="24"/>
        </w:rPr>
        <w:t xml:space="preserve"> </w:t>
      </w:r>
      <w:r>
        <w:rPr>
          <w:rFonts w:ascii="Calibri"/>
          <w:sz w:val="24"/>
        </w:rPr>
        <w:t>accordance</w:t>
      </w:r>
      <w:r>
        <w:rPr>
          <w:rFonts w:ascii="Calibri"/>
          <w:spacing w:val="-2"/>
          <w:sz w:val="24"/>
        </w:rPr>
        <w:t xml:space="preserve"> </w:t>
      </w:r>
      <w:r>
        <w:rPr>
          <w:rFonts w:ascii="Calibri"/>
          <w:sz w:val="24"/>
        </w:rPr>
        <w:t>with</w:t>
      </w:r>
      <w:r>
        <w:rPr>
          <w:rFonts w:ascii="Calibri"/>
          <w:spacing w:val="-2"/>
          <w:sz w:val="24"/>
        </w:rPr>
        <w:t xml:space="preserve"> </w:t>
      </w:r>
      <w:r>
        <w:rPr>
          <w:rFonts w:ascii="Calibri"/>
          <w:sz w:val="24"/>
        </w:rPr>
        <w:t>rules</w:t>
      </w:r>
      <w:r>
        <w:rPr>
          <w:rFonts w:ascii="Calibri"/>
          <w:spacing w:val="-3"/>
          <w:sz w:val="24"/>
        </w:rPr>
        <w:t xml:space="preserve"> </w:t>
      </w:r>
      <w:r>
        <w:rPr>
          <w:rFonts w:ascii="Calibri"/>
          <w:sz w:val="24"/>
        </w:rPr>
        <w:t>outlined</w:t>
      </w:r>
      <w:r>
        <w:rPr>
          <w:rFonts w:ascii="Calibri"/>
          <w:spacing w:val="-3"/>
          <w:sz w:val="24"/>
        </w:rPr>
        <w:t xml:space="preserve"> </w:t>
      </w:r>
      <w:r>
        <w:rPr>
          <w:rFonts w:ascii="Calibri"/>
          <w:sz w:val="24"/>
        </w:rPr>
        <w:t>at</w:t>
      </w:r>
      <w:r>
        <w:rPr>
          <w:rFonts w:ascii="Calibri"/>
          <w:spacing w:val="-4"/>
          <w:sz w:val="24"/>
        </w:rPr>
        <w:t xml:space="preserve"> </w:t>
      </w:r>
      <w:r>
        <w:rPr>
          <w:rFonts w:ascii="Calibri"/>
          <w:sz w:val="24"/>
        </w:rPr>
        <w:t>24</w:t>
      </w:r>
      <w:r>
        <w:rPr>
          <w:rFonts w:ascii="Calibri"/>
          <w:spacing w:val="-2"/>
          <w:sz w:val="24"/>
        </w:rPr>
        <w:t xml:space="preserve"> </w:t>
      </w:r>
      <w:r>
        <w:rPr>
          <w:rFonts w:ascii="Calibri"/>
          <w:sz w:val="24"/>
        </w:rPr>
        <w:t>CFR</w:t>
      </w:r>
      <w:r>
        <w:rPr>
          <w:rFonts w:ascii="Calibri"/>
          <w:spacing w:val="-5"/>
          <w:sz w:val="24"/>
        </w:rPr>
        <w:t xml:space="preserve"> </w:t>
      </w:r>
      <w:r>
        <w:rPr>
          <w:rFonts w:ascii="Calibri"/>
          <w:sz w:val="24"/>
        </w:rPr>
        <w:t>Part</w:t>
      </w:r>
      <w:r>
        <w:rPr>
          <w:rFonts w:ascii="Calibri"/>
          <w:spacing w:val="-2"/>
          <w:sz w:val="24"/>
        </w:rPr>
        <w:t xml:space="preserve"> </w:t>
      </w:r>
      <w:r>
        <w:rPr>
          <w:rFonts w:ascii="Calibri"/>
          <w:sz w:val="24"/>
        </w:rPr>
        <w:t>5</w:t>
      </w:r>
      <w:r>
        <w:rPr>
          <w:rFonts w:ascii="Calibri"/>
          <w:spacing w:val="-4"/>
          <w:sz w:val="24"/>
        </w:rPr>
        <w:t xml:space="preserve"> </w:t>
      </w:r>
      <w:r>
        <w:rPr>
          <w:rFonts w:ascii="Calibri"/>
          <w:sz w:val="24"/>
        </w:rPr>
        <w:t>and</w:t>
      </w:r>
      <w:r>
        <w:rPr>
          <w:rFonts w:ascii="Calibri"/>
          <w:spacing w:val="-2"/>
          <w:sz w:val="24"/>
        </w:rPr>
        <w:t xml:space="preserve"> </w:t>
      </w:r>
      <w:r>
        <w:rPr>
          <w:rFonts w:ascii="Calibri"/>
          <w:sz w:val="24"/>
        </w:rPr>
        <w:t>within the last six months;</w:t>
      </w:r>
      <w:r>
        <w:rPr>
          <w:rFonts w:ascii="Calibri"/>
          <w:spacing w:val="-15"/>
          <w:sz w:val="24"/>
        </w:rPr>
        <w:t xml:space="preserve"> </w:t>
      </w:r>
      <w:r>
        <w:rPr>
          <w:rFonts w:ascii="Calibri"/>
          <w:sz w:val="24"/>
        </w:rPr>
        <w:t>and</w:t>
      </w:r>
    </w:p>
    <w:p w:rsidR="004E13A5" w:rsidRDefault="00681463">
      <w:pPr>
        <w:pStyle w:val="ListParagraph"/>
        <w:numPr>
          <w:ilvl w:val="0"/>
          <w:numId w:val="93"/>
        </w:numPr>
        <w:tabs>
          <w:tab w:val="left" w:pos="479"/>
          <w:tab w:val="left" w:pos="480"/>
        </w:tabs>
        <w:spacing w:before="130"/>
        <w:ind w:left="479" w:right="826"/>
        <w:rPr>
          <w:rFonts w:ascii="Symbol"/>
          <w:sz w:val="24"/>
        </w:rPr>
      </w:pPr>
      <w:r>
        <w:rPr>
          <w:rFonts w:ascii="Calibri"/>
          <w:sz w:val="24"/>
        </w:rPr>
        <w:t>The</w:t>
      </w:r>
      <w:r>
        <w:rPr>
          <w:rFonts w:ascii="Calibri"/>
          <w:spacing w:val="-4"/>
          <w:sz w:val="24"/>
        </w:rPr>
        <w:t xml:space="preserve"> </w:t>
      </w:r>
      <w:r>
        <w:rPr>
          <w:rFonts w:ascii="Calibri"/>
          <w:sz w:val="24"/>
        </w:rPr>
        <w:t>family</w:t>
      </w:r>
      <w:r>
        <w:rPr>
          <w:rFonts w:ascii="Calibri"/>
          <w:spacing w:val="-3"/>
          <w:sz w:val="24"/>
        </w:rPr>
        <w:t xml:space="preserve"> </w:t>
      </w:r>
      <w:r>
        <w:rPr>
          <w:rFonts w:ascii="Calibri"/>
          <w:sz w:val="24"/>
        </w:rPr>
        <w:t>certifies</w:t>
      </w:r>
      <w:r>
        <w:rPr>
          <w:rFonts w:ascii="Calibri"/>
          <w:spacing w:val="-3"/>
          <w:sz w:val="24"/>
        </w:rPr>
        <w:t xml:space="preserve"> </w:t>
      </w:r>
      <w:r>
        <w:rPr>
          <w:rFonts w:ascii="Calibri"/>
          <w:sz w:val="24"/>
        </w:rPr>
        <w:t>there</w:t>
      </w:r>
      <w:r>
        <w:rPr>
          <w:rFonts w:ascii="Calibri"/>
          <w:spacing w:val="-5"/>
          <w:sz w:val="24"/>
        </w:rPr>
        <w:t xml:space="preserve"> </w:t>
      </w:r>
      <w:r>
        <w:rPr>
          <w:rFonts w:ascii="Calibri"/>
          <w:sz w:val="24"/>
        </w:rPr>
        <w:t>has</w:t>
      </w:r>
      <w:r>
        <w:rPr>
          <w:rFonts w:ascii="Calibri"/>
          <w:spacing w:val="-5"/>
          <w:sz w:val="24"/>
        </w:rPr>
        <w:t xml:space="preserve"> </w:t>
      </w:r>
      <w:r>
        <w:rPr>
          <w:rFonts w:ascii="Calibri"/>
          <w:sz w:val="24"/>
        </w:rPr>
        <w:t>been</w:t>
      </w:r>
      <w:r>
        <w:rPr>
          <w:rFonts w:ascii="Calibri"/>
          <w:spacing w:val="-2"/>
          <w:sz w:val="24"/>
        </w:rPr>
        <w:t xml:space="preserve"> </w:t>
      </w:r>
      <w:r>
        <w:rPr>
          <w:rFonts w:ascii="Calibri"/>
          <w:sz w:val="24"/>
        </w:rPr>
        <w:t>no</w:t>
      </w:r>
      <w:r>
        <w:rPr>
          <w:rFonts w:ascii="Calibri"/>
          <w:spacing w:val="-2"/>
          <w:sz w:val="24"/>
        </w:rPr>
        <w:t xml:space="preserve"> </w:t>
      </w:r>
      <w:r>
        <w:rPr>
          <w:rFonts w:ascii="Calibri"/>
          <w:sz w:val="24"/>
        </w:rPr>
        <w:t>change</w:t>
      </w:r>
      <w:r>
        <w:rPr>
          <w:rFonts w:ascii="Calibri"/>
          <w:spacing w:val="-3"/>
          <w:sz w:val="24"/>
        </w:rPr>
        <w:t xml:space="preserve"> </w:t>
      </w:r>
      <w:r>
        <w:rPr>
          <w:rFonts w:ascii="Calibri"/>
          <w:sz w:val="24"/>
        </w:rPr>
        <w:t>in</w:t>
      </w:r>
      <w:r>
        <w:rPr>
          <w:rFonts w:ascii="Calibri"/>
          <w:spacing w:val="-2"/>
          <w:sz w:val="24"/>
        </w:rPr>
        <w:t xml:space="preserve"> </w:t>
      </w:r>
      <w:r>
        <w:rPr>
          <w:rFonts w:ascii="Calibri"/>
          <w:sz w:val="24"/>
        </w:rPr>
        <w:t>income</w:t>
      </w:r>
      <w:r>
        <w:rPr>
          <w:rFonts w:ascii="Calibri"/>
          <w:spacing w:val="-2"/>
          <w:sz w:val="24"/>
        </w:rPr>
        <w:t xml:space="preserve"> </w:t>
      </w:r>
      <w:r>
        <w:rPr>
          <w:rFonts w:ascii="Calibri"/>
          <w:sz w:val="24"/>
        </w:rPr>
        <w:t>or</w:t>
      </w:r>
      <w:r>
        <w:rPr>
          <w:rFonts w:ascii="Calibri"/>
          <w:spacing w:val="-2"/>
          <w:sz w:val="24"/>
        </w:rPr>
        <w:t xml:space="preserve"> </w:t>
      </w:r>
      <w:r>
        <w:rPr>
          <w:rFonts w:ascii="Calibri"/>
          <w:sz w:val="24"/>
        </w:rPr>
        <w:t>family</w:t>
      </w:r>
      <w:r>
        <w:rPr>
          <w:rFonts w:ascii="Calibri"/>
          <w:spacing w:val="-3"/>
          <w:sz w:val="24"/>
        </w:rPr>
        <w:t xml:space="preserve"> </w:t>
      </w:r>
      <w:r>
        <w:rPr>
          <w:rFonts w:ascii="Calibri"/>
          <w:sz w:val="24"/>
        </w:rPr>
        <w:t>composition</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the interim.</w:t>
      </w:r>
    </w:p>
    <w:p w:rsidR="004E13A5" w:rsidRDefault="00681463">
      <w:pPr>
        <w:pStyle w:val="BodyText"/>
        <w:spacing w:before="133"/>
        <w:ind w:left="839"/>
        <w:rPr>
          <w:rFonts w:ascii="Calibri"/>
        </w:rPr>
      </w:pPr>
      <w:r>
        <w:rPr>
          <w:rFonts w:ascii="Calibri"/>
          <w:u w:val="single"/>
        </w:rPr>
        <w:t>PHA Policy</w:t>
      </w:r>
    </w:p>
    <w:p w:rsidR="004E13A5" w:rsidRDefault="00681463">
      <w:pPr>
        <w:pStyle w:val="BodyText"/>
        <w:spacing w:before="104"/>
        <w:ind w:left="839" w:right="443"/>
      </w:pPr>
      <w:r>
        <w:t>The PHA will accept income calculations and verifications from third-party providers provided they meet the criteria outlined above.</w:t>
      </w:r>
    </w:p>
    <w:p w:rsidR="004E13A5" w:rsidRDefault="00681463">
      <w:pPr>
        <w:pStyle w:val="BodyText"/>
        <w:ind w:left="839" w:right="463"/>
      </w:pPr>
      <w:r>
        <w:t>The family certification must be made in a format acceptable to the PHA and must be signed by all adult family members whose information or status is being verified.</w:t>
      </w:r>
    </w:p>
    <w:p w:rsidR="004E13A5" w:rsidRDefault="00681463">
      <w:pPr>
        <w:pStyle w:val="BodyText"/>
        <w:spacing w:before="134"/>
        <w:ind w:left="119" w:right="829"/>
      </w:pPr>
      <w:r>
        <w:t>At the time of the family’s annual reexamination the PHA must conduct the annual reexamination of income as outlined at 24 CFR 982.516 and PHA policies in Chapter 11.</w:t>
      </w:r>
    </w:p>
    <w:p w:rsidR="004E13A5" w:rsidRDefault="00681463">
      <w:pPr>
        <w:pStyle w:val="Heading4"/>
        <w:spacing w:before="120"/>
        <w:ind w:left="119"/>
      </w:pPr>
      <w:bookmarkStart w:id="429" w:name="_TOC_250003"/>
      <w:bookmarkEnd w:id="429"/>
      <w:r>
        <w:t>EIV Income Validation</w:t>
      </w:r>
    </w:p>
    <w:p w:rsidR="004E13A5" w:rsidRDefault="00681463">
      <w:pPr>
        <w:pStyle w:val="BodyText"/>
        <w:spacing w:before="120"/>
        <w:ind w:left="119"/>
      </w:pPr>
      <w:r>
        <w:t>Once HUD makes the EIV data available to PHAs under this waiver and alternative requirement, the PHA must:</w:t>
      </w:r>
    </w:p>
    <w:p w:rsidR="004E13A5" w:rsidRDefault="00681463">
      <w:pPr>
        <w:pStyle w:val="ListParagraph"/>
        <w:numPr>
          <w:ilvl w:val="0"/>
          <w:numId w:val="7"/>
        </w:numPr>
        <w:tabs>
          <w:tab w:val="left" w:pos="599"/>
          <w:tab w:val="left" w:pos="600"/>
        </w:tabs>
        <w:spacing w:before="151"/>
        <w:ind w:right="372"/>
        <w:rPr>
          <w:rFonts w:ascii="Calibri"/>
          <w:sz w:val="24"/>
        </w:rPr>
      </w:pPr>
      <w:r>
        <w:rPr>
          <w:rFonts w:ascii="Calibri"/>
          <w:sz w:val="24"/>
        </w:rPr>
        <w:t>Review the EIV Income and Income Validation Tool (IVT) reports to confirm and validate family-reported income within 90 days of the PIC submission</w:t>
      </w:r>
      <w:r>
        <w:rPr>
          <w:rFonts w:ascii="Calibri"/>
          <w:spacing w:val="-34"/>
          <w:sz w:val="24"/>
        </w:rPr>
        <w:t xml:space="preserve"> </w:t>
      </w:r>
      <w:r>
        <w:rPr>
          <w:rFonts w:ascii="Calibri"/>
          <w:sz w:val="24"/>
        </w:rPr>
        <w:t>date;</w:t>
      </w:r>
    </w:p>
    <w:p w:rsidR="004E13A5" w:rsidRDefault="00681463">
      <w:pPr>
        <w:pStyle w:val="ListParagraph"/>
        <w:numPr>
          <w:ilvl w:val="0"/>
          <w:numId w:val="7"/>
        </w:numPr>
        <w:tabs>
          <w:tab w:val="left" w:pos="599"/>
          <w:tab w:val="left" w:pos="600"/>
        </w:tabs>
        <w:rPr>
          <w:rFonts w:ascii="Calibri"/>
          <w:sz w:val="24"/>
        </w:rPr>
      </w:pPr>
      <w:r>
        <w:rPr>
          <w:rFonts w:ascii="Calibri"/>
          <w:sz w:val="24"/>
        </w:rPr>
        <w:t>Print</w:t>
      </w:r>
      <w:r>
        <w:rPr>
          <w:rFonts w:ascii="Calibri"/>
          <w:spacing w:val="-4"/>
          <w:sz w:val="24"/>
        </w:rPr>
        <w:t xml:space="preserve"> </w:t>
      </w:r>
      <w:r>
        <w:rPr>
          <w:rFonts w:ascii="Calibri"/>
          <w:sz w:val="24"/>
        </w:rPr>
        <w:t>and</w:t>
      </w:r>
      <w:r>
        <w:rPr>
          <w:rFonts w:ascii="Calibri"/>
          <w:spacing w:val="-2"/>
          <w:sz w:val="24"/>
        </w:rPr>
        <w:t xml:space="preserve"> </w:t>
      </w:r>
      <w:r>
        <w:rPr>
          <w:rFonts w:ascii="Calibri"/>
          <w:sz w:val="24"/>
        </w:rPr>
        <w:t>maintain</w:t>
      </w:r>
      <w:r>
        <w:rPr>
          <w:rFonts w:ascii="Calibri"/>
          <w:spacing w:val="-2"/>
          <w:sz w:val="24"/>
        </w:rPr>
        <w:t xml:space="preserve"> </w:t>
      </w:r>
      <w:r>
        <w:rPr>
          <w:rFonts w:ascii="Calibri"/>
          <w:sz w:val="24"/>
        </w:rPr>
        <w:t>copies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EIV</w:t>
      </w:r>
      <w:r>
        <w:rPr>
          <w:rFonts w:ascii="Calibri"/>
          <w:spacing w:val="-4"/>
          <w:sz w:val="24"/>
        </w:rPr>
        <w:t xml:space="preserve"> </w:t>
      </w:r>
      <w:r>
        <w:rPr>
          <w:rFonts w:ascii="Calibri"/>
          <w:sz w:val="24"/>
        </w:rPr>
        <w:t>Income</w:t>
      </w:r>
      <w:r>
        <w:rPr>
          <w:rFonts w:ascii="Calibri"/>
          <w:spacing w:val="-5"/>
          <w:sz w:val="24"/>
        </w:rPr>
        <w:t xml:space="preserve"> </w:t>
      </w:r>
      <w:r>
        <w:rPr>
          <w:rFonts w:ascii="Calibri"/>
          <w:sz w:val="24"/>
        </w:rPr>
        <w:t>and</w:t>
      </w:r>
      <w:r>
        <w:rPr>
          <w:rFonts w:ascii="Calibri"/>
          <w:spacing w:val="-2"/>
          <w:sz w:val="24"/>
        </w:rPr>
        <w:t xml:space="preserve"> </w:t>
      </w:r>
      <w:r>
        <w:rPr>
          <w:rFonts w:ascii="Calibri"/>
          <w:sz w:val="24"/>
        </w:rPr>
        <w:t>IVT</w:t>
      </w:r>
      <w:r>
        <w:rPr>
          <w:rFonts w:ascii="Calibri"/>
          <w:spacing w:val="-2"/>
          <w:sz w:val="24"/>
        </w:rPr>
        <w:t xml:space="preserve"> </w:t>
      </w:r>
      <w:r>
        <w:rPr>
          <w:rFonts w:ascii="Calibri"/>
          <w:sz w:val="24"/>
        </w:rPr>
        <w:t>Reports</w:t>
      </w:r>
      <w:r>
        <w:rPr>
          <w:rFonts w:ascii="Calibri"/>
          <w:spacing w:val="-5"/>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tenant</w:t>
      </w:r>
      <w:r>
        <w:rPr>
          <w:rFonts w:ascii="Calibri"/>
          <w:spacing w:val="-6"/>
          <w:sz w:val="24"/>
        </w:rPr>
        <w:t xml:space="preserve"> </w:t>
      </w:r>
      <w:r>
        <w:rPr>
          <w:rFonts w:ascii="Calibri"/>
          <w:sz w:val="24"/>
        </w:rPr>
        <w:t>file;</w:t>
      </w:r>
      <w:r>
        <w:rPr>
          <w:rFonts w:ascii="Calibri"/>
          <w:spacing w:val="-11"/>
          <w:sz w:val="24"/>
        </w:rPr>
        <w:t xml:space="preserve"> </w:t>
      </w:r>
      <w:r>
        <w:rPr>
          <w:rFonts w:ascii="Calibri"/>
          <w:sz w:val="24"/>
        </w:rPr>
        <w:t>and</w:t>
      </w:r>
    </w:p>
    <w:p w:rsidR="004E13A5" w:rsidRDefault="00681463">
      <w:pPr>
        <w:pStyle w:val="ListParagraph"/>
        <w:numPr>
          <w:ilvl w:val="0"/>
          <w:numId w:val="7"/>
        </w:numPr>
        <w:tabs>
          <w:tab w:val="left" w:pos="599"/>
          <w:tab w:val="left" w:pos="600"/>
        </w:tabs>
        <w:ind w:right="427"/>
        <w:rPr>
          <w:rFonts w:ascii="Calibri"/>
          <w:sz w:val="24"/>
        </w:rPr>
      </w:pPr>
      <w:r>
        <w:rPr>
          <w:rFonts w:ascii="Calibri"/>
          <w:sz w:val="24"/>
        </w:rPr>
        <w:t>Resolve</w:t>
      </w:r>
      <w:r>
        <w:rPr>
          <w:rFonts w:ascii="Calibri"/>
          <w:spacing w:val="-2"/>
          <w:sz w:val="24"/>
        </w:rPr>
        <w:t xml:space="preserve"> </w:t>
      </w:r>
      <w:r>
        <w:rPr>
          <w:rFonts w:ascii="Calibri"/>
          <w:sz w:val="24"/>
        </w:rPr>
        <w:t>any</w:t>
      </w:r>
      <w:r>
        <w:rPr>
          <w:rFonts w:ascii="Calibri"/>
          <w:spacing w:val="-3"/>
          <w:sz w:val="24"/>
        </w:rPr>
        <w:t xml:space="preserve"> </w:t>
      </w:r>
      <w:r>
        <w:rPr>
          <w:rFonts w:ascii="Calibri"/>
          <w:sz w:val="24"/>
        </w:rPr>
        <w:t>income</w:t>
      </w:r>
      <w:r>
        <w:rPr>
          <w:rFonts w:ascii="Calibri"/>
          <w:spacing w:val="-4"/>
          <w:sz w:val="24"/>
        </w:rPr>
        <w:t xml:space="preserve"> </w:t>
      </w:r>
      <w:r>
        <w:rPr>
          <w:rFonts w:ascii="Calibri"/>
          <w:sz w:val="24"/>
        </w:rPr>
        <w:t>discrepancy</w:t>
      </w:r>
      <w:r>
        <w:rPr>
          <w:rFonts w:ascii="Calibri"/>
          <w:spacing w:val="-3"/>
          <w:sz w:val="24"/>
        </w:rPr>
        <w:t xml:space="preserve"> </w:t>
      </w:r>
      <w:r>
        <w:rPr>
          <w:rFonts w:ascii="Calibri"/>
          <w:sz w:val="24"/>
        </w:rPr>
        <w:t>with</w:t>
      </w:r>
      <w:r>
        <w:rPr>
          <w:rFonts w:ascii="Calibri"/>
          <w:spacing w:val="-2"/>
          <w:sz w:val="24"/>
        </w:rPr>
        <w:t xml:space="preserve"> </w:t>
      </w:r>
      <w:r>
        <w:rPr>
          <w:rFonts w:ascii="Calibri"/>
          <w:sz w:val="24"/>
        </w:rPr>
        <w:t>the</w:t>
      </w:r>
      <w:r>
        <w:rPr>
          <w:rFonts w:ascii="Calibri"/>
          <w:spacing w:val="-5"/>
          <w:sz w:val="24"/>
        </w:rPr>
        <w:t xml:space="preserve"> </w:t>
      </w:r>
      <w:r>
        <w:rPr>
          <w:rFonts w:ascii="Calibri"/>
          <w:sz w:val="24"/>
        </w:rPr>
        <w:t>family</w:t>
      </w:r>
      <w:r>
        <w:rPr>
          <w:rFonts w:ascii="Calibri"/>
          <w:spacing w:val="-3"/>
          <w:sz w:val="24"/>
        </w:rPr>
        <w:t xml:space="preserve"> </w:t>
      </w:r>
      <w:r>
        <w:rPr>
          <w:rFonts w:ascii="Calibri"/>
          <w:sz w:val="24"/>
        </w:rPr>
        <w:t>within</w:t>
      </w:r>
      <w:r>
        <w:rPr>
          <w:rFonts w:ascii="Calibri"/>
          <w:spacing w:val="-2"/>
          <w:sz w:val="24"/>
        </w:rPr>
        <w:t xml:space="preserve"> </w:t>
      </w:r>
      <w:r>
        <w:rPr>
          <w:rFonts w:ascii="Calibri"/>
          <w:sz w:val="24"/>
        </w:rPr>
        <w:t>60</w:t>
      </w:r>
      <w:r>
        <w:rPr>
          <w:rFonts w:ascii="Calibri"/>
          <w:spacing w:val="-2"/>
          <w:sz w:val="24"/>
        </w:rPr>
        <w:t xml:space="preserve"> </w:t>
      </w:r>
      <w:r>
        <w:rPr>
          <w:rFonts w:ascii="Calibri"/>
          <w:sz w:val="24"/>
        </w:rPr>
        <w:t>days</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EIV</w:t>
      </w:r>
      <w:r>
        <w:rPr>
          <w:rFonts w:ascii="Calibri"/>
          <w:spacing w:val="2"/>
          <w:sz w:val="24"/>
        </w:rPr>
        <w:t xml:space="preserve"> </w:t>
      </w:r>
      <w:r>
        <w:rPr>
          <w:rFonts w:ascii="Calibri"/>
          <w:sz w:val="24"/>
        </w:rPr>
        <w:t>Income</w:t>
      </w:r>
      <w:r>
        <w:rPr>
          <w:rFonts w:ascii="Calibri"/>
          <w:spacing w:val="-2"/>
          <w:sz w:val="24"/>
        </w:rPr>
        <w:t xml:space="preserve"> </w:t>
      </w:r>
      <w:r>
        <w:rPr>
          <w:rFonts w:ascii="Calibri"/>
          <w:sz w:val="24"/>
        </w:rPr>
        <w:t>or</w:t>
      </w:r>
      <w:r>
        <w:rPr>
          <w:rFonts w:ascii="Calibri"/>
          <w:spacing w:val="-32"/>
          <w:sz w:val="24"/>
        </w:rPr>
        <w:t xml:space="preserve"> </w:t>
      </w:r>
      <w:r>
        <w:rPr>
          <w:rFonts w:ascii="Calibri"/>
          <w:sz w:val="24"/>
        </w:rPr>
        <w:t>IVT Report</w:t>
      </w:r>
      <w:r>
        <w:rPr>
          <w:rFonts w:ascii="Calibri"/>
          <w:spacing w:val="-5"/>
          <w:sz w:val="24"/>
        </w:rPr>
        <w:t xml:space="preserve"> </w:t>
      </w:r>
      <w:r>
        <w:rPr>
          <w:rFonts w:ascii="Calibri"/>
          <w:sz w:val="24"/>
        </w:rPr>
        <w:t>dates.</w:t>
      </w:r>
    </w:p>
    <w:p w:rsidR="004E13A5" w:rsidRDefault="00681463">
      <w:pPr>
        <w:pStyle w:val="BodyText"/>
        <w:spacing w:before="150"/>
        <w:ind w:left="119" w:right="62"/>
      </w:pPr>
      <w:r>
        <w:t>Prior to admission, PHAs must continue to use HUD’s EIV system to search for all household members using the Existing Tenant Search in accordance with PHA policies in Chapter 3.</w:t>
      </w:r>
    </w:p>
    <w:p w:rsidR="004E13A5" w:rsidRDefault="00681463">
      <w:pPr>
        <w:pStyle w:val="BodyText"/>
        <w:spacing w:before="120"/>
        <w:ind w:left="119" w:right="203"/>
      </w:pPr>
      <w:r>
        <w:t>If a PHA later determines that an ineligible family received assistance, the PHA must take steps to terminate that family from the program in accordance with Chapter 12.</w:t>
      </w:r>
    </w:p>
    <w:p w:rsidR="004E13A5" w:rsidRDefault="004E13A5">
      <w:pPr>
        <w:sectPr w:rsidR="004E13A5">
          <w:footerReference w:type="default" r:id="rId73"/>
          <w:pgSz w:w="12240" w:h="15840"/>
          <w:pgMar w:top="1420" w:right="1480" w:bottom="280" w:left="1220" w:header="0" w:footer="0" w:gutter="0"/>
          <w:cols w:space="720"/>
        </w:sectPr>
      </w:pPr>
    </w:p>
    <w:p w:rsidR="004E13A5" w:rsidRDefault="00681463">
      <w:pPr>
        <w:pStyle w:val="BodyText"/>
        <w:spacing w:before="79"/>
        <w:ind w:left="119"/>
      </w:pPr>
      <w:r>
        <w:lastRenderedPageBreak/>
        <w:t>SOCIAL SECURITY NUMBER AND CITIZENSHIP STATUSVERIFICATION</w:t>
      </w:r>
    </w:p>
    <w:p w:rsidR="004E13A5" w:rsidRDefault="00681463">
      <w:pPr>
        <w:pStyle w:val="BodyText"/>
        <w:spacing w:before="138"/>
        <w:ind w:left="119" w:right="216"/>
      </w:pPr>
      <w:r>
        <w:t>For the EHV program, the PHA is not required to obtain and verify SSN documentation and documentation evidencing eligible noncitizen status before admitting the family to the EHV program. Instead, PHAs may adopt policies to admit EHV applicants who are unable to provide the required SSN or citizenship documentation during the initial eligibility determination. As an alternative requirement, such individuals must provide the required documentation within 180 days of admission to be eligible for continued assistance, pending verification, unless the PHA provides an extension based on evidence from the family or confirmation from the CoC or other partnering agency that the family has made a good-faith effort to obtain the documentation.</w:t>
      </w:r>
    </w:p>
    <w:p w:rsidR="004E13A5" w:rsidRDefault="00681463">
      <w:pPr>
        <w:pStyle w:val="BodyText"/>
        <w:spacing w:before="138" w:line="242" w:lineRule="auto"/>
        <w:ind w:left="119" w:right="543"/>
      </w:pPr>
      <w:r>
        <w:t>If a PHA determines that an ineligible family received assistance, the PHA must take steps to terminate that family from the program.</w:t>
      </w:r>
    </w:p>
    <w:p w:rsidR="004E13A5" w:rsidRDefault="00681463">
      <w:pPr>
        <w:pStyle w:val="BodyText"/>
        <w:spacing w:before="117"/>
        <w:ind w:left="839"/>
      </w:pPr>
      <w:r>
        <w:rPr>
          <w:u w:val="single"/>
        </w:rPr>
        <w:t>PHA Policy</w:t>
      </w:r>
    </w:p>
    <w:p w:rsidR="004E13A5" w:rsidRDefault="00681463">
      <w:pPr>
        <w:pStyle w:val="BodyText"/>
        <w:spacing w:before="138"/>
        <w:ind w:left="839" w:right="223"/>
      </w:pPr>
      <w:r>
        <w:t>The PHA will admit EHV applicants who are unable to provide the required SSN or citizenship documentation during the initial eligibility determination. These individuals must provide the required documentation in accordance with policies in Chapter 7 within 180 days of admission. The PHA may provide an additional 60-day extension based on evidence from the family or confirmation from the CoC or other partnering agency that the family has made a good-faith effort to obtain the documentation.</w:t>
      </w:r>
    </w:p>
    <w:p w:rsidR="004E13A5" w:rsidRDefault="00681463">
      <w:pPr>
        <w:pStyle w:val="BodyText"/>
        <w:spacing w:before="138"/>
        <w:ind w:left="839" w:right="501"/>
        <w:jc w:val="both"/>
      </w:pPr>
      <w:r>
        <w:t>If the PHA determines that an ineligible family received assistance, the PHA will take steps to terminate that family from the program in accordance with policies in Chapter 12.</w:t>
      </w:r>
    </w:p>
    <w:p w:rsidR="004E13A5" w:rsidRDefault="00681463">
      <w:pPr>
        <w:pStyle w:val="Heading4"/>
        <w:numPr>
          <w:ilvl w:val="1"/>
          <w:numId w:val="8"/>
        </w:numPr>
        <w:tabs>
          <w:tab w:val="left" w:pos="814"/>
        </w:tabs>
        <w:spacing w:before="119"/>
        <w:ind w:left="813" w:hanging="593"/>
        <w:jc w:val="left"/>
      </w:pPr>
      <w:r>
        <w:t>AGE AND DISABILITY</w:t>
      </w:r>
      <w:r>
        <w:rPr>
          <w:spacing w:val="-34"/>
        </w:rPr>
        <w:t xml:space="preserve"> </w:t>
      </w:r>
      <w:r>
        <w:t>VERIFICATION</w:t>
      </w:r>
    </w:p>
    <w:p w:rsidR="004E13A5" w:rsidRDefault="00681463">
      <w:pPr>
        <w:pStyle w:val="BodyText"/>
        <w:spacing w:before="139"/>
        <w:ind w:left="220" w:right="569"/>
      </w:pPr>
      <w:r>
        <w:t>PHAs may accept self-certification of date of birth and disability status if a higher level of verification is not immediately available. If self-certification is used, the PHA must obtain a higher level of verification within 90 days of admission or verify the information in EIV.</w:t>
      </w:r>
    </w:p>
    <w:p w:rsidR="004E13A5" w:rsidRDefault="00681463">
      <w:pPr>
        <w:pStyle w:val="BodyText"/>
        <w:spacing w:before="139" w:line="242" w:lineRule="auto"/>
        <w:ind w:left="220" w:right="442"/>
      </w:pPr>
      <w:r>
        <w:t>If a PHA determines that an ineligible family received assistance, the PHA must take steps to terminate that family from the program.</w:t>
      </w:r>
    </w:p>
    <w:p w:rsidR="004E13A5" w:rsidRDefault="00681463">
      <w:pPr>
        <w:pStyle w:val="BodyText"/>
        <w:spacing w:before="136"/>
        <w:ind w:left="839"/>
      </w:pPr>
      <w:r>
        <w:rPr>
          <w:u w:val="single"/>
        </w:rPr>
        <w:t>PHA Policy</w:t>
      </w:r>
    </w:p>
    <w:p w:rsidR="004E13A5" w:rsidRDefault="00681463">
      <w:pPr>
        <w:pStyle w:val="BodyText"/>
        <w:spacing w:before="139"/>
        <w:ind w:left="839" w:right="83"/>
      </w:pPr>
      <w:r>
        <w:t>The PHA will accept self-certification of date of birth and disability status if a higher form of verification is not immediately available. The certification must be made in a format acceptable to the PHA and must be signed by the family member whose information or status is being verified. If self-certification is accepted, within 90 days of admission, the PHA will verify the information in EIV or through other third-party verification if the information is not available in EIV. The PHA will note the family’s file that self- certification was used as initial verification and include an EIV printout or other third- party verification confirming the applicant’s date of birth and/or disability status.</w:t>
      </w:r>
    </w:p>
    <w:p w:rsidR="004E13A5" w:rsidRDefault="00681463">
      <w:pPr>
        <w:pStyle w:val="BodyText"/>
        <w:spacing w:before="139"/>
        <w:ind w:left="839" w:right="497"/>
        <w:jc w:val="both"/>
      </w:pPr>
      <w:r>
        <w:t>If the PHA determines that an ineligible family received assistance, the PHA will take steps to terminate that family from the program in accordance with policies in Chapter 12.</w:t>
      </w:r>
    </w:p>
    <w:p w:rsidR="004E13A5" w:rsidRDefault="004E13A5">
      <w:pPr>
        <w:jc w:val="both"/>
        <w:sectPr w:rsidR="004E13A5">
          <w:footerReference w:type="default" r:id="rId74"/>
          <w:pgSz w:w="12240" w:h="15840"/>
          <w:pgMar w:top="1420" w:right="1380" w:bottom="280" w:left="1220" w:header="0" w:footer="0" w:gutter="0"/>
          <w:cols w:space="720"/>
        </w:sectPr>
      </w:pPr>
    </w:p>
    <w:p w:rsidR="004E13A5" w:rsidRDefault="00681463">
      <w:pPr>
        <w:pStyle w:val="Heading4"/>
        <w:numPr>
          <w:ilvl w:val="1"/>
          <w:numId w:val="8"/>
        </w:numPr>
        <w:tabs>
          <w:tab w:val="left" w:pos="841"/>
        </w:tabs>
        <w:spacing w:before="78"/>
        <w:ind w:left="840" w:hanging="722"/>
        <w:jc w:val="left"/>
      </w:pPr>
      <w:r>
        <w:lastRenderedPageBreak/>
        <w:t>INCOME</w:t>
      </w:r>
      <w:r>
        <w:rPr>
          <w:spacing w:val="-10"/>
        </w:rPr>
        <w:t xml:space="preserve"> </w:t>
      </w:r>
      <w:r>
        <w:t>TARGETING</w:t>
      </w:r>
    </w:p>
    <w:p w:rsidR="004E13A5" w:rsidRDefault="00681463">
      <w:pPr>
        <w:pStyle w:val="BodyText"/>
        <w:spacing w:before="139"/>
        <w:ind w:left="120"/>
      </w:pPr>
      <w:r>
        <w:t>The PHA must determine income eligibility for EHV families in accordance with 24 CFR</w:t>
      </w:r>
    </w:p>
    <w:p w:rsidR="004E13A5" w:rsidRDefault="00681463">
      <w:pPr>
        <w:pStyle w:val="BodyText"/>
        <w:spacing w:before="123"/>
        <w:ind w:left="120" w:right="28"/>
      </w:pPr>
      <w:r>
        <w:t>982.201 and PHA policy in Chapter 3; however, income targeting requirements do not apply for EHV families. The PHA may still choose to include the admission of extremely low-income EHV families in its income targeting numbers for the fiscal year in which these miles are admitted.</w:t>
      </w:r>
    </w:p>
    <w:p w:rsidR="004E13A5" w:rsidRDefault="00681463">
      <w:pPr>
        <w:pStyle w:val="BodyText"/>
        <w:spacing w:before="180"/>
        <w:ind w:left="840"/>
      </w:pPr>
      <w:r>
        <w:rPr>
          <w:u w:val="single"/>
        </w:rPr>
        <w:t>PHA Policy</w:t>
      </w:r>
    </w:p>
    <w:p w:rsidR="004E13A5" w:rsidRDefault="00681463">
      <w:pPr>
        <w:pStyle w:val="BodyText"/>
        <w:spacing w:before="196"/>
        <w:ind w:left="840" w:right="328"/>
      </w:pPr>
      <w:r>
        <w:t>The PHA will not include the admission of extremely low-income EHV families in its income targeting numbers for the fiscal year in which these families are admitted.</w:t>
      </w:r>
    </w:p>
    <w:p w:rsidR="004E13A5" w:rsidRDefault="00681463">
      <w:pPr>
        <w:pStyle w:val="Heading4"/>
        <w:spacing w:before="193"/>
        <w:ind w:left="2386"/>
      </w:pPr>
      <w:bookmarkStart w:id="430" w:name="_TOC_250002"/>
      <w:bookmarkEnd w:id="430"/>
      <w:r>
        <w:t>PART V: HOUSING SEARCH AND LEASING</w:t>
      </w:r>
    </w:p>
    <w:p w:rsidR="004E13A5" w:rsidRDefault="004E13A5">
      <w:pPr>
        <w:pStyle w:val="BodyText"/>
        <w:spacing w:before="3"/>
        <w:ind w:left="0"/>
        <w:rPr>
          <w:b/>
          <w:sz w:val="31"/>
        </w:rPr>
      </w:pPr>
    </w:p>
    <w:p w:rsidR="004E13A5" w:rsidRDefault="00681463">
      <w:pPr>
        <w:pStyle w:val="ListParagraph"/>
        <w:numPr>
          <w:ilvl w:val="1"/>
          <w:numId w:val="6"/>
        </w:numPr>
        <w:tabs>
          <w:tab w:val="left" w:pos="769"/>
        </w:tabs>
        <w:spacing w:before="0"/>
        <w:ind w:firstLine="20"/>
        <w:rPr>
          <w:b/>
          <w:sz w:val="24"/>
        </w:rPr>
      </w:pPr>
      <w:r>
        <w:rPr>
          <w:b/>
          <w:sz w:val="24"/>
        </w:rPr>
        <w:t>INITIAL VOUCHER</w:t>
      </w:r>
      <w:r>
        <w:rPr>
          <w:b/>
          <w:spacing w:val="-18"/>
          <w:sz w:val="24"/>
        </w:rPr>
        <w:t xml:space="preserve"> </w:t>
      </w:r>
      <w:r>
        <w:rPr>
          <w:b/>
          <w:sz w:val="24"/>
        </w:rPr>
        <w:t>TERM</w:t>
      </w:r>
    </w:p>
    <w:p w:rsidR="004E13A5" w:rsidRDefault="00681463">
      <w:pPr>
        <w:pStyle w:val="BodyText"/>
        <w:spacing w:before="138"/>
        <w:ind w:left="120" w:right="88"/>
      </w:pPr>
      <w:r>
        <w:t>Unlike the standard HCV program, which requires an initial voucher term of at least 60 days, EHV vouchers must have an initial search term of at least 120 days. PHA policies on extensions as outlined in Section 5-II.E. will apply.</w:t>
      </w:r>
    </w:p>
    <w:p w:rsidR="004E13A5" w:rsidRDefault="00681463">
      <w:pPr>
        <w:pStyle w:val="BodyText"/>
        <w:spacing w:before="150"/>
        <w:ind w:left="840"/>
      </w:pPr>
      <w:r>
        <w:rPr>
          <w:u w:val="single"/>
        </w:rPr>
        <w:t>PHA Policy</w:t>
      </w:r>
    </w:p>
    <w:p w:rsidR="004E13A5" w:rsidRDefault="00681463">
      <w:pPr>
        <w:pStyle w:val="BodyText"/>
        <w:spacing w:before="138"/>
        <w:ind w:left="840"/>
      </w:pPr>
      <w:r>
        <w:t>All EHVs will have an initial term of 120 calendar days.</w:t>
      </w:r>
    </w:p>
    <w:p w:rsidR="004E13A5" w:rsidRDefault="00681463">
      <w:pPr>
        <w:pStyle w:val="BodyText"/>
        <w:spacing w:before="138"/>
        <w:ind w:left="840" w:right="215"/>
      </w:pPr>
      <w:r>
        <w:t>The family must submit a Request for Tenancy Approval and proposed lease within the 120-day period unless the PHA grants an extension.</w:t>
      </w:r>
    </w:p>
    <w:p w:rsidR="004E13A5" w:rsidRDefault="00681463">
      <w:pPr>
        <w:pStyle w:val="Heading4"/>
        <w:numPr>
          <w:ilvl w:val="1"/>
          <w:numId w:val="6"/>
        </w:numPr>
        <w:tabs>
          <w:tab w:val="left" w:pos="661"/>
        </w:tabs>
        <w:spacing w:before="191"/>
        <w:ind w:left="660" w:hanging="514"/>
      </w:pPr>
      <w:r>
        <w:t>HOUSING SEARCH</w:t>
      </w:r>
      <w:r>
        <w:rPr>
          <w:spacing w:val="-22"/>
        </w:rPr>
        <w:t xml:space="preserve"> </w:t>
      </w:r>
      <w:r>
        <w:t>ASSISTANCE</w:t>
      </w:r>
    </w:p>
    <w:p w:rsidR="004E13A5" w:rsidRDefault="00681463">
      <w:pPr>
        <w:pStyle w:val="BodyText"/>
        <w:spacing w:before="138" w:line="242" w:lineRule="auto"/>
        <w:ind w:left="120"/>
      </w:pPr>
      <w:r>
        <w:t>The PHA must ensure housing search assistance is made available to EHV families during their initial housing search. The housing search assistance may be provided directly by the PHA or through the CoC or another partnering agency or entity.</w:t>
      </w:r>
    </w:p>
    <w:p w:rsidR="004E13A5" w:rsidRDefault="00681463">
      <w:pPr>
        <w:pStyle w:val="BodyText"/>
        <w:spacing w:before="136"/>
        <w:ind w:left="120"/>
      </w:pPr>
      <w:r>
        <w:t>At a minimum, housing search assistance must:</w:t>
      </w:r>
    </w:p>
    <w:p w:rsidR="004E13A5" w:rsidRDefault="004E13A5">
      <w:pPr>
        <w:pStyle w:val="BodyText"/>
        <w:spacing w:before="0"/>
        <w:ind w:left="0"/>
        <w:rPr>
          <w:sz w:val="26"/>
        </w:rPr>
      </w:pPr>
    </w:p>
    <w:p w:rsidR="004E13A5" w:rsidRDefault="00681463">
      <w:pPr>
        <w:pStyle w:val="ListParagraph"/>
        <w:numPr>
          <w:ilvl w:val="0"/>
          <w:numId w:val="93"/>
        </w:numPr>
        <w:tabs>
          <w:tab w:val="left" w:pos="480"/>
          <w:tab w:val="left" w:pos="481"/>
        </w:tabs>
        <w:spacing w:before="192"/>
        <w:ind w:left="480" w:right="314"/>
        <w:rPr>
          <w:rFonts w:ascii="Symbol"/>
          <w:sz w:val="24"/>
        </w:rPr>
      </w:pPr>
      <w:r>
        <w:rPr>
          <w:rFonts w:ascii="Calibri"/>
          <w:sz w:val="24"/>
        </w:rPr>
        <w:t>Help individual families identify potentially available units during their housing search, including</w:t>
      </w:r>
      <w:r>
        <w:rPr>
          <w:rFonts w:ascii="Calibri"/>
          <w:spacing w:val="-3"/>
          <w:sz w:val="24"/>
        </w:rPr>
        <w:t xml:space="preserve"> </w:t>
      </w:r>
      <w:r>
        <w:rPr>
          <w:rFonts w:ascii="Calibri"/>
          <w:sz w:val="24"/>
        </w:rPr>
        <w:t>physically</w:t>
      </w:r>
      <w:r>
        <w:rPr>
          <w:rFonts w:ascii="Calibri"/>
          <w:spacing w:val="-3"/>
          <w:sz w:val="24"/>
        </w:rPr>
        <w:t xml:space="preserve"> </w:t>
      </w:r>
      <w:r>
        <w:rPr>
          <w:rFonts w:ascii="Calibri"/>
          <w:sz w:val="24"/>
        </w:rPr>
        <w:t>accessible</w:t>
      </w:r>
      <w:r>
        <w:rPr>
          <w:rFonts w:ascii="Calibri"/>
          <w:spacing w:val="-2"/>
          <w:sz w:val="24"/>
        </w:rPr>
        <w:t xml:space="preserve"> </w:t>
      </w:r>
      <w:r>
        <w:rPr>
          <w:rFonts w:ascii="Calibri"/>
          <w:sz w:val="24"/>
        </w:rPr>
        <w:t>units</w:t>
      </w:r>
      <w:r>
        <w:rPr>
          <w:rFonts w:ascii="Calibri"/>
          <w:spacing w:val="-5"/>
          <w:sz w:val="24"/>
        </w:rPr>
        <w:t xml:space="preserve"> </w:t>
      </w:r>
      <w:r>
        <w:rPr>
          <w:rFonts w:ascii="Calibri"/>
          <w:sz w:val="24"/>
        </w:rPr>
        <w:t>with</w:t>
      </w:r>
      <w:r>
        <w:rPr>
          <w:rFonts w:ascii="Calibri"/>
          <w:spacing w:val="-4"/>
          <w:sz w:val="24"/>
        </w:rPr>
        <w:t xml:space="preserve"> </w:t>
      </w:r>
      <w:r>
        <w:rPr>
          <w:rFonts w:ascii="Calibri"/>
          <w:sz w:val="24"/>
        </w:rPr>
        <w:t>features</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family</w:t>
      </w:r>
      <w:r>
        <w:rPr>
          <w:rFonts w:ascii="Calibri"/>
          <w:spacing w:val="-5"/>
          <w:sz w:val="24"/>
        </w:rPr>
        <w:t xml:space="preserve"> </w:t>
      </w:r>
      <w:r>
        <w:rPr>
          <w:rFonts w:ascii="Calibri"/>
          <w:sz w:val="24"/>
        </w:rPr>
        <w:t>members</w:t>
      </w:r>
      <w:r>
        <w:rPr>
          <w:rFonts w:ascii="Calibri"/>
          <w:spacing w:val="-3"/>
          <w:sz w:val="24"/>
        </w:rPr>
        <w:t xml:space="preserve"> </w:t>
      </w:r>
      <w:r>
        <w:rPr>
          <w:rFonts w:ascii="Calibri"/>
          <w:sz w:val="24"/>
        </w:rPr>
        <w:t>with</w:t>
      </w:r>
      <w:r>
        <w:rPr>
          <w:rFonts w:ascii="Calibri"/>
          <w:spacing w:val="-2"/>
          <w:sz w:val="24"/>
        </w:rPr>
        <w:t xml:space="preserve"> </w:t>
      </w:r>
      <w:r>
        <w:rPr>
          <w:rFonts w:ascii="Calibri"/>
          <w:sz w:val="24"/>
        </w:rPr>
        <w:t>disabilities,</w:t>
      </w:r>
      <w:r>
        <w:rPr>
          <w:rFonts w:ascii="Calibri"/>
          <w:spacing w:val="-13"/>
          <w:sz w:val="24"/>
        </w:rPr>
        <w:t xml:space="preserve"> </w:t>
      </w:r>
      <w:r>
        <w:rPr>
          <w:rFonts w:ascii="Calibri"/>
          <w:sz w:val="24"/>
        </w:rPr>
        <w:t>as well as units in low-poverty</w:t>
      </w:r>
      <w:r>
        <w:rPr>
          <w:rFonts w:ascii="Calibri"/>
          <w:spacing w:val="-27"/>
          <w:sz w:val="24"/>
        </w:rPr>
        <w:t xml:space="preserve"> </w:t>
      </w:r>
      <w:r>
        <w:rPr>
          <w:rFonts w:ascii="Calibri"/>
          <w:sz w:val="24"/>
        </w:rPr>
        <w:t>neighborhoods;</w:t>
      </w:r>
    </w:p>
    <w:p w:rsidR="004E13A5" w:rsidRDefault="00681463">
      <w:pPr>
        <w:pStyle w:val="ListParagraph"/>
        <w:numPr>
          <w:ilvl w:val="0"/>
          <w:numId w:val="93"/>
        </w:numPr>
        <w:tabs>
          <w:tab w:val="left" w:pos="480"/>
          <w:tab w:val="left" w:pos="481"/>
        </w:tabs>
        <w:spacing w:before="118"/>
        <w:ind w:left="480"/>
        <w:rPr>
          <w:rFonts w:ascii="Symbol"/>
          <w:sz w:val="24"/>
        </w:rPr>
      </w:pPr>
      <w:r>
        <w:rPr>
          <w:rFonts w:ascii="Calibri"/>
          <w:sz w:val="24"/>
        </w:rPr>
        <w:t>Provide</w:t>
      </w:r>
      <w:r>
        <w:rPr>
          <w:rFonts w:ascii="Calibri"/>
          <w:spacing w:val="-6"/>
          <w:sz w:val="24"/>
        </w:rPr>
        <w:t xml:space="preserve"> </w:t>
      </w:r>
      <w:r>
        <w:rPr>
          <w:rFonts w:ascii="Calibri"/>
          <w:sz w:val="24"/>
        </w:rPr>
        <w:t>transportation</w:t>
      </w:r>
      <w:r>
        <w:rPr>
          <w:rFonts w:ascii="Calibri"/>
          <w:spacing w:val="-5"/>
          <w:sz w:val="24"/>
        </w:rPr>
        <w:t xml:space="preserve"> </w:t>
      </w:r>
      <w:r>
        <w:rPr>
          <w:rFonts w:ascii="Calibri"/>
          <w:sz w:val="24"/>
        </w:rPr>
        <w:t>assistance</w:t>
      </w:r>
      <w:r>
        <w:rPr>
          <w:rFonts w:ascii="Calibri"/>
          <w:spacing w:val="-4"/>
          <w:sz w:val="24"/>
        </w:rPr>
        <w:t xml:space="preserve"> </w:t>
      </w:r>
      <w:r>
        <w:rPr>
          <w:rFonts w:ascii="Calibri"/>
          <w:sz w:val="24"/>
        </w:rPr>
        <w:t>and</w:t>
      </w:r>
      <w:r>
        <w:rPr>
          <w:rFonts w:ascii="Calibri"/>
          <w:spacing w:val="-5"/>
          <w:sz w:val="24"/>
        </w:rPr>
        <w:t xml:space="preserve"> </w:t>
      </w:r>
      <w:r>
        <w:rPr>
          <w:rFonts w:ascii="Calibri"/>
          <w:sz w:val="24"/>
        </w:rPr>
        <w:t>directions</w:t>
      </w:r>
      <w:r>
        <w:rPr>
          <w:rFonts w:ascii="Calibri"/>
          <w:spacing w:val="-9"/>
          <w:sz w:val="24"/>
        </w:rPr>
        <w:t xml:space="preserve"> </w:t>
      </w:r>
      <w:r>
        <w:rPr>
          <w:rFonts w:ascii="Calibri"/>
          <w:sz w:val="24"/>
        </w:rPr>
        <w:t>to</w:t>
      </w:r>
      <w:r>
        <w:rPr>
          <w:rFonts w:ascii="Calibri"/>
          <w:spacing w:val="-5"/>
          <w:sz w:val="24"/>
        </w:rPr>
        <w:t xml:space="preserve"> </w:t>
      </w:r>
      <w:r>
        <w:rPr>
          <w:rFonts w:ascii="Calibri"/>
          <w:sz w:val="24"/>
        </w:rPr>
        <w:t>potential</w:t>
      </w:r>
      <w:r>
        <w:rPr>
          <w:rFonts w:ascii="Calibri"/>
          <w:spacing w:val="-12"/>
          <w:sz w:val="24"/>
        </w:rPr>
        <w:t xml:space="preserve"> </w:t>
      </w:r>
      <w:r>
        <w:rPr>
          <w:rFonts w:ascii="Calibri"/>
          <w:sz w:val="24"/>
        </w:rPr>
        <w:t>units;</w:t>
      </w:r>
    </w:p>
    <w:p w:rsidR="004E13A5" w:rsidRDefault="00681463">
      <w:pPr>
        <w:pStyle w:val="ListParagraph"/>
        <w:numPr>
          <w:ilvl w:val="0"/>
          <w:numId w:val="93"/>
        </w:numPr>
        <w:tabs>
          <w:tab w:val="left" w:pos="480"/>
          <w:tab w:val="left" w:pos="481"/>
        </w:tabs>
        <w:spacing w:before="116"/>
        <w:ind w:left="480"/>
        <w:rPr>
          <w:rFonts w:ascii="Symbol"/>
          <w:sz w:val="24"/>
        </w:rPr>
      </w:pPr>
      <w:r>
        <w:rPr>
          <w:rFonts w:ascii="Calibri"/>
          <w:sz w:val="24"/>
        </w:rPr>
        <w:t>Conduct owner</w:t>
      </w:r>
      <w:r>
        <w:rPr>
          <w:rFonts w:ascii="Calibri"/>
          <w:spacing w:val="-17"/>
          <w:sz w:val="24"/>
        </w:rPr>
        <w:t xml:space="preserve"> </w:t>
      </w:r>
      <w:r>
        <w:rPr>
          <w:rFonts w:ascii="Calibri"/>
          <w:sz w:val="24"/>
        </w:rPr>
        <w:t>outreach;</w:t>
      </w:r>
    </w:p>
    <w:p w:rsidR="004E13A5" w:rsidRDefault="00681463">
      <w:pPr>
        <w:pStyle w:val="ListParagraph"/>
        <w:numPr>
          <w:ilvl w:val="0"/>
          <w:numId w:val="93"/>
        </w:numPr>
        <w:tabs>
          <w:tab w:val="left" w:pos="480"/>
          <w:tab w:val="left" w:pos="481"/>
        </w:tabs>
        <w:ind w:left="480"/>
        <w:rPr>
          <w:rFonts w:ascii="Symbol"/>
          <w:sz w:val="24"/>
        </w:rPr>
      </w:pPr>
      <w:r>
        <w:rPr>
          <w:rFonts w:ascii="Calibri"/>
          <w:sz w:val="24"/>
        </w:rPr>
        <w:t>Assist</w:t>
      </w:r>
      <w:r>
        <w:rPr>
          <w:rFonts w:ascii="Calibri"/>
          <w:spacing w:val="-4"/>
          <w:sz w:val="24"/>
        </w:rPr>
        <w:t xml:space="preserve"> </w:t>
      </w:r>
      <w:r>
        <w:rPr>
          <w:rFonts w:ascii="Calibri"/>
          <w:sz w:val="24"/>
        </w:rPr>
        <w:t>with</w:t>
      </w:r>
      <w:r>
        <w:rPr>
          <w:rFonts w:ascii="Calibri"/>
          <w:spacing w:val="-5"/>
          <w:sz w:val="24"/>
        </w:rPr>
        <w:t xml:space="preserve"> </w:t>
      </w:r>
      <w:r>
        <w:rPr>
          <w:rFonts w:ascii="Calibri"/>
          <w:sz w:val="24"/>
        </w:rPr>
        <w:t>the</w:t>
      </w:r>
      <w:r>
        <w:rPr>
          <w:rFonts w:ascii="Calibri"/>
          <w:spacing w:val="-3"/>
          <w:sz w:val="24"/>
        </w:rPr>
        <w:t xml:space="preserve"> </w:t>
      </w:r>
      <w:r>
        <w:rPr>
          <w:rFonts w:ascii="Calibri"/>
          <w:sz w:val="24"/>
        </w:rPr>
        <w:t>completion</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rental</w:t>
      </w:r>
      <w:r>
        <w:rPr>
          <w:rFonts w:ascii="Calibri"/>
          <w:spacing w:val="-3"/>
          <w:sz w:val="24"/>
        </w:rPr>
        <w:t xml:space="preserve"> </w:t>
      </w:r>
      <w:r>
        <w:rPr>
          <w:rFonts w:ascii="Calibri"/>
          <w:sz w:val="24"/>
        </w:rPr>
        <w:t>applications</w:t>
      </w:r>
      <w:r>
        <w:rPr>
          <w:rFonts w:ascii="Calibri"/>
          <w:spacing w:val="-8"/>
          <w:sz w:val="24"/>
        </w:rPr>
        <w:t xml:space="preserve"> </w:t>
      </w:r>
      <w:r>
        <w:rPr>
          <w:rFonts w:ascii="Calibri"/>
          <w:sz w:val="24"/>
        </w:rPr>
        <w:t>and</w:t>
      </w:r>
      <w:r>
        <w:rPr>
          <w:rFonts w:ascii="Calibri"/>
          <w:spacing w:val="-5"/>
          <w:sz w:val="24"/>
        </w:rPr>
        <w:t xml:space="preserve"> </w:t>
      </w:r>
      <w:r>
        <w:rPr>
          <w:rFonts w:ascii="Calibri"/>
          <w:sz w:val="24"/>
        </w:rPr>
        <w:t>PHA</w:t>
      </w:r>
      <w:r>
        <w:rPr>
          <w:rFonts w:ascii="Calibri"/>
          <w:spacing w:val="-4"/>
          <w:sz w:val="24"/>
        </w:rPr>
        <w:t xml:space="preserve"> </w:t>
      </w:r>
      <w:r>
        <w:rPr>
          <w:rFonts w:ascii="Calibri"/>
          <w:sz w:val="24"/>
        </w:rPr>
        <w:t>forms;</w:t>
      </w:r>
      <w:r>
        <w:rPr>
          <w:rFonts w:ascii="Calibri"/>
          <w:spacing w:val="-15"/>
          <w:sz w:val="24"/>
        </w:rPr>
        <w:t xml:space="preserve"> </w:t>
      </w:r>
      <w:r>
        <w:rPr>
          <w:rFonts w:ascii="Calibri"/>
          <w:sz w:val="24"/>
        </w:rPr>
        <w:t>and</w:t>
      </w:r>
    </w:p>
    <w:p w:rsidR="004E13A5" w:rsidRDefault="00681463">
      <w:pPr>
        <w:pStyle w:val="ListParagraph"/>
        <w:numPr>
          <w:ilvl w:val="0"/>
          <w:numId w:val="93"/>
        </w:numPr>
        <w:tabs>
          <w:tab w:val="left" w:pos="480"/>
          <w:tab w:val="left" w:pos="481"/>
        </w:tabs>
        <w:spacing w:before="118"/>
        <w:ind w:left="480"/>
        <w:rPr>
          <w:rFonts w:ascii="Symbol"/>
          <w:sz w:val="24"/>
        </w:rPr>
      </w:pPr>
      <w:r>
        <w:rPr>
          <w:rFonts w:ascii="Calibri"/>
          <w:sz w:val="24"/>
        </w:rPr>
        <w:t>Help expedite the EHV leasing process for the</w:t>
      </w:r>
      <w:r>
        <w:rPr>
          <w:rFonts w:ascii="Calibri"/>
          <w:spacing w:val="-21"/>
          <w:sz w:val="24"/>
        </w:rPr>
        <w:t xml:space="preserve"> </w:t>
      </w:r>
      <w:r>
        <w:rPr>
          <w:rFonts w:ascii="Calibri"/>
          <w:sz w:val="24"/>
        </w:rPr>
        <w:t>family</w:t>
      </w:r>
    </w:p>
    <w:p w:rsidR="004E13A5" w:rsidRDefault="004E13A5">
      <w:pPr>
        <w:pStyle w:val="BodyText"/>
        <w:spacing w:before="1"/>
        <w:ind w:left="0"/>
        <w:rPr>
          <w:rFonts w:ascii="Calibri"/>
        </w:rPr>
      </w:pPr>
    </w:p>
    <w:p w:rsidR="004E13A5" w:rsidRDefault="00681463">
      <w:pPr>
        <w:pStyle w:val="BodyText"/>
        <w:spacing w:before="0"/>
        <w:ind w:left="840"/>
      </w:pPr>
      <w:r>
        <w:rPr>
          <w:u w:val="single"/>
        </w:rPr>
        <w:t>PHA Policy</w:t>
      </w:r>
    </w:p>
    <w:p w:rsidR="004E13A5" w:rsidRDefault="00681463">
      <w:pPr>
        <w:pStyle w:val="BodyText"/>
        <w:spacing w:before="187"/>
        <w:ind w:left="840"/>
      </w:pPr>
      <w:r>
        <w:t>As identified in the MOU between the PHA and CoC, the following housing search assistance will be provided to each EHV family:</w:t>
      </w:r>
    </w:p>
    <w:p w:rsidR="004E13A5" w:rsidRDefault="004E13A5">
      <w:pPr>
        <w:sectPr w:rsidR="004E13A5">
          <w:footerReference w:type="default" r:id="rId75"/>
          <w:pgSz w:w="12240" w:h="15840"/>
          <w:pgMar w:top="900" w:right="1580" w:bottom="280" w:left="1200" w:header="0" w:footer="0" w:gutter="0"/>
          <w:cols w:space="720"/>
        </w:sectPr>
      </w:pPr>
    </w:p>
    <w:p w:rsidR="004E13A5" w:rsidRDefault="00681463">
      <w:pPr>
        <w:pStyle w:val="BodyText"/>
        <w:spacing w:before="79"/>
        <w:ind w:left="1578"/>
      </w:pPr>
      <w:r>
        <w:lastRenderedPageBreak/>
        <w:t>The PHA will:</w:t>
      </w:r>
    </w:p>
    <w:p w:rsidR="004E13A5" w:rsidRDefault="00681463">
      <w:pPr>
        <w:pStyle w:val="BodyText"/>
        <w:spacing w:line="343" w:lineRule="auto"/>
        <w:ind w:left="2375" w:right="262"/>
      </w:pPr>
      <w:r>
        <w:t>Conduct owner outreach in accordance with policies in Chapter 13 Provide directions to potential units as part of the EHV briefing packet</w:t>
      </w:r>
    </w:p>
    <w:p w:rsidR="004E13A5" w:rsidRDefault="00681463">
      <w:pPr>
        <w:pStyle w:val="BodyText"/>
        <w:spacing w:before="125"/>
        <w:ind w:left="2375"/>
      </w:pPr>
      <w:r>
        <w:t>Expedite the EHV leasing process for the family to the extent practicable and in accordance with policies in this chapter</w:t>
      </w:r>
    </w:p>
    <w:p w:rsidR="004E13A5" w:rsidRDefault="00681463">
      <w:pPr>
        <w:pStyle w:val="BodyText"/>
        <w:spacing w:before="139"/>
        <w:ind w:left="2375" w:right="93"/>
      </w:pPr>
      <w:r>
        <w:t>At least every 30 days, conduct proactive check-ins via email and telephone with families who are searching with an EHV and remind them of their voucher expiration date</w:t>
      </w:r>
    </w:p>
    <w:p w:rsidR="004E13A5" w:rsidRDefault="00681463">
      <w:pPr>
        <w:pStyle w:val="BodyText"/>
        <w:spacing w:before="141" w:line="412" w:lineRule="auto"/>
        <w:ind w:left="1593" w:right="1054" w:firstLine="780"/>
      </w:pPr>
      <w:r>
        <w:t>Assign a dedicated landlord liaison for EHV voucher families The CoC will:</w:t>
      </w:r>
    </w:p>
    <w:p w:rsidR="004E13A5" w:rsidRDefault="00681463">
      <w:pPr>
        <w:pStyle w:val="BodyText"/>
        <w:spacing w:before="103"/>
        <w:ind w:left="2375"/>
      </w:pPr>
      <w:r>
        <w:t>Help families identify potentially available units during their housing</w:t>
      </w:r>
    </w:p>
    <w:p w:rsidR="004E13A5" w:rsidRDefault="00681463">
      <w:pPr>
        <w:pStyle w:val="BodyText"/>
        <w:spacing w:before="117"/>
        <w:ind w:left="2375" w:right="152"/>
      </w:pPr>
      <w:r>
        <w:t>search, including physically accessible units with features for family members with disabilities, as well as units in low-poverty neighborhoods</w:t>
      </w:r>
    </w:p>
    <w:p w:rsidR="004E13A5" w:rsidRDefault="00681463">
      <w:pPr>
        <w:pStyle w:val="BodyText"/>
        <w:spacing w:before="139"/>
        <w:ind w:left="2375"/>
      </w:pPr>
      <w:r>
        <w:t>Provide transportation assistance to potential units</w:t>
      </w:r>
    </w:p>
    <w:p w:rsidR="004E13A5" w:rsidRDefault="00681463">
      <w:pPr>
        <w:pStyle w:val="BodyText"/>
        <w:spacing w:before="139"/>
        <w:ind w:left="2375" w:right="1066"/>
      </w:pPr>
      <w:r>
        <w:t>Assist the family with the completion of rental applications and PHA forms</w:t>
      </w:r>
    </w:p>
    <w:p w:rsidR="004E13A5" w:rsidRDefault="002C4221">
      <w:pPr>
        <w:pStyle w:val="Heading4"/>
        <w:numPr>
          <w:ilvl w:val="1"/>
          <w:numId w:val="6"/>
        </w:numPr>
        <w:tabs>
          <w:tab w:val="left" w:pos="820"/>
          <w:tab w:val="left" w:pos="821"/>
        </w:tabs>
        <w:spacing w:before="177"/>
        <w:ind w:left="820" w:hanging="720"/>
      </w:pPr>
      <w:r>
        <w:t>NSPIRE</w:t>
      </w:r>
      <w:r w:rsidR="00681463">
        <w:rPr>
          <w:spacing w:val="-6"/>
        </w:rPr>
        <w:t xml:space="preserve"> </w:t>
      </w:r>
      <w:r w:rsidR="00681463">
        <w:t>PRE-INSPECTIONS</w:t>
      </w:r>
    </w:p>
    <w:p w:rsidR="004E13A5" w:rsidRDefault="00681463">
      <w:pPr>
        <w:pStyle w:val="BodyText"/>
        <w:spacing w:before="139"/>
      </w:pPr>
      <w:r>
        <w:t>To expedite the leasing process, PHAs may pre-inspect available units that EHV families may be interested in leasing in order to maintain a pool of eligible units.</w:t>
      </w:r>
    </w:p>
    <w:p w:rsidR="004E13A5" w:rsidRDefault="00681463">
      <w:pPr>
        <w:pStyle w:val="BodyText"/>
        <w:spacing w:before="134"/>
        <w:ind w:left="820"/>
      </w:pPr>
      <w:r>
        <w:rPr>
          <w:u w:val="single"/>
        </w:rPr>
        <w:t>PHA Policy</w:t>
      </w:r>
    </w:p>
    <w:p w:rsidR="004E13A5" w:rsidRDefault="00681463">
      <w:pPr>
        <w:pStyle w:val="BodyText"/>
        <w:ind w:left="820" w:right="342"/>
      </w:pPr>
      <w:r>
        <w:t xml:space="preserve">To expedite the leasing process, the PHA may pre-inspect available units that EHV families may be interested in leasing to maintain a pool of eligible units. If an EHV family selects a unit that passed a </w:t>
      </w:r>
      <w:r w:rsidR="002C4221">
        <w:t>NSPIRE</w:t>
      </w:r>
      <w:r>
        <w:t xml:space="preserve"> pre-inspection (without intervening occupancy) within 45 days of the date of the Request for Tenancy Approval, the unit may be approved provided that it meets all other conditions under 24 CFR 982.305.</w:t>
      </w:r>
    </w:p>
    <w:p w:rsidR="004E13A5" w:rsidRDefault="00681463">
      <w:pPr>
        <w:pStyle w:val="BodyText"/>
        <w:spacing w:before="138"/>
        <w:ind w:left="820"/>
      </w:pPr>
      <w:r>
        <w:t>The family will be free to select their unit.</w:t>
      </w:r>
    </w:p>
    <w:p w:rsidR="004E13A5" w:rsidRDefault="00681463">
      <w:pPr>
        <w:pStyle w:val="BodyText"/>
        <w:spacing w:before="138"/>
        <w:ind w:left="820" w:right="409"/>
      </w:pPr>
      <w:r>
        <w:t>When a pre-inspected unit is not selected, the PHA will make every effort to fast-track the inspection process, including adjusting the normal inspection schedule for any required reinspections.</w:t>
      </w:r>
    </w:p>
    <w:p w:rsidR="004E13A5" w:rsidRDefault="00681463">
      <w:pPr>
        <w:pStyle w:val="Heading4"/>
        <w:numPr>
          <w:ilvl w:val="1"/>
          <w:numId w:val="6"/>
        </w:numPr>
        <w:tabs>
          <w:tab w:val="left" w:pos="820"/>
          <w:tab w:val="left" w:pos="821"/>
        </w:tabs>
        <w:spacing w:before="120"/>
        <w:ind w:left="820" w:hanging="720"/>
      </w:pPr>
      <w:r>
        <w:t>INITIAL LEASE</w:t>
      </w:r>
      <w:r>
        <w:rPr>
          <w:spacing w:val="-5"/>
        </w:rPr>
        <w:t xml:space="preserve"> </w:t>
      </w:r>
      <w:r>
        <w:t>TERM</w:t>
      </w:r>
    </w:p>
    <w:p w:rsidR="004E13A5" w:rsidRDefault="00681463">
      <w:pPr>
        <w:pStyle w:val="BodyText"/>
        <w:spacing w:before="0"/>
        <w:ind w:right="248"/>
      </w:pPr>
      <w:r>
        <w:t>Unlike in the standard the HCV program, EHV voucher holders may enter into an initial lease that is for less than 12 months, regardless of the PHA policy in Section 9-I.E., Term of Assisted Tenancy.</w:t>
      </w:r>
    </w:p>
    <w:p w:rsidR="004E13A5" w:rsidRDefault="00681463">
      <w:pPr>
        <w:pStyle w:val="Heading4"/>
        <w:numPr>
          <w:ilvl w:val="1"/>
          <w:numId w:val="6"/>
        </w:numPr>
        <w:tabs>
          <w:tab w:val="left" w:pos="820"/>
          <w:tab w:val="left" w:pos="821"/>
        </w:tabs>
        <w:spacing w:before="120"/>
        <w:ind w:left="820" w:hanging="720"/>
      </w:pPr>
      <w:r>
        <w:t>PORTABILITY</w:t>
      </w:r>
    </w:p>
    <w:p w:rsidR="004E13A5" w:rsidRDefault="00681463">
      <w:pPr>
        <w:pStyle w:val="BodyText"/>
        <w:spacing w:before="0"/>
        <w:ind w:right="702"/>
      </w:pPr>
      <w:r>
        <w:t>The normal HCV portability procedures and requirements outlined in Chapter 10 generally apply to EHVs. Exceptions are addressed below.</w:t>
      </w:r>
    </w:p>
    <w:p w:rsidR="004E13A5" w:rsidRDefault="004E13A5">
      <w:pPr>
        <w:sectPr w:rsidR="004E13A5">
          <w:footerReference w:type="default" r:id="rId76"/>
          <w:pgSz w:w="12240" w:h="15840"/>
          <w:pgMar w:top="1420" w:right="1460" w:bottom="280" w:left="1220" w:header="0" w:footer="0" w:gutter="0"/>
          <w:cols w:space="720"/>
        </w:sectPr>
      </w:pPr>
    </w:p>
    <w:p w:rsidR="004E13A5" w:rsidRDefault="00681463">
      <w:pPr>
        <w:pStyle w:val="Heading4"/>
        <w:spacing w:before="79"/>
      </w:pPr>
      <w:bookmarkStart w:id="431" w:name="_TOC_250001"/>
      <w:bookmarkEnd w:id="431"/>
      <w:r>
        <w:lastRenderedPageBreak/>
        <w:t>Nonresident Applicants</w:t>
      </w:r>
    </w:p>
    <w:p w:rsidR="004E13A5" w:rsidRDefault="00681463">
      <w:pPr>
        <w:pStyle w:val="BodyText"/>
        <w:spacing w:before="0"/>
        <w:ind w:right="639"/>
        <w:jc w:val="both"/>
      </w:pPr>
      <w:r>
        <w:t>Under EHV, applicant families may move under portability even if the family did not have legal residency in the jurisdiction of the initial PHA when they applied, regardless of PHA policy in Section 10-II.B.</w:t>
      </w:r>
    </w:p>
    <w:p w:rsidR="004E13A5" w:rsidRDefault="00681463">
      <w:pPr>
        <w:pStyle w:val="Heading4"/>
        <w:spacing w:before="180"/>
      </w:pPr>
      <w:bookmarkStart w:id="432" w:name="_TOC_250000"/>
      <w:bookmarkEnd w:id="432"/>
      <w:r>
        <w:t>Billing and Absorption</w:t>
      </w:r>
    </w:p>
    <w:p w:rsidR="004E13A5" w:rsidRDefault="00681463">
      <w:pPr>
        <w:pStyle w:val="BodyText"/>
        <w:spacing w:before="138"/>
        <w:ind w:right="629"/>
      </w:pPr>
      <w:r>
        <w:t>A receiving PHA cannot refuse to assist an incoming EHV family, regardless of whether the PHA administers EHVs under its own ACC.</w:t>
      </w:r>
    </w:p>
    <w:p w:rsidR="004E13A5" w:rsidRDefault="00681463">
      <w:pPr>
        <w:pStyle w:val="ListParagraph"/>
        <w:numPr>
          <w:ilvl w:val="0"/>
          <w:numId w:val="93"/>
        </w:numPr>
        <w:tabs>
          <w:tab w:val="left" w:pos="460"/>
          <w:tab w:val="left" w:pos="461"/>
        </w:tabs>
        <w:spacing w:before="227"/>
        <w:ind w:right="364"/>
        <w:rPr>
          <w:rFonts w:ascii="Symbol"/>
          <w:sz w:val="24"/>
        </w:rPr>
      </w:pPr>
      <w:r>
        <w:rPr>
          <w:sz w:val="24"/>
        </w:rPr>
        <w:t>If the EHV family moves under portability to another PHA that administers EHVs under</w:t>
      </w:r>
      <w:r>
        <w:rPr>
          <w:spacing w:val="-19"/>
          <w:sz w:val="24"/>
        </w:rPr>
        <w:t xml:space="preserve"> </w:t>
      </w:r>
      <w:r>
        <w:rPr>
          <w:sz w:val="24"/>
        </w:rPr>
        <w:t>its own</w:t>
      </w:r>
      <w:r>
        <w:rPr>
          <w:spacing w:val="-9"/>
          <w:sz w:val="24"/>
        </w:rPr>
        <w:t xml:space="preserve"> </w:t>
      </w:r>
      <w:r>
        <w:rPr>
          <w:sz w:val="24"/>
        </w:rPr>
        <w:t>ACC:</w:t>
      </w:r>
    </w:p>
    <w:p w:rsidR="004E13A5" w:rsidRDefault="00681463">
      <w:pPr>
        <w:pStyle w:val="ListParagraph"/>
        <w:numPr>
          <w:ilvl w:val="0"/>
          <w:numId w:val="5"/>
        </w:numPr>
        <w:tabs>
          <w:tab w:val="left" w:pos="935"/>
          <w:tab w:val="left" w:pos="936"/>
        </w:tabs>
        <w:spacing w:before="120"/>
        <w:ind w:right="228"/>
        <w:rPr>
          <w:sz w:val="24"/>
        </w:rPr>
      </w:pPr>
      <w:r>
        <w:rPr>
          <w:sz w:val="24"/>
        </w:rPr>
        <w:t>The receiving PHA may only absorb the incoming EHV family with an EHV</w:t>
      </w:r>
      <w:r>
        <w:rPr>
          <w:spacing w:val="-16"/>
          <w:sz w:val="24"/>
        </w:rPr>
        <w:t xml:space="preserve"> </w:t>
      </w:r>
      <w:r>
        <w:rPr>
          <w:sz w:val="24"/>
        </w:rPr>
        <w:t>(assuming it has an EHV voucher available to do</w:t>
      </w:r>
      <w:r>
        <w:rPr>
          <w:spacing w:val="-13"/>
          <w:sz w:val="24"/>
        </w:rPr>
        <w:t xml:space="preserve"> </w:t>
      </w:r>
      <w:r>
        <w:rPr>
          <w:sz w:val="24"/>
        </w:rPr>
        <w:t>so).</w:t>
      </w:r>
    </w:p>
    <w:p w:rsidR="004E13A5" w:rsidRDefault="00681463">
      <w:pPr>
        <w:pStyle w:val="ListParagraph"/>
        <w:numPr>
          <w:ilvl w:val="0"/>
          <w:numId w:val="5"/>
        </w:numPr>
        <w:tabs>
          <w:tab w:val="left" w:pos="936"/>
        </w:tabs>
        <w:spacing w:before="120"/>
        <w:ind w:right="343"/>
        <w:jc w:val="both"/>
        <w:rPr>
          <w:sz w:val="24"/>
        </w:rPr>
      </w:pPr>
      <w:r>
        <w:rPr>
          <w:sz w:val="24"/>
        </w:rPr>
        <w:t>If the PHA does not have an EHV available to absorb the family, it must bill the initial PHA. The receiving PHA must allow the family to lease the unit with EHV assistance and may not absorb the family with a regular HCV when the family leases the</w:t>
      </w:r>
      <w:r>
        <w:rPr>
          <w:spacing w:val="-31"/>
          <w:sz w:val="24"/>
        </w:rPr>
        <w:t xml:space="preserve"> </w:t>
      </w:r>
      <w:r>
        <w:rPr>
          <w:sz w:val="24"/>
        </w:rPr>
        <w:t>unit.</w:t>
      </w:r>
    </w:p>
    <w:p w:rsidR="004E13A5" w:rsidRDefault="00681463">
      <w:pPr>
        <w:pStyle w:val="ListParagraph"/>
        <w:numPr>
          <w:ilvl w:val="0"/>
          <w:numId w:val="5"/>
        </w:numPr>
        <w:tabs>
          <w:tab w:val="left" w:pos="935"/>
          <w:tab w:val="left" w:pos="936"/>
        </w:tabs>
        <w:spacing w:before="117"/>
        <w:ind w:right="103"/>
        <w:rPr>
          <w:sz w:val="24"/>
        </w:rPr>
      </w:pPr>
      <w:r>
        <w:rPr>
          <w:sz w:val="24"/>
        </w:rPr>
        <w:t>Regardless of whether the receiving PHA absorbs or bills the initial PHA for the</w:t>
      </w:r>
      <w:r>
        <w:rPr>
          <w:spacing w:val="-20"/>
          <w:sz w:val="24"/>
        </w:rPr>
        <w:t xml:space="preserve"> </w:t>
      </w:r>
      <w:r>
        <w:rPr>
          <w:sz w:val="24"/>
        </w:rPr>
        <w:t>family’s EHV assistance, the EHV administration of the voucher is in accordance with the receiving PHA’s EHV</w:t>
      </w:r>
      <w:r>
        <w:rPr>
          <w:spacing w:val="-10"/>
          <w:sz w:val="24"/>
        </w:rPr>
        <w:t xml:space="preserve"> </w:t>
      </w:r>
      <w:r>
        <w:rPr>
          <w:sz w:val="24"/>
        </w:rPr>
        <w:t>policies.</w:t>
      </w:r>
    </w:p>
    <w:p w:rsidR="004E13A5" w:rsidRDefault="00681463">
      <w:pPr>
        <w:pStyle w:val="ListParagraph"/>
        <w:numPr>
          <w:ilvl w:val="0"/>
          <w:numId w:val="93"/>
        </w:numPr>
        <w:tabs>
          <w:tab w:val="left" w:pos="460"/>
          <w:tab w:val="left" w:pos="461"/>
        </w:tabs>
        <w:ind w:right="282"/>
        <w:rPr>
          <w:rFonts w:ascii="Symbol"/>
          <w:sz w:val="24"/>
        </w:rPr>
      </w:pPr>
      <w:r>
        <w:rPr>
          <w:sz w:val="24"/>
        </w:rPr>
        <w:t>If the EHV family moves under portability to another PHA that does not administer EHV under its own ACC, the receiving PHA may absorb the family into its regular HCV</w:t>
      </w:r>
      <w:r>
        <w:rPr>
          <w:spacing w:val="-19"/>
          <w:sz w:val="24"/>
        </w:rPr>
        <w:t xml:space="preserve"> </w:t>
      </w:r>
      <w:r>
        <w:rPr>
          <w:sz w:val="24"/>
        </w:rPr>
        <w:t>program or may bill the initial</w:t>
      </w:r>
      <w:r>
        <w:rPr>
          <w:spacing w:val="-14"/>
          <w:sz w:val="24"/>
        </w:rPr>
        <w:t xml:space="preserve"> </w:t>
      </w:r>
      <w:r>
        <w:rPr>
          <w:sz w:val="24"/>
        </w:rPr>
        <w:t>PHA.</w:t>
      </w:r>
    </w:p>
    <w:p w:rsidR="004E13A5" w:rsidRDefault="00681463">
      <w:pPr>
        <w:pStyle w:val="Heading4"/>
        <w:spacing w:before="209"/>
      </w:pPr>
      <w:r>
        <w:t>Family Briefing</w:t>
      </w:r>
    </w:p>
    <w:p w:rsidR="004E13A5" w:rsidRDefault="00681463">
      <w:pPr>
        <w:pStyle w:val="BodyText"/>
        <w:spacing w:before="139"/>
        <w:ind w:right="302"/>
      </w:pPr>
      <w:r>
        <w:t>In addition to the applicable family briefing requirements at 24 CFR 982.301(a)(2) as to how portability works and how portability may affect the family’s assistance, the initial PHA must inform the family how portability may impact the special EHV services and assistance that may be available to the family.</w:t>
      </w:r>
    </w:p>
    <w:p w:rsidR="004E13A5" w:rsidRDefault="00681463">
      <w:pPr>
        <w:pStyle w:val="BodyText"/>
        <w:spacing w:before="138"/>
        <w:ind w:right="222"/>
      </w:pPr>
      <w:r>
        <w:t>The initial PHA is required to help facilitate the family’s portability move to the receiving PHA and inform the family of this requirement in writing, taking reasonable steps to ensure meaningful access for persons with limited English proficiency (LEP).</w:t>
      </w:r>
    </w:p>
    <w:p w:rsidR="004E13A5" w:rsidRDefault="00681463">
      <w:pPr>
        <w:pStyle w:val="BodyText"/>
        <w:spacing w:before="177"/>
        <w:ind w:left="820"/>
      </w:pPr>
      <w:r>
        <w:rPr>
          <w:u w:val="single"/>
        </w:rPr>
        <w:t>PHA Policy</w:t>
      </w:r>
    </w:p>
    <w:p w:rsidR="004E13A5" w:rsidRDefault="00681463">
      <w:pPr>
        <w:pStyle w:val="BodyText"/>
        <w:spacing w:before="122"/>
        <w:ind w:left="820" w:right="395"/>
      </w:pPr>
      <w:r>
        <w:t>In addition to following PHA policy on briefings in Chapter 5, as part of the briefing packet for EHV families, the PHA will include a written notice that the PHA will assist the family with moves under portability.</w:t>
      </w:r>
    </w:p>
    <w:p w:rsidR="004E13A5" w:rsidRDefault="00681463">
      <w:pPr>
        <w:pStyle w:val="BodyText"/>
        <w:spacing w:before="139"/>
        <w:ind w:left="820" w:right="708"/>
      </w:pPr>
      <w:r>
        <w:t>For limited English proficient (LEP) applicants, the PHA will provide interpretation services in accordance with the PHA’s LEP plan (See Chapter 2).</w:t>
      </w:r>
    </w:p>
    <w:p w:rsidR="004E13A5" w:rsidRDefault="00681463">
      <w:pPr>
        <w:pStyle w:val="Heading4"/>
        <w:spacing w:before="149"/>
      </w:pPr>
      <w:r>
        <w:t>Coordination of Services</w:t>
      </w:r>
    </w:p>
    <w:p w:rsidR="004E13A5" w:rsidRDefault="00681463">
      <w:pPr>
        <w:pStyle w:val="BodyText"/>
        <w:spacing w:before="141"/>
        <w:ind w:right="222"/>
      </w:pPr>
      <w:r>
        <w:t>If the portability move is in connection with the EHV family’s initial lease-up, the receiving PHA and the initial PHA must consult and coordinate on the EHV services and assistance that will be made available to the family.</w:t>
      </w:r>
    </w:p>
    <w:p w:rsidR="004E13A5" w:rsidRDefault="004E13A5">
      <w:pPr>
        <w:sectPr w:rsidR="004E13A5">
          <w:footerReference w:type="default" r:id="rId77"/>
          <w:pgSz w:w="12240" w:h="15840"/>
          <w:pgMar w:top="1420" w:right="1400" w:bottom="280" w:left="1220" w:header="0" w:footer="0"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spacing w:before="138"/>
        <w:ind w:left="820"/>
      </w:pPr>
      <w:r>
        <w:t>For EHV families who For EHV families who are exercising portability, when the PHA contacts the receiving PHA in accordance with Section 10-II.B. Preapproval Contact with Receiving PHA, the PHA will consult and coordinate with the receiving PHA to ensure there is no duplication of EHV services and assistance, and ensure the receiving PHA is aware of the maximum amount of services fee funding that the initial PHA may provide to the receiving PHA on behalf of the family. .</w:t>
      </w:r>
    </w:p>
    <w:p w:rsidR="004E13A5" w:rsidRDefault="00681463">
      <w:pPr>
        <w:pStyle w:val="Heading4"/>
        <w:spacing w:before="172"/>
      </w:pPr>
      <w:r>
        <w:t>Services Fee</w:t>
      </w:r>
    </w:p>
    <w:p w:rsidR="004E13A5" w:rsidRDefault="00681463">
      <w:pPr>
        <w:pStyle w:val="BodyText"/>
        <w:spacing w:before="139" w:line="242" w:lineRule="auto"/>
        <w:ind w:right="222"/>
      </w:pPr>
      <w:r>
        <w:t>Standard portability billing arrangements apply for HAP and ongoing administrative fees for EHV families.</w:t>
      </w:r>
    </w:p>
    <w:p w:rsidR="004E13A5" w:rsidRDefault="00681463">
      <w:pPr>
        <w:pStyle w:val="BodyText"/>
        <w:spacing w:before="136"/>
        <w:ind w:right="222"/>
      </w:pPr>
      <w:r>
        <w:t>For service fees funding, the amount of the service fee provided by the initial PHA may not exceed the lesser of the actual cost of the services and assistance provided to the family by the receiving PHA or $1,750, unless the initial PHA and receiving PHA mutually agree to change the $1,750 cap. Service fees are paid as follows:</w:t>
      </w:r>
    </w:p>
    <w:p w:rsidR="004E13A5" w:rsidRDefault="00681463">
      <w:pPr>
        <w:pStyle w:val="ListParagraph"/>
        <w:numPr>
          <w:ilvl w:val="0"/>
          <w:numId w:val="93"/>
        </w:numPr>
        <w:tabs>
          <w:tab w:val="left" w:pos="460"/>
          <w:tab w:val="left" w:pos="461"/>
        </w:tabs>
        <w:ind w:right="592"/>
        <w:rPr>
          <w:rFonts w:ascii="Symbol"/>
          <w:sz w:val="24"/>
        </w:rPr>
      </w:pPr>
      <w:r>
        <w:rPr>
          <w:rFonts w:ascii="Calibri"/>
          <w:sz w:val="24"/>
        </w:rPr>
        <w:t>If the receiving PHA, in consultation and coordination with the initial PHA, will provide eligible services or assistance to the incoming EHV family, the receiving PHA may be compensated</w:t>
      </w:r>
      <w:r>
        <w:rPr>
          <w:rFonts w:ascii="Calibri"/>
          <w:spacing w:val="-4"/>
          <w:sz w:val="24"/>
        </w:rPr>
        <w:t xml:space="preserve"> </w:t>
      </w:r>
      <w:r>
        <w:rPr>
          <w:rFonts w:ascii="Calibri"/>
          <w:sz w:val="24"/>
        </w:rPr>
        <w:t>for</w:t>
      </w:r>
      <w:r>
        <w:rPr>
          <w:rFonts w:ascii="Calibri"/>
          <w:spacing w:val="-4"/>
          <w:sz w:val="24"/>
        </w:rPr>
        <w:t xml:space="preserve"> </w:t>
      </w:r>
      <w:r>
        <w:rPr>
          <w:rFonts w:ascii="Calibri"/>
          <w:sz w:val="24"/>
        </w:rPr>
        <w:t>those</w:t>
      </w:r>
      <w:r>
        <w:rPr>
          <w:rFonts w:ascii="Calibri"/>
          <w:spacing w:val="-4"/>
          <w:sz w:val="24"/>
        </w:rPr>
        <w:t xml:space="preserve"> </w:t>
      </w:r>
      <w:r>
        <w:rPr>
          <w:rFonts w:ascii="Calibri"/>
          <w:sz w:val="24"/>
        </w:rPr>
        <w:t>costs</w:t>
      </w:r>
      <w:r>
        <w:rPr>
          <w:rFonts w:ascii="Calibri"/>
          <w:spacing w:val="-3"/>
          <w:sz w:val="24"/>
        </w:rPr>
        <w:t xml:space="preserve"> </w:t>
      </w:r>
      <w:r>
        <w:rPr>
          <w:rFonts w:ascii="Calibri"/>
          <w:sz w:val="24"/>
        </w:rPr>
        <w:t>by</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initial</w:t>
      </w:r>
      <w:r>
        <w:rPr>
          <w:rFonts w:ascii="Calibri"/>
          <w:spacing w:val="-5"/>
          <w:sz w:val="24"/>
        </w:rPr>
        <w:t xml:space="preserve"> </w:t>
      </w:r>
      <w:r>
        <w:rPr>
          <w:rFonts w:ascii="Calibri"/>
          <w:sz w:val="24"/>
        </w:rPr>
        <w:t>PHA,</w:t>
      </w:r>
      <w:r>
        <w:rPr>
          <w:rFonts w:ascii="Calibri"/>
          <w:spacing w:val="-3"/>
          <w:sz w:val="24"/>
        </w:rPr>
        <w:t xml:space="preserve"> </w:t>
      </w:r>
      <w:r>
        <w:rPr>
          <w:rFonts w:ascii="Calibri"/>
          <w:sz w:val="24"/>
        </w:rPr>
        <w:t>regardless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whether</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receiving</w:t>
      </w:r>
      <w:r>
        <w:rPr>
          <w:rFonts w:ascii="Calibri"/>
          <w:spacing w:val="-18"/>
          <w:sz w:val="24"/>
        </w:rPr>
        <w:t xml:space="preserve"> </w:t>
      </w:r>
      <w:r>
        <w:rPr>
          <w:rFonts w:ascii="Calibri"/>
          <w:sz w:val="24"/>
        </w:rPr>
        <w:t>PHA bills or</w:t>
      </w:r>
      <w:r>
        <w:rPr>
          <w:rFonts w:ascii="Calibri"/>
          <w:spacing w:val="-13"/>
          <w:sz w:val="24"/>
        </w:rPr>
        <w:t xml:space="preserve"> </w:t>
      </w:r>
      <w:r>
        <w:rPr>
          <w:rFonts w:ascii="Calibri"/>
          <w:sz w:val="24"/>
        </w:rPr>
        <w:t>absorbs.</w:t>
      </w:r>
    </w:p>
    <w:p w:rsidR="004E13A5" w:rsidRDefault="00681463">
      <w:pPr>
        <w:pStyle w:val="ListParagraph"/>
        <w:numPr>
          <w:ilvl w:val="0"/>
          <w:numId w:val="93"/>
        </w:numPr>
        <w:tabs>
          <w:tab w:val="left" w:pos="460"/>
          <w:tab w:val="left" w:pos="461"/>
        </w:tabs>
        <w:spacing w:before="121"/>
        <w:ind w:right="416"/>
        <w:rPr>
          <w:rFonts w:ascii="Symbol"/>
          <w:sz w:val="24"/>
        </w:rPr>
      </w:pPr>
      <w:r>
        <w:rPr>
          <w:rFonts w:ascii="Calibri"/>
          <w:sz w:val="24"/>
        </w:rPr>
        <w:t>If</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receiving</w:t>
      </w:r>
      <w:r>
        <w:rPr>
          <w:rFonts w:ascii="Calibri"/>
          <w:spacing w:val="-4"/>
          <w:sz w:val="24"/>
        </w:rPr>
        <w:t xml:space="preserve"> </w:t>
      </w:r>
      <w:r>
        <w:rPr>
          <w:rFonts w:ascii="Calibri"/>
          <w:sz w:val="24"/>
        </w:rPr>
        <w:t>PHA</w:t>
      </w:r>
      <w:r>
        <w:rPr>
          <w:rFonts w:ascii="Calibri"/>
          <w:spacing w:val="-2"/>
          <w:sz w:val="24"/>
        </w:rPr>
        <w:t xml:space="preserve"> </w:t>
      </w:r>
      <w:r>
        <w:rPr>
          <w:rFonts w:ascii="Calibri"/>
          <w:sz w:val="24"/>
        </w:rPr>
        <w:t>administers</w:t>
      </w:r>
      <w:r>
        <w:rPr>
          <w:rFonts w:ascii="Calibri"/>
          <w:spacing w:val="-4"/>
          <w:sz w:val="24"/>
        </w:rPr>
        <w:t xml:space="preserve"> </w:t>
      </w:r>
      <w:r>
        <w:rPr>
          <w:rFonts w:ascii="Calibri"/>
          <w:sz w:val="24"/>
        </w:rPr>
        <w:t>EHVs,</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receiving</w:t>
      </w:r>
      <w:r>
        <w:rPr>
          <w:rFonts w:ascii="Calibri"/>
          <w:spacing w:val="-2"/>
          <w:sz w:val="24"/>
        </w:rPr>
        <w:t xml:space="preserve"> </w:t>
      </w:r>
      <w:r>
        <w:rPr>
          <w:rFonts w:ascii="Calibri"/>
          <w:sz w:val="24"/>
        </w:rPr>
        <w:t>PHA</w:t>
      </w:r>
      <w:r>
        <w:rPr>
          <w:rFonts w:ascii="Calibri"/>
          <w:spacing w:val="-2"/>
          <w:sz w:val="24"/>
        </w:rPr>
        <w:t xml:space="preserve"> </w:t>
      </w:r>
      <w:r>
        <w:rPr>
          <w:rFonts w:ascii="Calibri"/>
          <w:sz w:val="24"/>
        </w:rPr>
        <w:t>may</w:t>
      </w:r>
      <w:r>
        <w:rPr>
          <w:rFonts w:ascii="Calibri"/>
          <w:spacing w:val="-2"/>
          <w:sz w:val="24"/>
        </w:rPr>
        <w:t xml:space="preserve"> </w:t>
      </w:r>
      <w:r>
        <w:rPr>
          <w:rFonts w:ascii="Calibri"/>
          <w:sz w:val="24"/>
        </w:rPr>
        <w:t>use</w:t>
      </w:r>
      <w:r>
        <w:rPr>
          <w:rFonts w:ascii="Calibri"/>
          <w:spacing w:val="-4"/>
          <w:sz w:val="24"/>
        </w:rPr>
        <w:t xml:space="preserve"> </w:t>
      </w:r>
      <w:r>
        <w:rPr>
          <w:rFonts w:ascii="Calibri"/>
          <w:sz w:val="24"/>
        </w:rPr>
        <w:t>its</w:t>
      </w:r>
      <w:r>
        <w:rPr>
          <w:rFonts w:ascii="Calibri"/>
          <w:spacing w:val="-4"/>
          <w:sz w:val="24"/>
        </w:rPr>
        <w:t xml:space="preserve"> </w:t>
      </w:r>
      <w:r>
        <w:rPr>
          <w:rFonts w:ascii="Calibri"/>
          <w:sz w:val="24"/>
        </w:rPr>
        <w:t>own</w:t>
      </w:r>
      <w:r>
        <w:rPr>
          <w:rFonts w:ascii="Calibri"/>
          <w:spacing w:val="-3"/>
          <w:sz w:val="24"/>
        </w:rPr>
        <w:t xml:space="preserve"> </w:t>
      </w:r>
      <w:r>
        <w:rPr>
          <w:rFonts w:ascii="Calibri"/>
          <w:sz w:val="24"/>
        </w:rPr>
        <w:t>services</w:t>
      </w:r>
      <w:r>
        <w:rPr>
          <w:rFonts w:ascii="Calibri"/>
          <w:spacing w:val="-2"/>
          <w:sz w:val="24"/>
        </w:rPr>
        <w:t xml:space="preserve"> </w:t>
      </w:r>
      <w:r>
        <w:rPr>
          <w:rFonts w:ascii="Calibri"/>
          <w:sz w:val="24"/>
        </w:rPr>
        <w:t>fee</w:t>
      </w:r>
      <w:r>
        <w:rPr>
          <w:rFonts w:ascii="Calibri"/>
          <w:spacing w:val="-3"/>
          <w:sz w:val="24"/>
        </w:rPr>
        <w:t xml:space="preserve"> </w:t>
      </w:r>
      <w:r>
        <w:rPr>
          <w:rFonts w:ascii="Calibri"/>
          <w:sz w:val="24"/>
        </w:rPr>
        <w:t>and may be reimbursed by the initial PHA, or the initial PHA may provide the services funding upfront to the receiving PHA for those fees and</w:t>
      </w:r>
      <w:r>
        <w:rPr>
          <w:rFonts w:ascii="Calibri"/>
          <w:spacing w:val="-35"/>
          <w:sz w:val="24"/>
        </w:rPr>
        <w:t xml:space="preserve"> </w:t>
      </w:r>
      <w:r>
        <w:rPr>
          <w:rFonts w:ascii="Calibri"/>
          <w:sz w:val="24"/>
        </w:rPr>
        <w:t>assistance.</w:t>
      </w:r>
    </w:p>
    <w:p w:rsidR="004E13A5" w:rsidRDefault="00681463">
      <w:pPr>
        <w:pStyle w:val="ListParagraph"/>
        <w:numPr>
          <w:ilvl w:val="0"/>
          <w:numId w:val="93"/>
        </w:numPr>
        <w:tabs>
          <w:tab w:val="left" w:pos="460"/>
          <w:tab w:val="left" w:pos="461"/>
        </w:tabs>
        <w:ind w:right="379"/>
        <w:rPr>
          <w:rFonts w:ascii="Symbol"/>
          <w:sz w:val="24"/>
        </w:rPr>
      </w:pPr>
      <w:r>
        <w:rPr>
          <w:rFonts w:ascii="Calibri"/>
          <w:sz w:val="24"/>
        </w:rPr>
        <w:t>If the receiving PHA does not administer EHVs, the initial PHA must provide the services funding</w:t>
      </w:r>
      <w:r>
        <w:rPr>
          <w:rFonts w:ascii="Calibri"/>
          <w:spacing w:val="-5"/>
          <w:sz w:val="24"/>
        </w:rPr>
        <w:t xml:space="preserve"> </w:t>
      </w:r>
      <w:r>
        <w:rPr>
          <w:rFonts w:ascii="Calibri"/>
          <w:sz w:val="24"/>
        </w:rPr>
        <w:t>upfront</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the</w:t>
      </w:r>
      <w:r>
        <w:rPr>
          <w:rFonts w:ascii="Calibri"/>
          <w:spacing w:val="-5"/>
          <w:sz w:val="24"/>
        </w:rPr>
        <w:t xml:space="preserve"> </w:t>
      </w:r>
      <w:r>
        <w:rPr>
          <w:rFonts w:ascii="Calibri"/>
          <w:sz w:val="24"/>
        </w:rPr>
        <w:t>receiving</w:t>
      </w:r>
      <w:r>
        <w:rPr>
          <w:rFonts w:ascii="Calibri"/>
          <w:spacing w:val="-3"/>
          <w:sz w:val="24"/>
        </w:rPr>
        <w:t xml:space="preserve"> </w:t>
      </w:r>
      <w:r>
        <w:rPr>
          <w:rFonts w:ascii="Calibri"/>
          <w:sz w:val="24"/>
        </w:rPr>
        <w:t>PHA.</w:t>
      </w:r>
      <w:r>
        <w:rPr>
          <w:rFonts w:ascii="Calibri"/>
          <w:spacing w:val="-4"/>
          <w:sz w:val="24"/>
        </w:rPr>
        <w:t xml:space="preserve"> </w:t>
      </w:r>
      <w:r>
        <w:rPr>
          <w:rFonts w:ascii="Calibri"/>
          <w:sz w:val="24"/>
        </w:rPr>
        <w:t>Any</w:t>
      </w:r>
      <w:r>
        <w:rPr>
          <w:rFonts w:ascii="Calibri"/>
          <w:spacing w:val="-3"/>
          <w:sz w:val="24"/>
        </w:rPr>
        <w:t xml:space="preserve"> </w:t>
      </w:r>
      <w:r>
        <w:rPr>
          <w:rFonts w:ascii="Calibri"/>
          <w:sz w:val="24"/>
        </w:rPr>
        <w:t>amounts</w:t>
      </w:r>
      <w:r>
        <w:rPr>
          <w:rFonts w:ascii="Calibri"/>
          <w:spacing w:val="-3"/>
          <w:sz w:val="24"/>
        </w:rPr>
        <w:t xml:space="preserve"> </w:t>
      </w:r>
      <w:r>
        <w:rPr>
          <w:rFonts w:ascii="Calibri"/>
          <w:sz w:val="24"/>
        </w:rPr>
        <w:t>provided</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the</w:t>
      </w:r>
      <w:r>
        <w:rPr>
          <w:rFonts w:ascii="Calibri"/>
          <w:spacing w:val="-2"/>
          <w:sz w:val="24"/>
        </w:rPr>
        <w:t xml:space="preserve"> </w:t>
      </w:r>
      <w:r>
        <w:rPr>
          <w:rFonts w:ascii="Calibri"/>
          <w:sz w:val="24"/>
        </w:rPr>
        <w:t>receiving</w:t>
      </w:r>
      <w:r>
        <w:rPr>
          <w:rFonts w:ascii="Calibri"/>
          <w:spacing w:val="-3"/>
          <w:sz w:val="24"/>
        </w:rPr>
        <w:t xml:space="preserve"> </w:t>
      </w:r>
      <w:r>
        <w:rPr>
          <w:rFonts w:ascii="Calibri"/>
          <w:sz w:val="24"/>
        </w:rPr>
        <w:t>PHA</w:t>
      </w:r>
      <w:r>
        <w:rPr>
          <w:rFonts w:ascii="Calibri"/>
          <w:spacing w:val="-5"/>
          <w:sz w:val="24"/>
        </w:rPr>
        <w:t xml:space="preserve"> </w:t>
      </w:r>
      <w:r>
        <w:rPr>
          <w:rFonts w:ascii="Calibri"/>
          <w:sz w:val="24"/>
        </w:rPr>
        <w:t>that</w:t>
      </w:r>
      <w:r>
        <w:rPr>
          <w:rFonts w:ascii="Calibri"/>
          <w:spacing w:val="-2"/>
          <w:sz w:val="24"/>
        </w:rPr>
        <w:t xml:space="preserve"> </w:t>
      </w:r>
      <w:r>
        <w:rPr>
          <w:rFonts w:ascii="Calibri"/>
          <w:sz w:val="24"/>
        </w:rPr>
        <w:t>are not used for services or assistance on behalf of the EHV family must promptly be returned by the receiving PHA to the initial</w:t>
      </w:r>
      <w:r>
        <w:rPr>
          <w:rFonts w:ascii="Calibri"/>
          <w:spacing w:val="-16"/>
          <w:sz w:val="24"/>
        </w:rPr>
        <w:t xml:space="preserve"> </w:t>
      </w:r>
      <w:r>
        <w:rPr>
          <w:rFonts w:ascii="Calibri"/>
          <w:sz w:val="24"/>
        </w:rPr>
        <w:t>PHA.</w:t>
      </w:r>
    </w:p>
    <w:p w:rsidR="004E13A5" w:rsidRDefault="00681463">
      <w:pPr>
        <w:pStyle w:val="Heading4"/>
        <w:spacing w:before="119"/>
      </w:pPr>
      <w:r>
        <w:t>Placement Fee/Issuance Reporting Fee</w:t>
      </w:r>
    </w:p>
    <w:p w:rsidR="004E13A5" w:rsidRDefault="00681463">
      <w:pPr>
        <w:pStyle w:val="BodyText"/>
        <w:spacing w:before="139"/>
        <w:ind w:right="148"/>
      </w:pPr>
      <w:r>
        <w:t>If the portability lease-up qualifies for the placement fee/issuance reporting fee, the receiving PHA receives the full amount of the placement component of the placement fee/issuing reporting fee. The receiving PHA is eligible for the placement fee regardless of whether the receiving PHA bills the initial PHA or absorbs the family into its own program at initial lease-up. The initial PHA qualifies for the issuance reporting component of the placement fee/issuance reporting fee, as applicable.</w:t>
      </w:r>
    </w:p>
    <w:p w:rsidR="004E13A5" w:rsidRDefault="00681463">
      <w:pPr>
        <w:pStyle w:val="Heading4"/>
        <w:numPr>
          <w:ilvl w:val="1"/>
          <w:numId w:val="6"/>
        </w:numPr>
        <w:tabs>
          <w:tab w:val="left" w:pos="820"/>
          <w:tab w:val="left" w:pos="821"/>
        </w:tabs>
        <w:spacing w:before="180" w:line="343" w:lineRule="auto"/>
        <w:ind w:right="7086" w:firstLine="0"/>
      </w:pPr>
      <w:r>
        <w:t>PAYMENT STANDARDS</w:t>
      </w:r>
      <w:r>
        <w:rPr>
          <w:spacing w:val="-6"/>
        </w:rPr>
        <w:t xml:space="preserve"> </w:t>
      </w:r>
      <w:r>
        <w:t>Payment Standard</w:t>
      </w:r>
      <w:r>
        <w:rPr>
          <w:spacing w:val="-22"/>
        </w:rPr>
        <w:t xml:space="preserve"> </w:t>
      </w:r>
      <w:r>
        <w:t>Schedule</w:t>
      </w:r>
    </w:p>
    <w:p w:rsidR="004E13A5" w:rsidRDefault="00681463">
      <w:pPr>
        <w:pStyle w:val="BodyText"/>
        <w:spacing w:before="7"/>
        <w:ind w:right="302"/>
      </w:pPr>
      <w:r>
        <w:t>For the EHV program, HUD has waived the regulation requiring a single payment standard for each unit size. Instead, the PHA may, but is not required to, establish separate higher payment standards for EHVs. Lower EHV payment standards are not permitted. If the PHA is increasing the regular HCV payment standard, the PHA must also increase the EHV payment standard if it would be otherwise lower than the new regular HCV payment standard. The separate EHV</w:t>
      </w:r>
    </w:p>
    <w:p w:rsidR="004E13A5" w:rsidRDefault="004E13A5">
      <w:pPr>
        <w:sectPr w:rsidR="004E13A5">
          <w:footerReference w:type="default" r:id="rId78"/>
          <w:pgSz w:w="12240" w:h="15840"/>
          <w:pgMar w:top="1420" w:right="1400" w:bottom="280" w:left="1220" w:header="0" w:footer="0" w:gutter="0"/>
          <w:cols w:space="720"/>
        </w:sectPr>
      </w:pPr>
    </w:p>
    <w:p w:rsidR="004E13A5" w:rsidRDefault="00681463">
      <w:pPr>
        <w:pStyle w:val="BodyText"/>
        <w:spacing w:before="79"/>
        <w:ind w:right="808"/>
      </w:pPr>
      <w:r>
        <w:lastRenderedPageBreak/>
        <w:t>payment standard must comply with all other HCV requirements with the exception of the alternative requirements discussed below.</w:t>
      </w:r>
    </w:p>
    <w:p w:rsidR="004E13A5" w:rsidRDefault="00681463">
      <w:pPr>
        <w:pStyle w:val="BodyText"/>
        <w:spacing w:before="138"/>
        <w:ind w:right="1021"/>
      </w:pPr>
      <w:r>
        <w:t>Further, if the PHA chooses to establish higher payments standards for EHVs, HUD has provided other regulatory waivers:</w:t>
      </w:r>
    </w:p>
    <w:p w:rsidR="004E13A5" w:rsidRDefault="00681463">
      <w:pPr>
        <w:pStyle w:val="ListParagraph"/>
        <w:numPr>
          <w:ilvl w:val="0"/>
          <w:numId w:val="93"/>
        </w:numPr>
        <w:tabs>
          <w:tab w:val="left" w:pos="460"/>
          <w:tab w:val="left" w:pos="461"/>
        </w:tabs>
        <w:rPr>
          <w:rFonts w:ascii="Symbol" w:hAnsi="Symbol"/>
          <w:sz w:val="24"/>
        </w:rPr>
      </w:pPr>
      <w:r>
        <w:rPr>
          <w:rFonts w:ascii="Calibri" w:hAnsi="Calibri"/>
          <w:sz w:val="24"/>
        </w:rPr>
        <w:t>Defining the “basic range” for payment standards as between 90 and 120 percent</w:t>
      </w:r>
      <w:r>
        <w:rPr>
          <w:rFonts w:ascii="Calibri" w:hAnsi="Calibri"/>
          <w:spacing w:val="-34"/>
          <w:sz w:val="24"/>
        </w:rPr>
        <w:t xml:space="preserve"> </w:t>
      </w:r>
      <w:r>
        <w:rPr>
          <w:rFonts w:ascii="Calibri" w:hAnsi="Calibri"/>
          <w:sz w:val="24"/>
        </w:rPr>
        <w:t>of</w:t>
      </w:r>
    </w:p>
    <w:p w:rsidR="004E13A5" w:rsidRDefault="00681463">
      <w:pPr>
        <w:pStyle w:val="BodyText"/>
        <w:spacing w:before="2"/>
        <w:ind w:left="460"/>
        <w:rPr>
          <w:rFonts w:ascii="Calibri"/>
        </w:rPr>
      </w:pPr>
      <w:r>
        <w:rPr>
          <w:rFonts w:ascii="Calibri"/>
        </w:rPr>
        <w:t>the published Fair Market Rent (FMR) for the unit size (rather than 90 to 110 percent).</w:t>
      </w:r>
    </w:p>
    <w:p w:rsidR="004E13A5" w:rsidRDefault="00681463">
      <w:pPr>
        <w:pStyle w:val="ListParagraph"/>
        <w:numPr>
          <w:ilvl w:val="0"/>
          <w:numId w:val="93"/>
        </w:numPr>
        <w:tabs>
          <w:tab w:val="left" w:pos="460"/>
          <w:tab w:val="left" w:pos="461"/>
        </w:tabs>
        <w:spacing w:before="118"/>
        <w:ind w:right="137"/>
        <w:rPr>
          <w:rFonts w:ascii="Symbol"/>
          <w:sz w:val="24"/>
        </w:rPr>
      </w:pPr>
      <w:r>
        <w:rPr>
          <w:rFonts w:ascii="Calibri"/>
          <w:sz w:val="24"/>
        </w:rPr>
        <w:t>Allowing a PHA that is not in a designated Small Area FMR (SAFMR) area or has not opted to voluntarily implement SAFMRs to establish exception payment standards for a ZIP code</w:t>
      </w:r>
      <w:r>
        <w:rPr>
          <w:rFonts w:ascii="Calibri"/>
          <w:spacing w:val="-32"/>
          <w:sz w:val="24"/>
        </w:rPr>
        <w:t xml:space="preserve"> </w:t>
      </w:r>
      <w:r>
        <w:rPr>
          <w:rFonts w:ascii="Calibri"/>
          <w:sz w:val="24"/>
        </w:rPr>
        <w:t>area above the basic range for the metropolitan FMR based on the HUD published SAFMRs. The PHA may establish an exception payment standard up to 120 percent (as opposed to 110 percent) of the HUD published Small Area FMR for that ZIP code area. The exception payment standard must apply to the entire ZIP code</w:t>
      </w:r>
      <w:r>
        <w:rPr>
          <w:rFonts w:ascii="Calibri"/>
          <w:spacing w:val="-28"/>
          <w:sz w:val="24"/>
        </w:rPr>
        <w:t xml:space="preserve"> </w:t>
      </w:r>
      <w:r>
        <w:rPr>
          <w:rFonts w:ascii="Calibri"/>
          <w:sz w:val="24"/>
        </w:rPr>
        <w:t>area.</w:t>
      </w:r>
    </w:p>
    <w:p w:rsidR="004E13A5" w:rsidRDefault="00681463">
      <w:pPr>
        <w:pStyle w:val="BodyText"/>
        <w:tabs>
          <w:tab w:val="left" w:pos="940"/>
        </w:tabs>
        <w:spacing w:before="138"/>
        <w:ind w:left="940" w:right="329" w:hanging="360"/>
      </w:pPr>
      <w:r>
        <w:t>-</w:t>
      </w:r>
      <w:r>
        <w:tab/>
        <w:t>The PHA must notify HUD if it establishes an EHV exception payment</w:t>
      </w:r>
      <w:r>
        <w:rPr>
          <w:spacing w:val="-33"/>
        </w:rPr>
        <w:t xml:space="preserve"> </w:t>
      </w:r>
      <w:r>
        <w:t>standard</w:t>
      </w:r>
      <w:r>
        <w:rPr>
          <w:spacing w:val="-2"/>
        </w:rPr>
        <w:t xml:space="preserve"> </w:t>
      </w:r>
      <w:r>
        <w:t>based on the</w:t>
      </w:r>
      <w:r>
        <w:rPr>
          <w:spacing w:val="-14"/>
        </w:rPr>
        <w:t xml:space="preserve"> </w:t>
      </w:r>
      <w:r>
        <w:t>SAFMR.</w:t>
      </w:r>
    </w:p>
    <w:p w:rsidR="004E13A5" w:rsidRDefault="00681463">
      <w:pPr>
        <w:pStyle w:val="BodyText"/>
        <w:spacing w:before="139"/>
        <w:ind w:left="940"/>
      </w:pPr>
      <w:r>
        <w:rPr>
          <w:u w:val="single"/>
        </w:rPr>
        <w:t>PHA Policy</w:t>
      </w:r>
    </w:p>
    <w:p w:rsidR="004E13A5" w:rsidRDefault="00681463">
      <w:pPr>
        <w:pStyle w:val="BodyText"/>
        <w:spacing w:before="141"/>
        <w:ind w:left="940"/>
      </w:pPr>
      <w:r>
        <w:t>The PHA will not establish a higher payment standard amount for EHVs. The PHA will use the same payment standards for HCV and EHV.</w:t>
      </w:r>
    </w:p>
    <w:p w:rsidR="004E13A5" w:rsidRDefault="00681463">
      <w:pPr>
        <w:pStyle w:val="Heading4"/>
        <w:spacing w:before="119"/>
      </w:pPr>
      <w:r>
        <w:t>Rent Reasonableness</w:t>
      </w:r>
    </w:p>
    <w:p w:rsidR="004E13A5" w:rsidRDefault="00681463">
      <w:pPr>
        <w:pStyle w:val="BodyText"/>
        <w:spacing w:before="138"/>
        <w:ind w:right="549"/>
      </w:pPr>
      <w:r>
        <w:t>All rent reasonableness requirements apply to EHV units, regardless of whether the PHA has established an alternative or exception EHV payment standard.</w:t>
      </w:r>
    </w:p>
    <w:p w:rsidR="004E13A5" w:rsidRDefault="00681463">
      <w:pPr>
        <w:pStyle w:val="Heading4"/>
        <w:spacing w:before="120"/>
      </w:pPr>
      <w:r>
        <w:t>Increases in Payment Standards</w:t>
      </w:r>
    </w:p>
    <w:p w:rsidR="004E13A5" w:rsidRDefault="00681463">
      <w:pPr>
        <w:pStyle w:val="BodyText"/>
        <w:spacing w:before="139"/>
      </w:pPr>
      <w:r>
        <w:t>The requirement that the PHA apply increased payment standards at the family’s first regular recertification on or after the effective date of the increase does not apply to EHV. The PHA may, but is not required to, establish an alternative policy on when to apply the increased payment standard, provided the increased payment standard is used to calculate the HAP no later than the effective date of the family’s first regular reexamination following the change.</w:t>
      </w:r>
    </w:p>
    <w:p w:rsidR="004E13A5" w:rsidRDefault="00681463">
      <w:pPr>
        <w:pStyle w:val="BodyText"/>
        <w:spacing w:before="139"/>
        <w:ind w:left="820"/>
      </w:pPr>
      <w:r>
        <w:rPr>
          <w:u w:val="single"/>
        </w:rPr>
        <w:t>PHA Policy</w:t>
      </w:r>
    </w:p>
    <w:p w:rsidR="004E13A5" w:rsidRDefault="00681463">
      <w:pPr>
        <w:pStyle w:val="BodyText"/>
        <w:spacing w:before="139"/>
        <w:ind w:left="820" w:right="348"/>
      </w:pPr>
      <w:r>
        <w:t>The PHA will not establish an alternative policy for increases in the payment standard. PHA policy in Section 11-III.B. governing increases in payment standards will apply to EHV.</w:t>
      </w:r>
    </w:p>
    <w:p w:rsidR="004E13A5" w:rsidRDefault="00681463">
      <w:pPr>
        <w:pStyle w:val="Heading4"/>
        <w:numPr>
          <w:ilvl w:val="1"/>
          <w:numId w:val="6"/>
        </w:numPr>
        <w:tabs>
          <w:tab w:val="left" w:pos="641"/>
        </w:tabs>
        <w:spacing w:before="179"/>
        <w:ind w:left="640" w:hanging="540"/>
      </w:pPr>
      <w:r>
        <w:t>TERMINATION OF</w:t>
      </w:r>
      <w:r>
        <w:rPr>
          <w:spacing w:val="-24"/>
        </w:rPr>
        <w:t xml:space="preserve"> </w:t>
      </w:r>
      <w:r>
        <w:t>VOUCHERS</w:t>
      </w:r>
    </w:p>
    <w:p w:rsidR="004E13A5" w:rsidRDefault="00681463">
      <w:pPr>
        <w:pStyle w:val="BodyText"/>
        <w:spacing w:before="139"/>
        <w:ind w:right="402"/>
      </w:pPr>
      <w:r>
        <w:t>After September 30, 2023, a PHA may not reissue EHVs when assistance for an EHV-assisted family ends. This means that when an EHV participant (a family that is receiving rental assistance under a HAP contract) leaves the program for any reason, the PHA may not reissue that EHV to another family unless it does so no later than September 30, 2023.</w:t>
      </w:r>
    </w:p>
    <w:p w:rsidR="004E13A5" w:rsidRDefault="00681463">
      <w:pPr>
        <w:pStyle w:val="BodyText"/>
        <w:spacing w:before="139"/>
        <w:ind w:right="568"/>
      </w:pPr>
      <w:r>
        <w:t>If an applicant family that was issued the EHV is unsuccessful in finding a unit and the EHV expires after September 30, 2023, the EHV may not be reissued to another family.</w:t>
      </w:r>
    </w:p>
    <w:p w:rsidR="004E13A5" w:rsidRDefault="00681463">
      <w:pPr>
        <w:pStyle w:val="BodyText"/>
        <w:spacing w:before="139"/>
        <w:ind w:right="222"/>
      </w:pPr>
      <w:r>
        <w:t>All EHVs under lease on or after October 1, 2023, may not under any circumstances be reissued to another family when the participant leaves the program for any reason.</w:t>
      </w:r>
    </w:p>
    <w:p w:rsidR="004E13A5" w:rsidRDefault="004E13A5">
      <w:pPr>
        <w:sectPr w:rsidR="004E13A5">
          <w:footerReference w:type="default" r:id="rId79"/>
          <w:pgSz w:w="12240" w:h="15840"/>
          <w:pgMar w:top="1420" w:right="1420" w:bottom="280" w:left="1220" w:header="0" w:footer="0" w:gutter="0"/>
          <w:cols w:space="720"/>
        </w:sectPr>
      </w:pPr>
    </w:p>
    <w:p w:rsidR="004E13A5" w:rsidRDefault="00681463">
      <w:pPr>
        <w:pStyle w:val="BodyText"/>
        <w:spacing w:before="79"/>
        <w:ind w:right="96"/>
      </w:pPr>
      <w:r>
        <w:lastRenderedPageBreak/>
        <w:t>An EHV that has never been issued to a family may be initially issued and leased after September 30, 2023, since this prohibition only applies to EHVs that are being reissued upon turnover after assistance to a family has ended. However, HUD may direct PHAs administering EHVs to cease leasing any unleased EHVs if such action is determined necessary by HUD to ensure there will be sufficient funding available to continue to cover the HAP needs of currently assisted EHV families.</w:t>
      </w:r>
    </w:p>
    <w:p w:rsidR="004E13A5" w:rsidRDefault="00681463">
      <w:pPr>
        <w:pStyle w:val="Heading4"/>
        <w:spacing w:before="196"/>
        <w:ind w:left="1031"/>
      </w:pPr>
      <w:r>
        <w:t>PART VI: USE OF FUNDS, REPORTING, AND FINANCIAL RECORDS</w:t>
      </w:r>
    </w:p>
    <w:p w:rsidR="004E13A5" w:rsidRDefault="00681463">
      <w:pPr>
        <w:pStyle w:val="BodyText"/>
        <w:spacing w:before="139"/>
        <w:ind w:right="28"/>
      </w:pPr>
      <w:r>
        <w:t>EHV funds allocated to the PHA for HAP (both funding for the initial allocation and HAP renewal funding) may only be used for eligible EHV HAP purposes. EHV HAP funding obligated to the PHA may not be used for EHV administrative expenses or the other EHV eligible expenses under this notice. Likewise, EHV administrative fees and funding obligated to the PHA are to be used for those purposes and must not be used for HAP.</w:t>
      </w:r>
    </w:p>
    <w:p w:rsidR="004E13A5" w:rsidRDefault="00681463">
      <w:pPr>
        <w:pStyle w:val="BodyText"/>
        <w:spacing w:before="139"/>
        <w:ind w:right="88"/>
      </w:pPr>
      <w:r>
        <w:t>The appropriated funds for EHVs are separate from the regular HCV program and may not be used for the regular HCV program but may only be expended for EHV eligible purposes. EHV HAP funds may not roll into the regular HCV restricted net position (RNP) and must be tracked and accounted for separately as EHV RNP. EHV administrative fees and funding for other eligible expenses permitted by Notice PIH 2021-15 may only be used in support of the EHVs and cannot be used for regular HCVs. EHV funding may not be used for the repayment of debts or any amounts owed to HUD by HUD program participants including, but not limited to, those resulting from Office of Inspector General (OIG), Quality Assurance Division (QAD), or other monitoring review findings.</w:t>
      </w:r>
    </w:p>
    <w:p w:rsidR="004E13A5" w:rsidRDefault="00681463">
      <w:pPr>
        <w:pStyle w:val="BodyText"/>
        <w:spacing w:before="139"/>
      </w:pPr>
      <w:r>
        <w:t>The PHA must comply with EHV reporting requirements in the Voucher Management System (VMS) and Financial Data Schedule (FDS) as outlined in Notice PIH 2021-15.</w:t>
      </w:r>
    </w:p>
    <w:p w:rsidR="004E13A5" w:rsidRDefault="00681463">
      <w:pPr>
        <w:pStyle w:val="BodyText"/>
        <w:spacing w:before="139"/>
        <w:ind w:right="28"/>
      </w:pPr>
      <w:r>
        <w:t>The PHA must maintain complete and accurate accounts and other records for the program and provide HUD and the Comptroller General of the United States full and free access to all accounts and records that are pertinent the administration of the EHVs in accordance with the HCV program requirements at 24 CFR 982.158.</w:t>
      </w:r>
    </w:p>
    <w:p w:rsidR="004E13A5" w:rsidRDefault="004E13A5">
      <w:pPr>
        <w:sectPr w:rsidR="004E13A5">
          <w:footerReference w:type="default" r:id="rId80"/>
          <w:pgSz w:w="12240" w:h="15840"/>
          <w:pgMar w:top="1420" w:right="1560" w:bottom="280" w:left="1220" w:header="0" w:footer="0" w:gutter="0"/>
          <w:cols w:space="720"/>
        </w:sectPr>
      </w:pPr>
    </w:p>
    <w:p w:rsidR="004E13A5" w:rsidRDefault="004E13A5">
      <w:pPr>
        <w:pStyle w:val="BodyText"/>
        <w:spacing w:before="0"/>
        <w:ind w:left="0"/>
        <w:rPr>
          <w:sz w:val="18"/>
        </w:rPr>
      </w:pPr>
    </w:p>
    <w:p w:rsidR="004E13A5" w:rsidRDefault="00681463">
      <w:pPr>
        <w:ind w:left="112"/>
        <w:rPr>
          <w:sz w:val="20"/>
        </w:rPr>
      </w:pPr>
      <w:r>
        <w:rPr>
          <w:spacing w:val="-49"/>
          <w:sz w:val="20"/>
        </w:rPr>
        <w:t xml:space="preserve"> </w:t>
      </w:r>
      <w:r w:rsidR="003263D1">
        <w:rPr>
          <w:noProof/>
          <w:spacing w:val="-49"/>
          <w:sz w:val="20"/>
        </w:rPr>
        <mc:AlternateContent>
          <mc:Choice Requires="wps">
            <w:drawing>
              <wp:inline distT="0" distB="0" distL="0" distR="0">
                <wp:extent cx="6088380" cy="205740"/>
                <wp:effectExtent l="9525" t="9525" r="7620" b="13335"/>
                <wp:docPr id="3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529"/>
                              <w:rPr>
                                <w:b/>
                                <w:sz w:val="24"/>
                              </w:rPr>
                            </w:pPr>
                            <w:r>
                              <w:rPr>
                                <w:b/>
                                <w:sz w:val="24"/>
                              </w:rPr>
                              <w:t>Exhibit TPS-2: HOMELESS PROVIDER’S CERTIFICATION</w:t>
                            </w:r>
                          </w:p>
                        </w:txbxContent>
                      </wps:txbx>
                      <wps:bodyPr rot="0" vert="horz" wrap="square" lIns="0" tIns="0" rIns="0" bIns="0" anchor="t" anchorCtr="0" upright="1">
                        <a:noAutofit/>
                      </wps:bodyPr>
                    </wps:wsp>
                  </a:graphicData>
                </a:graphic>
              </wp:inline>
            </w:drawing>
          </mc:Choice>
          <mc:Fallback>
            <w:pict>
              <v:shape id="Text Box 85" o:spid="_x0000_s1050"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" filled="f" strokeweight=".48pt">
                <v:textbox inset="0,0,0,0">
                  <w:txbxContent>
                    <w:p w:rsidR="00BA59C9" w:rsidRDefault="00BA59C9">
                      <w:pPr>
                        <w:spacing w:before="18"/>
                        <w:ind w:left="1529"/>
                        <w:rPr>
                          <w:b/>
                          <w:sz w:val="24"/>
                        </w:rPr>
                      </w:pPr>
                      <w:r>
                        <w:rPr>
                          <w:b/>
                          <w:sz w:val="24"/>
                        </w:rPr>
                        <w:t>Exhibit TPS-2: HOMELESS PROVIDER’S CERTIFICATION</w:t>
                      </w:r>
                    </w:p>
                  </w:txbxContent>
                </v:textbox>
                <w10:anchorlock/>
              </v:shape>
            </w:pict>
          </mc:Fallback>
        </mc:AlternateContent>
      </w:r>
    </w:p>
    <w:p w:rsidR="004E13A5" w:rsidRDefault="00681463">
      <w:pPr>
        <w:pStyle w:val="Heading5"/>
        <w:spacing w:before="120"/>
        <w:ind w:left="220"/>
      </w:pPr>
      <w:r>
        <w:t>Attachment 3 of Notice PIH 2021-15   Example of a Homeless Provider’s Certification</w:t>
      </w:r>
    </w:p>
    <w:p w:rsidR="004E13A5" w:rsidRDefault="004E13A5">
      <w:pPr>
        <w:pStyle w:val="BodyText"/>
        <w:spacing w:before="0"/>
        <w:ind w:left="0"/>
        <w:rPr>
          <w:b/>
          <w:i/>
          <w:sz w:val="26"/>
        </w:rPr>
      </w:pPr>
    </w:p>
    <w:p w:rsidR="004E13A5" w:rsidRDefault="00681463">
      <w:pPr>
        <w:spacing w:before="211"/>
        <w:ind w:left="359"/>
        <w:rPr>
          <w:rFonts w:ascii="Arial"/>
          <w:b/>
          <w:sz w:val="26"/>
        </w:rPr>
      </w:pPr>
      <w:r>
        <w:rPr>
          <w:rFonts w:ascii="Arial"/>
          <w:b/>
          <w:sz w:val="26"/>
        </w:rPr>
        <w:t>Emergency Housing Voucher (EHV)</w:t>
      </w:r>
    </w:p>
    <w:p w:rsidR="004E13A5" w:rsidRDefault="00681463">
      <w:pPr>
        <w:spacing w:before="184"/>
        <w:ind w:left="359"/>
        <w:rPr>
          <w:rFonts w:ascii="Arial"/>
          <w:b/>
          <w:sz w:val="32"/>
        </w:rPr>
      </w:pPr>
      <w:r>
        <w:rPr>
          <w:rFonts w:ascii="Arial"/>
          <w:b/>
          <w:sz w:val="32"/>
        </w:rPr>
        <w:t>HOMELESS CERTIFICATION</w:t>
      </w:r>
    </w:p>
    <w:p w:rsidR="004E13A5" w:rsidRDefault="00681463">
      <w:pPr>
        <w:tabs>
          <w:tab w:val="left" w:pos="7451"/>
        </w:tabs>
        <w:spacing w:before="238"/>
        <w:ind w:left="364"/>
        <w:rPr>
          <w:rFonts w:ascii="Arial"/>
          <w:sz w:val="20"/>
        </w:rPr>
      </w:pPr>
      <w:r>
        <w:rPr>
          <w:rFonts w:ascii="Arial"/>
          <w:sz w:val="20"/>
        </w:rPr>
        <w:t>EHV Applicant</w:t>
      </w:r>
      <w:r>
        <w:rPr>
          <w:rFonts w:ascii="Arial"/>
          <w:spacing w:val="-25"/>
          <w:sz w:val="20"/>
        </w:rPr>
        <w:t xml:space="preserve"> </w:t>
      </w:r>
      <w:r>
        <w:rPr>
          <w:rFonts w:ascii="Arial"/>
          <w:sz w:val="20"/>
        </w:rPr>
        <w:t>Name:</w:t>
      </w:r>
      <w:r>
        <w:rPr>
          <w:rFonts w:ascii="Arial"/>
          <w:spacing w:val="-1"/>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4E13A5">
      <w:pPr>
        <w:pStyle w:val="BodyText"/>
        <w:spacing w:before="6"/>
        <w:ind w:left="0"/>
        <w:rPr>
          <w:rFonts w:ascii="Arial"/>
          <w:sz w:val="22"/>
        </w:rPr>
      </w:pPr>
    </w:p>
    <w:p w:rsidR="004E13A5" w:rsidRDefault="003263D1">
      <w:pPr>
        <w:spacing w:line="588" w:lineRule="auto"/>
        <w:ind w:left="758" w:right="403"/>
        <w:rPr>
          <w:rFonts w:ascii="Arial"/>
          <w:sz w:val="20"/>
        </w:rPr>
      </w:pPr>
      <w:r>
        <w:rPr>
          <w:noProof/>
        </w:rPr>
        <mc:AlternateContent>
          <mc:Choice Requires="wps">
            <w:drawing>
              <wp:anchor distT="0" distB="0" distL="114300" distR="114300" simplePos="0" relativeHeight="2320" behindDoc="0" locked="0" layoutInCell="1" allowOverlap="1">
                <wp:simplePos x="0" y="0"/>
                <wp:positionH relativeFrom="page">
                  <wp:posOffset>1001395</wp:posOffset>
                </wp:positionH>
                <wp:positionV relativeFrom="paragraph">
                  <wp:posOffset>73660</wp:posOffset>
                </wp:positionV>
                <wp:extent cx="141605" cy="141605"/>
                <wp:effectExtent l="10795" t="6985" r="9525" b="13335"/>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7850" id="Rectangle 23" o:spid="_x0000_s1026" style="position:absolute;margin-left:78.85pt;margin-top:5.8pt;width:11.15pt;height:11.15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ZidQIAAPw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" filled="f" strokeweight=".71pt">
                <w10:wrap anchorx="page"/>
              </v:rect>
            </w:pict>
          </mc:Fallback>
        </mc:AlternateContent>
      </w:r>
      <w:r>
        <w:rPr>
          <w:noProof/>
        </w:rPr>
        <mc:AlternateContent>
          <mc:Choice Requires="wps">
            <w:drawing>
              <wp:anchor distT="0" distB="0" distL="114300" distR="114300" simplePos="0" relativeHeight="2344" behindDoc="0" locked="0" layoutInCell="1" allowOverlap="1">
                <wp:simplePos x="0" y="0"/>
                <wp:positionH relativeFrom="page">
                  <wp:posOffset>1001395</wp:posOffset>
                </wp:positionH>
                <wp:positionV relativeFrom="paragraph">
                  <wp:posOffset>431165</wp:posOffset>
                </wp:positionV>
                <wp:extent cx="141605" cy="141605"/>
                <wp:effectExtent l="10795" t="12065" r="9525" b="8255"/>
                <wp:wrapNone/>
                <wp:docPr id="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20FEC" id="Rectangle 22" o:spid="_x0000_s1026" style="position:absolute;margin-left:78.85pt;margin-top:33.95pt;width:11.15pt;height:11.15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u1dg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" filled="f" strokeweight=".71pt">
                <w10:wrap anchorx="page"/>
              </v:rect>
            </w:pict>
          </mc:Fallback>
        </mc:AlternateContent>
      </w:r>
      <w:r w:rsidR="00681463">
        <w:rPr>
          <w:rFonts w:ascii="Arial"/>
          <w:sz w:val="20"/>
        </w:rPr>
        <w:t>Household without dependent children (complete one form for each adult in the household) Household with dependent children (complete one form for household)</w:t>
      </w:r>
    </w:p>
    <w:p w:rsidR="004E13A5" w:rsidRDefault="00681463">
      <w:pPr>
        <w:tabs>
          <w:tab w:val="left" w:pos="4588"/>
        </w:tabs>
        <w:spacing w:before="148"/>
        <w:ind w:left="758"/>
        <w:rPr>
          <w:rFonts w:ascii="Arial"/>
          <w:sz w:val="20"/>
        </w:rPr>
      </w:pPr>
      <w:r>
        <w:rPr>
          <w:rFonts w:ascii="Arial"/>
          <w:sz w:val="20"/>
        </w:rPr>
        <w:t>Number of persons in the</w:t>
      </w:r>
      <w:r>
        <w:rPr>
          <w:rFonts w:ascii="Arial"/>
          <w:spacing w:val="-34"/>
          <w:sz w:val="20"/>
        </w:rPr>
        <w:t xml:space="preserve"> </w:t>
      </w:r>
      <w:r>
        <w:rPr>
          <w:rFonts w:ascii="Arial"/>
          <w:sz w:val="20"/>
        </w:rPr>
        <w:t xml:space="preserve">household: </w:t>
      </w:r>
      <w:r>
        <w:rPr>
          <w:rFonts w:ascii="Arial"/>
          <w:spacing w:val="2"/>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4E13A5">
      <w:pPr>
        <w:pStyle w:val="BodyText"/>
        <w:spacing w:before="6"/>
        <w:ind w:left="0"/>
        <w:rPr>
          <w:rFonts w:ascii="Arial"/>
          <w:sz w:val="18"/>
        </w:rPr>
      </w:pPr>
    </w:p>
    <w:p w:rsidR="004E13A5" w:rsidRDefault="00681463">
      <w:pPr>
        <w:spacing w:before="1" w:line="259" w:lineRule="auto"/>
        <w:ind w:left="359" w:right="403"/>
        <w:rPr>
          <w:rFonts w:ascii="Arial"/>
          <w:b/>
          <w:sz w:val="20"/>
        </w:rPr>
      </w:pPr>
      <w:r>
        <w:rPr>
          <w:rFonts w:ascii="Arial"/>
          <w:b/>
          <w:sz w:val="20"/>
        </w:rPr>
        <w:t>This is to certify that the above named individual or household meets the following criteria based on the check mark, other indicated information, and signature indicating their current living situation-</w:t>
      </w:r>
    </w:p>
    <w:p w:rsidR="004E13A5" w:rsidRDefault="00681463">
      <w:pPr>
        <w:spacing w:before="138"/>
        <w:ind w:left="2459"/>
        <w:rPr>
          <w:rFonts w:ascii="Arial"/>
          <w:b/>
          <w:sz w:val="20"/>
        </w:rPr>
      </w:pPr>
      <w:r>
        <w:rPr>
          <w:rFonts w:ascii="Arial"/>
          <w:b/>
          <w:sz w:val="20"/>
        </w:rPr>
        <w:t>Check only one box and complete only that section</w:t>
      </w:r>
    </w:p>
    <w:p w:rsidR="004E13A5" w:rsidRDefault="004E13A5">
      <w:pPr>
        <w:pStyle w:val="BodyText"/>
        <w:spacing w:before="0"/>
        <w:ind w:left="0"/>
        <w:rPr>
          <w:rFonts w:ascii="Arial"/>
          <w:b/>
          <w:sz w:val="20"/>
        </w:rPr>
      </w:pPr>
    </w:p>
    <w:p w:rsidR="004E13A5" w:rsidRDefault="003263D1">
      <w:pPr>
        <w:pStyle w:val="BodyText"/>
        <w:spacing w:before="8"/>
        <w:ind w:left="0"/>
        <w:rPr>
          <w:rFonts w:ascii="Arial"/>
          <w:b/>
          <w:sz w:val="10"/>
        </w:rPr>
      </w:pPr>
      <w:r>
        <w:rPr>
          <w:noProof/>
        </w:rPr>
        <mc:AlternateContent>
          <mc:Choice Requires="wps">
            <w:drawing>
              <wp:anchor distT="0" distB="0" distL="0" distR="0" simplePos="0" relativeHeight="2200" behindDoc="0" locked="0" layoutInCell="1" allowOverlap="1">
                <wp:simplePos x="0" y="0"/>
                <wp:positionH relativeFrom="page">
                  <wp:posOffset>911860</wp:posOffset>
                </wp:positionH>
                <wp:positionV relativeFrom="paragraph">
                  <wp:posOffset>116205</wp:posOffset>
                </wp:positionV>
                <wp:extent cx="5939790" cy="0"/>
                <wp:effectExtent l="16510" t="20955" r="15875" b="17145"/>
                <wp:wrapTopAndBottom/>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5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AE57A" id="Line 21"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9.15pt" to="53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6P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" strokeweight="2.03pt">
                <w10:wrap type="topAndBottom" anchorx="page"/>
              </v:line>
            </w:pict>
          </mc:Fallback>
        </mc:AlternateContent>
      </w:r>
    </w:p>
    <w:p w:rsidR="004E13A5" w:rsidRDefault="004E13A5">
      <w:pPr>
        <w:pStyle w:val="BodyText"/>
        <w:spacing w:before="6"/>
        <w:ind w:left="0"/>
        <w:rPr>
          <w:rFonts w:ascii="Arial"/>
          <w:b/>
          <w:sz w:val="29"/>
        </w:rPr>
      </w:pPr>
    </w:p>
    <w:p w:rsidR="004E13A5" w:rsidRDefault="00681463">
      <w:pPr>
        <w:spacing w:line="285" w:lineRule="auto"/>
        <w:ind w:left="218"/>
        <w:rPr>
          <w:rFonts w:ascii="Arial"/>
          <w:b/>
          <w:sz w:val="20"/>
        </w:rPr>
      </w:pPr>
      <w:r>
        <w:rPr>
          <w:rFonts w:ascii="Arial"/>
          <w:b/>
          <w:sz w:val="20"/>
        </w:rPr>
        <w:t>Living Situation: place not meant for human habitation (e.g., cars, parks, abandoned buildings, streets/sidewalks)</w:t>
      </w:r>
    </w:p>
    <w:p w:rsidR="004E13A5" w:rsidRDefault="004E13A5">
      <w:pPr>
        <w:pStyle w:val="BodyText"/>
        <w:spacing w:before="0"/>
        <w:ind w:left="0"/>
        <w:rPr>
          <w:rFonts w:ascii="Arial"/>
          <w:b/>
          <w:sz w:val="22"/>
        </w:rPr>
      </w:pPr>
    </w:p>
    <w:p w:rsidR="004E13A5" w:rsidRDefault="004E13A5">
      <w:pPr>
        <w:pStyle w:val="BodyText"/>
        <w:spacing w:before="4"/>
        <w:ind w:left="0"/>
        <w:rPr>
          <w:rFonts w:ascii="Arial"/>
          <w:b/>
          <w:sz w:val="32"/>
        </w:rPr>
      </w:pPr>
    </w:p>
    <w:p w:rsidR="004E13A5" w:rsidRDefault="003263D1">
      <w:pPr>
        <w:spacing w:line="259" w:lineRule="auto"/>
        <w:ind w:left="359" w:right="662" w:firstLine="367"/>
        <w:rPr>
          <w:rFonts w:ascii="Arial"/>
          <w:sz w:val="20"/>
        </w:rPr>
      </w:pPr>
      <w:r>
        <w:rPr>
          <w:noProof/>
        </w:rPr>
        <mc:AlternateContent>
          <mc:Choice Requires="wps">
            <w:drawing>
              <wp:anchor distT="0" distB="0" distL="114300" distR="114300" simplePos="0" relativeHeight="503039768" behindDoc="1" locked="0" layoutInCell="1" allowOverlap="1">
                <wp:simplePos x="0" y="0"/>
                <wp:positionH relativeFrom="page">
                  <wp:posOffset>989965</wp:posOffset>
                </wp:positionH>
                <wp:positionV relativeFrom="paragraph">
                  <wp:posOffset>635</wp:posOffset>
                </wp:positionV>
                <wp:extent cx="166370" cy="141605"/>
                <wp:effectExtent l="8890" t="10160" r="5715" b="10160"/>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98D38" id="Rectangle 20" o:spid="_x0000_s1026" style="position:absolute;margin-left:77.95pt;margin-top:.05pt;width:13.1pt;height:11.15pt;z-index:-27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" filled="f" strokeweight=".71pt">
                <w10:wrap anchorx="page"/>
              </v:rect>
            </w:pict>
          </mc:Fallback>
        </mc:AlternateContent>
      </w:r>
      <w:r w:rsidR="00681463">
        <w:rPr>
          <w:rFonts w:ascii="Arial"/>
          <w:sz w:val="20"/>
        </w:rPr>
        <w:t>The person(s) named above is/are currently living in (or, if currently in hospital or other institution, was living in immediately prior to hospital/institution admission) a public or private place not designed for, or ordinarily used as a regular sleeping accommodation for human beings, including a car, park, abandoned building, bus station, airport, or camp ground.</w:t>
      </w:r>
    </w:p>
    <w:p w:rsidR="004E13A5" w:rsidRDefault="00681463">
      <w:pPr>
        <w:spacing w:before="160"/>
        <w:ind w:left="362" w:hanging="3"/>
        <w:rPr>
          <w:rFonts w:ascii="Arial"/>
          <w:sz w:val="20"/>
        </w:rPr>
      </w:pPr>
      <w:r>
        <w:rPr>
          <w:rFonts w:ascii="Arial"/>
          <w:sz w:val="20"/>
        </w:rPr>
        <w:t>Description of current living situation:</w:t>
      </w:r>
    </w:p>
    <w:p w:rsidR="004E13A5" w:rsidRDefault="004E13A5">
      <w:pPr>
        <w:pStyle w:val="BodyText"/>
        <w:spacing w:before="0"/>
        <w:ind w:left="0"/>
        <w:rPr>
          <w:rFonts w:ascii="Arial"/>
          <w:sz w:val="20"/>
        </w:rPr>
      </w:pPr>
    </w:p>
    <w:p w:rsidR="004E13A5" w:rsidRDefault="003263D1">
      <w:pPr>
        <w:pStyle w:val="BodyText"/>
        <w:spacing w:before="4"/>
        <w:ind w:left="0"/>
        <w:rPr>
          <w:rFonts w:ascii="Arial"/>
          <w:sz w:val="12"/>
        </w:rPr>
      </w:pPr>
      <w:r>
        <w:rPr>
          <w:noProof/>
        </w:rPr>
        <mc:AlternateContent>
          <mc:Choice Requires="wps">
            <w:drawing>
              <wp:anchor distT="0" distB="0" distL="0" distR="0" simplePos="0" relativeHeight="2224" behindDoc="0" locked="0" layoutInCell="1" allowOverlap="1">
                <wp:simplePos x="0" y="0"/>
                <wp:positionH relativeFrom="page">
                  <wp:posOffset>914400</wp:posOffset>
                </wp:positionH>
                <wp:positionV relativeFrom="paragraph">
                  <wp:posOffset>120015</wp:posOffset>
                </wp:positionV>
                <wp:extent cx="5911850" cy="0"/>
                <wp:effectExtent l="9525" t="5715" r="12700" b="13335"/>
                <wp:wrapTopAndBottom/>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A9BB" id="Line 19" o:spid="_x0000_s1026" style="position:absolute;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5pt" to="53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" strokeweight=".25258mm">
                <w10:wrap type="topAndBottom" anchorx="page"/>
              </v:line>
            </w:pict>
          </mc:Fallback>
        </mc:AlternateContent>
      </w:r>
      <w:r>
        <w:rPr>
          <w:noProof/>
        </w:rPr>
        <mc:AlternateContent>
          <mc:Choice Requires="wps">
            <w:drawing>
              <wp:anchor distT="0" distB="0" distL="0" distR="0" simplePos="0" relativeHeight="2248" behindDoc="0" locked="0" layoutInCell="1" allowOverlap="1">
                <wp:simplePos x="0" y="0"/>
                <wp:positionH relativeFrom="page">
                  <wp:posOffset>914400</wp:posOffset>
                </wp:positionH>
                <wp:positionV relativeFrom="paragraph">
                  <wp:posOffset>316865</wp:posOffset>
                </wp:positionV>
                <wp:extent cx="5911850" cy="0"/>
                <wp:effectExtent l="9525" t="12065" r="12700" b="6985"/>
                <wp:wrapTopAndBottom/>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5DCD" id="Line 18"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95pt" to="53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" strokeweight=".25258mm">
                <w10:wrap type="topAndBottom" anchorx="page"/>
              </v:line>
            </w:pict>
          </mc:Fallback>
        </mc:AlternateContent>
      </w:r>
      <w:r>
        <w:rPr>
          <w:noProof/>
        </w:rPr>
        <mc:AlternateContent>
          <mc:Choice Requires="wps">
            <w:drawing>
              <wp:anchor distT="0" distB="0" distL="0" distR="0" simplePos="0" relativeHeight="2272" behindDoc="0" locked="0" layoutInCell="1" allowOverlap="1">
                <wp:simplePos x="0" y="0"/>
                <wp:positionH relativeFrom="page">
                  <wp:posOffset>914400</wp:posOffset>
                </wp:positionH>
                <wp:positionV relativeFrom="paragraph">
                  <wp:posOffset>513080</wp:posOffset>
                </wp:positionV>
                <wp:extent cx="3199765" cy="0"/>
                <wp:effectExtent l="9525" t="8255" r="10160" b="10795"/>
                <wp:wrapTopAndBottom/>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8583" id="Line 17"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0.4pt" to="323.9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" strokeweight=".25258mm">
                <w10:wrap type="topAndBottom" anchorx="page"/>
              </v:line>
            </w:pict>
          </mc:Fallback>
        </mc:AlternateContent>
      </w:r>
    </w:p>
    <w:p w:rsidR="004E13A5" w:rsidRDefault="004E13A5">
      <w:pPr>
        <w:pStyle w:val="BodyText"/>
        <w:spacing w:before="8"/>
        <w:ind w:left="0"/>
        <w:rPr>
          <w:rFonts w:ascii="Arial"/>
          <w:sz w:val="19"/>
        </w:rPr>
      </w:pPr>
    </w:p>
    <w:p w:rsidR="004E13A5" w:rsidRDefault="004E13A5">
      <w:pPr>
        <w:pStyle w:val="BodyText"/>
        <w:spacing w:before="7"/>
        <w:ind w:left="0"/>
        <w:rPr>
          <w:rFonts w:ascii="Arial"/>
          <w:sz w:val="19"/>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10"/>
        <w:ind w:left="0"/>
        <w:rPr>
          <w:rFonts w:ascii="Arial"/>
          <w:sz w:val="17"/>
        </w:rPr>
      </w:pPr>
    </w:p>
    <w:p w:rsidR="004E13A5" w:rsidRDefault="00681463">
      <w:pPr>
        <w:spacing w:before="1"/>
        <w:ind w:left="362"/>
        <w:rPr>
          <w:rFonts w:ascii="Arial"/>
          <w:sz w:val="20"/>
        </w:rPr>
      </w:pPr>
      <w:r>
        <w:rPr>
          <w:rFonts w:ascii="Arial"/>
          <w:sz w:val="20"/>
        </w:rPr>
        <w:t>Homeless Street Outreach Program</w:t>
      </w:r>
    </w:p>
    <w:p w:rsidR="004E13A5" w:rsidRDefault="00681463">
      <w:pPr>
        <w:tabs>
          <w:tab w:val="left" w:pos="9045"/>
        </w:tabs>
        <w:spacing w:before="142"/>
        <w:ind w:left="359"/>
        <w:rPr>
          <w:rFonts w:ascii="Arial"/>
          <w:sz w:val="20"/>
        </w:rPr>
      </w:pPr>
      <w:r>
        <w:rPr>
          <w:rFonts w:ascii="Arial"/>
          <w:sz w:val="20"/>
        </w:rPr>
        <w:t>Name:</w:t>
      </w:r>
      <w:r>
        <w:rPr>
          <w:rFonts w:ascii="Arial"/>
          <w:w w:val="99"/>
          <w:sz w:val="20"/>
          <w:u w:val="single"/>
        </w:rPr>
        <w:t xml:space="preserve"> </w:t>
      </w:r>
      <w:r>
        <w:rPr>
          <w:rFonts w:ascii="Arial"/>
          <w:sz w:val="20"/>
          <w:u w:val="single"/>
        </w:rPr>
        <w:tab/>
      </w:r>
    </w:p>
    <w:p w:rsidR="004E13A5" w:rsidRDefault="004E13A5">
      <w:pPr>
        <w:rPr>
          <w:rFonts w:ascii="Arial"/>
          <w:sz w:val="20"/>
        </w:rPr>
        <w:sectPr w:rsidR="004E13A5">
          <w:footerReference w:type="default" r:id="rId81"/>
          <w:pgSz w:w="12240" w:h="15840"/>
          <w:pgMar w:top="1500" w:right="1200" w:bottom="280" w:left="1220" w:header="0" w:footer="0" w:gutter="0"/>
          <w:cols w:space="720"/>
        </w:sectPr>
      </w:pPr>
    </w:p>
    <w:p w:rsidR="004E13A5" w:rsidRDefault="00681463">
      <w:pPr>
        <w:spacing w:before="80" w:line="276" w:lineRule="auto"/>
        <w:ind w:left="279" w:right="448"/>
        <w:rPr>
          <w:rFonts w:ascii="Arial"/>
          <w:i/>
          <w:sz w:val="20"/>
        </w:rPr>
      </w:pPr>
      <w:r>
        <w:rPr>
          <w:rFonts w:ascii="Arial"/>
          <w:i/>
          <w:sz w:val="20"/>
        </w:rPr>
        <w:lastRenderedPageBreak/>
        <w:t>This certifying agency must be recognized by the local Continuum of Care (CoC) as an agency that has a program designed to serve persons living on the street or other places not meant for human habitation. Examples may be street outreach workers, day shelters, soup kitchens, Health Care for the Homeless sites, etc.</w:t>
      </w:r>
    </w:p>
    <w:p w:rsidR="004E13A5" w:rsidRDefault="004E13A5">
      <w:pPr>
        <w:pStyle w:val="BodyText"/>
        <w:spacing w:before="0"/>
        <w:ind w:left="0"/>
        <w:rPr>
          <w:rFonts w:ascii="Arial"/>
          <w:i/>
          <w:sz w:val="22"/>
        </w:rPr>
      </w:pPr>
    </w:p>
    <w:p w:rsidR="004E13A5" w:rsidRDefault="004E13A5">
      <w:pPr>
        <w:pStyle w:val="BodyText"/>
        <w:spacing w:before="3"/>
        <w:ind w:left="0"/>
        <w:rPr>
          <w:rFonts w:ascii="Arial"/>
          <w:i/>
          <w:sz w:val="23"/>
        </w:rPr>
      </w:pPr>
    </w:p>
    <w:p w:rsidR="004E13A5" w:rsidRDefault="00681463">
      <w:pPr>
        <w:tabs>
          <w:tab w:val="left" w:pos="4037"/>
          <w:tab w:val="left" w:pos="8560"/>
        </w:tabs>
        <w:spacing w:before="1" w:line="273" w:lineRule="auto"/>
        <w:ind w:left="1004" w:right="1057" w:hanging="720"/>
        <w:rPr>
          <w:rFonts w:ascii="Arial"/>
          <w:sz w:val="20"/>
        </w:rPr>
      </w:pPr>
      <w:r>
        <w:rPr>
          <w:rFonts w:ascii="Arial"/>
          <w:sz w:val="20"/>
        </w:rPr>
        <w:t>Authorized Agency</w:t>
      </w:r>
      <w:r>
        <w:rPr>
          <w:rFonts w:ascii="Arial"/>
          <w:spacing w:val="-33"/>
          <w:sz w:val="20"/>
        </w:rPr>
        <w:t xml:space="preserve"> </w:t>
      </w:r>
      <w:r>
        <w:rPr>
          <w:rFonts w:ascii="Arial"/>
          <w:sz w:val="20"/>
        </w:rPr>
        <w:t>Representative</w:t>
      </w:r>
      <w:r>
        <w:rPr>
          <w:rFonts w:ascii="Arial"/>
          <w:spacing w:val="-13"/>
          <w:sz w:val="20"/>
        </w:rPr>
        <w:t xml:space="preserve"> </w:t>
      </w:r>
      <w:r>
        <w:rPr>
          <w:rFonts w:ascii="Arial"/>
          <w:sz w:val="20"/>
        </w:rPr>
        <w:t xml:space="preserve">Signature: </w:t>
      </w:r>
      <w:r>
        <w:rPr>
          <w:rFonts w:ascii="Arial"/>
          <w:spacing w:val="1"/>
          <w:sz w:val="20"/>
        </w:rPr>
        <w:t xml:space="preserve"> </w:t>
      </w:r>
      <w:r>
        <w:rPr>
          <w:rFonts w:ascii="Arial"/>
          <w:w w:val="99"/>
          <w:sz w:val="20"/>
          <w:u w:val="single"/>
        </w:rPr>
        <w:t xml:space="preserve"> </w:t>
      </w:r>
      <w:r>
        <w:rPr>
          <w:rFonts w:ascii="Arial"/>
          <w:sz w:val="20"/>
          <w:u w:val="single"/>
        </w:rPr>
        <w:tab/>
      </w:r>
      <w:r>
        <w:rPr>
          <w:rFonts w:ascii="Arial"/>
          <w:sz w:val="20"/>
        </w:rPr>
        <w:t xml:space="preserve"> Date:</w:t>
      </w:r>
      <w:r>
        <w:rPr>
          <w:rFonts w:ascii="Arial"/>
          <w:spacing w:val="1"/>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3263D1">
      <w:pPr>
        <w:pStyle w:val="BodyText"/>
        <w:spacing w:before="9"/>
        <w:ind w:left="0"/>
        <w:rPr>
          <w:rFonts w:ascii="Arial"/>
          <w:sz w:val="17"/>
        </w:rPr>
      </w:pPr>
      <w:r>
        <w:rPr>
          <w:noProof/>
        </w:rPr>
        <mc:AlternateContent>
          <mc:Choice Requires="wps">
            <w:drawing>
              <wp:anchor distT="0" distB="0" distL="0" distR="0" simplePos="0" relativeHeight="2368" behindDoc="0" locked="0" layoutInCell="1" allowOverlap="1">
                <wp:simplePos x="0" y="0"/>
                <wp:positionH relativeFrom="page">
                  <wp:posOffset>911860</wp:posOffset>
                </wp:positionH>
                <wp:positionV relativeFrom="paragraph">
                  <wp:posOffset>167005</wp:posOffset>
                </wp:positionV>
                <wp:extent cx="5939790" cy="0"/>
                <wp:effectExtent l="16510" t="14605" r="15875" b="13970"/>
                <wp:wrapTopAndBottom/>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42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1C35" id="Line 16" o:spid="_x0000_s1026" style="position:absolute;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3.15pt" to="53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ce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" strokeweight="1.91pt">
                <w10:wrap type="topAndBottom" anchorx="page"/>
              </v:line>
            </w:pict>
          </mc:Fallback>
        </mc:AlternateContent>
      </w:r>
    </w:p>
    <w:p w:rsidR="004E13A5" w:rsidRDefault="004E13A5">
      <w:pPr>
        <w:rPr>
          <w:rFonts w:ascii="Arial"/>
          <w:sz w:val="17"/>
        </w:rPr>
        <w:sectPr w:rsidR="004E13A5">
          <w:footerReference w:type="default" r:id="rId82"/>
          <w:pgSz w:w="12240" w:h="15840"/>
          <w:pgMar w:top="1420" w:right="1320" w:bottom="280" w:left="1300" w:header="0" w:footer="0" w:gutter="0"/>
          <w:cols w:space="720"/>
        </w:sectPr>
      </w:pPr>
    </w:p>
    <w:p w:rsidR="004E13A5" w:rsidRDefault="00681463">
      <w:pPr>
        <w:spacing w:before="79"/>
        <w:ind w:left="282"/>
        <w:jc w:val="both"/>
        <w:rPr>
          <w:rFonts w:ascii="Arial"/>
          <w:b/>
          <w:sz w:val="20"/>
        </w:rPr>
      </w:pPr>
      <w:r>
        <w:rPr>
          <w:rFonts w:ascii="Arial"/>
          <w:b/>
          <w:sz w:val="20"/>
        </w:rPr>
        <w:lastRenderedPageBreak/>
        <w:t>Living Situation: Emergency Shelter</w:t>
      </w:r>
    </w:p>
    <w:p w:rsidR="004E13A5" w:rsidRDefault="004E13A5">
      <w:pPr>
        <w:pStyle w:val="BodyText"/>
        <w:spacing w:before="0"/>
        <w:ind w:left="0"/>
        <w:rPr>
          <w:rFonts w:ascii="Arial"/>
          <w:b/>
          <w:sz w:val="22"/>
        </w:rPr>
      </w:pPr>
    </w:p>
    <w:p w:rsidR="004E13A5" w:rsidRDefault="004E13A5">
      <w:pPr>
        <w:pStyle w:val="BodyText"/>
        <w:spacing w:before="5"/>
        <w:ind w:left="0"/>
        <w:rPr>
          <w:rFonts w:ascii="Arial"/>
          <w:b/>
          <w:sz w:val="30"/>
        </w:rPr>
      </w:pPr>
    </w:p>
    <w:p w:rsidR="004E13A5" w:rsidRDefault="003263D1">
      <w:pPr>
        <w:spacing w:line="259" w:lineRule="auto"/>
        <w:ind w:left="282" w:right="629" w:firstLine="367"/>
        <w:rPr>
          <w:rFonts w:ascii="Arial"/>
          <w:sz w:val="20"/>
        </w:rPr>
      </w:pPr>
      <w:r>
        <w:rPr>
          <w:noProof/>
        </w:rPr>
        <mc:AlternateContent>
          <mc:Choice Requires="wps">
            <w:drawing>
              <wp:anchor distT="0" distB="0" distL="114300" distR="114300" simplePos="0" relativeHeight="503039936" behindDoc="1" locked="0" layoutInCell="1" allowOverlap="1">
                <wp:simplePos x="0" y="0"/>
                <wp:positionH relativeFrom="page">
                  <wp:posOffset>1007110</wp:posOffset>
                </wp:positionH>
                <wp:positionV relativeFrom="paragraph">
                  <wp:posOffset>1270</wp:posOffset>
                </wp:positionV>
                <wp:extent cx="156845" cy="141605"/>
                <wp:effectExtent l="6985" t="10795" r="7620" b="9525"/>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511A" id="Rectangle 15" o:spid="_x0000_s1026" style="position:absolute;margin-left:79.3pt;margin-top:.1pt;width:12.35pt;height:11.15pt;z-index:-27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" filled="f" strokeweight=".71pt">
                <w10:wrap anchorx="page"/>
              </v:rect>
            </w:pict>
          </mc:Fallback>
        </mc:AlternateContent>
      </w:r>
      <w:r w:rsidR="00681463">
        <w:rPr>
          <w:rFonts w:ascii="Arial"/>
          <w:sz w:val="20"/>
        </w:rPr>
        <w:t>The person(s) named above is/are currently living in (or, if currently in hospital or other institution, was living in immediately prior to hospital/institution admission) a supervised publicly or privately operated shelter as follows:</w:t>
      </w: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681463">
      <w:pPr>
        <w:spacing w:before="192"/>
        <w:ind w:left="282"/>
        <w:jc w:val="both"/>
        <w:rPr>
          <w:rFonts w:ascii="Arial"/>
          <w:sz w:val="20"/>
        </w:rPr>
      </w:pPr>
      <w:r>
        <w:rPr>
          <w:rFonts w:ascii="Arial"/>
          <w:sz w:val="20"/>
        </w:rPr>
        <w:t>Emergency Shelter Program Name:</w:t>
      </w:r>
    </w:p>
    <w:p w:rsidR="004E13A5" w:rsidRDefault="004E13A5">
      <w:pPr>
        <w:pStyle w:val="BodyText"/>
        <w:spacing w:before="0"/>
        <w:ind w:left="0"/>
        <w:rPr>
          <w:rFonts w:ascii="Arial"/>
          <w:sz w:val="20"/>
        </w:rPr>
      </w:pPr>
    </w:p>
    <w:p w:rsidR="004E13A5" w:rsidRDefault="003263D1">
      <w:pPr>
        <w:pStyle w:val="BodyText"/>
        <w:spacing w:before="10"/>
        <w:ind w:left="0"/>
        <w:rPr>
          <w:rFonts w:ascii="Arial"/>
          <w:sz w:val="10"/>
        </w:rPr>
      </w:pPr>
      <w:r>
        <w:rPr>
          <w:noProof/>
        </w:rPr>
        <mc:AlternateContent>
          <mc:Choice Requires="wps">
            <w:drawing>
              <wp:anchor distT="0" distB="0" distL="0" distR="0" simplePos="0" relativeHeight="2392" behindDoc="0" locked="0" layoutInCell="1" allowOverlap="1">
                <wp:simplePos x="0" y="0"/>
                <wp:positionH relativeFrom="page">
                  <wp:posOffset>914400</wp:posOffset>
                </wp:positionH>
                <wp:positionV relativeFrom="paragraph">
                  <wp:posOffset>108585</wp:posOffset>
                </wp:positionV>
                <wp:extent cx="4243705" cy="0"/>
                <wp:effectExtent l="9525" t="13335" r="13970" b="5715"/>
                <wp:wrapTopAndBottom/>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3705"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B5468" id="Line 14" o:spid="_x0000_s1026" style="position:absolute;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40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" strokeweight=".25258mm">
                <w10:wrap type="topAndBottom" anchorx="page"/>
              </v:line>
            </w:pict>
          </mc:Fallback>
        </mc:AlternateContent>
      </w: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681463">
      <w:pPr>
        <w:spacing w:before="148" w:line="276" w:lineRule="auto"/>
        <w:ind w:left="282" w:right="321"/>
        <w:jc w:val="both"/>
        <w:rPr>
          <w:rFonts w:ascii="Arial" w:hAnsi="Arial"/>
          <w:i/>
          <w:sz w:val="20"/>
        </w:rPr>
      </w:pPr>
      <w:r>
        <w:rPr>
          <w:rFonts w:ascii="Arial" w:hAnsi="Arial"/>
          <w:i/>
          <w:sz w:val="20"/>
        </w:rPr>
        <w:t>This emergency shelter must appear on the CoC’s Housing Inventory Chart submitted as part of the most recent CoC Homeless Assistance application to HUD or otherwise be recognized by the CoC as part of the CoC inventory (e.g., newly established Emergency Shelter).</w:t>
      </w:r>
    </w:p>
    <w:p w:rsidR="004E13A5" w:rsidRDefault="004E13A5">
      <w:pPr>
        <w:pStyle w:val="BodyText"/>
        <w:spacing w:before="0"/>
        <w:ind w:left="0"/>
        <w:rPr>
          <w:rFonts w:ascii="Arial"/>
          <w:i/>
          <w:sz w:val="22"/>
        </w:rPr>
      </w:pPr>
    </w:p>
    <w:p w:rsidR="004E13A5" w:rsidRDefault="004E13A5">
      <w:pPr>
        <w:pStyle w:val="BodyText"/>
        <w:spacing w:before="2"/>
        <w:ind w:left="0"/>
        <w:rPr>
          <w:rFonts w:ascii="Arial"/>
          <w:i/>
          <w:sz w:val="26"/>
        </w:rPr>
      </w:pPr>
    </w:p>
    <w:p w:rsidR="004E13A5" w:rsidRDefault="00681463">
      <w:pPr>
        <w:tabs>
          <w:tab w:val="left" w:pos="8969"/>
        </w:tabs>
        <w:ind w:left="282"/>
        <w:jc w:val="both"/>
        <w:rPr>
          <w:rFonts w:ascii="Arial"/>
          <w:sz w:val="20"/>
        </w:rPr>
      </w:pPr>
      <w:r>
        <w:rPr>
          <w:rFonts w:ascii="Arial"/>
          <w:sz w:val="20"/>
        </w:rPr>
        <w:t>Authorized Agency</w:t>
      </w:r>
      <w:r>
        <w:rPr>
          <w:rFonts w:ascii="Arial"/>
          <w:spacing w:val="-20"/>
          <w:sz w:val="20"/>
        </w:rPr>
        <w:t xml:space="preserve"> </w:t>
      </w:r>
      <w:r>
        <w:rPr>
          <w:rFonts w:ascii="Arial"/>
          <w:sz w:val="20"/>
        </w:rPr>
        <w:t>Representative</w:t>
      </w:r>
      <w:r>
        <w:rPr>
          <w:rFonts w:ascii="Arial"/>
          <w:spacing w:val="-7"/>
          <w:sz w:val="20"/>
        </w:rPr>
        <w:t xml:space="preserve"> </w:t>
      </w:r>
      <w:r>
        <w:rPr>
          <w:rFonts w:ascii="Arial"/>
          <w:sz w:val="20"/>
        </w:rPr>
        <w:t>Signature:</w:t>
      </w:r>
      <w:r>
        <w:rPr>
          <w:rFonts w:ascii="Arial"/>
          <w:sz w:val="20"/>
          <w:u w:val="single"/>
        </w:rPr>
        <w:t xml:space="preserve"> </w:t>
      </w:r>
      <w:r>
        <w:rPr>
          <w:rFonts w:ascii="Arial"/>
          <w:sz w:val="20"/>
          <w:u w:val="single"/>
        </w:rPr>
        <w:tab/>
      </w:r>
      <w:r>
        <w:rPr>
          <w:rFonts w:ascii="Arial"/>
          <w:sz w:val="20"/>
        </w:rPr>
        <w:t>Date</w:t>
      </w:r>
    </w:p>
    <w:p w:rsidR="004E13A5" w:rsidRDefault="00681463">
      <w:pPr>
        <w:tabs>
          <w:tab w:val="left" w:pos="4040"/>
        </w:tabs>
        <w:spacing w:before="142"/>
        <w:ind w:left="1001"/>
        <w:rPr>
          <w:rFonts w:ascii="Arial"/>
          <w:sz w:val="20"/>
        </w:rPr>
      </w:pPr>
      <w:r>
        <w:rPr>
          <w:rFonts w:ascii="Arial"/>
          <w:sz w:val="20"/>
        </w:rPr>
        <w:t>:</w:t>
      </w:r>
      <w:r>
        <w:rPr>
          <w:rFonts w:ascii="Arial"/>
          <w:spacing w:val="-1"/>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3263D1">
      <w:pPr>
        <w:pStyle w:val="BodyText"/>
        <w:spacing w:before="7"/>
        <w:ind w:left="0"/>
        <w:rPr>
          <w:rFonts w:ascii="Arial"/>
          <w:sz w:val="20"/>
        </w:rPr>
      </w:pPr>
      <w:r>
        <w:rPr>
          <w:noProof/>
        </w:rPr>
        <mc:AlternateContent>
          <mc:Choice Requires="wps">
            <w:drawing>
              <wp:anchor distT="0" distB="0" distL="0" distR="0" simplePos="0" relativeHeight="2416" behindDoc="0" locked="0" layoutInCell="1" allowOverlap="1">
                <wp:simplePos x="0" y="0"/>
                <wp:positionH relativeFrom="page">
                  <wp:posOffset>911860</wp:posOffset>
                </wp:positionH>
                <wp:positionV relativeFrom="paragraph">
                  <wp:posOffset>188595</wp:posOffset>
                </wp:positionV>
                <wp:extent cx="5939790" cy="0"/>
                <wp:effectExtent l="16510" t="17145" r="15875" b="20955"/>
                <wp:wrapTopAndBottom/>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5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9AB2" id="Line 13" o:spid="_x0000_s1026"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4.85pt" to="53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suFA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" strokeweight="2.03pt">
                <w10:wrap type="topAndBottom" anchorx="page"/>
              </v:line>
            </w:pict>
          </mc:Fallback>
        </mc:AlternateContent>
      </w:r>
    </w:p>
    <w:p w:rsidR="004E13A5" w:rsidRDefault="004E13A5">
      <w:pPr>
        <w:pStyle w:val="BodyText"/>
        <w:spacing w:before="0"/>
        <w:ind w:left="0"/>
        <w:rPr>
          <w:rFonts w:ascii="Arial"/>
          <w:sz w:val="20"/>
        </w:rPr>
      </w:pPr>
    </w:p>
    <w:p w:rsidR="004E13A5" w:rsidRDefault="004E13A5">
      <w:pPr>
        <w:pStyle w:val="BodyText"/>
        <w:spacing w:before="4"/>
        <w:ind w:left="0"/>
        <w:rPr>
          <w:rFonts w:ascii="Arial"/>
          <w:sz w:val="29"/>
        </w:rPr>
      </w:pPr>
    </w:p>
    <w:p w:rsidR="004E13A5" w:rsidRDefault="00681463">
      <w:pPr>
        <w:spacing w:before="93"/>
        <w:ind w:left="284"/>
        <w:rPr>
          <w:rFonts w:ascii="Arial"/>
          <w:b/>
          <w:sz w:val="20"/>
        </w:rPr>
      </w:pPr>
      <w:r>
        <w:rPr>
          <w:rFonts w:ascii="Arial"/>
          <w:b/>
          <w:sz w:val="20"/>
        </w:rPr>
        <w:t>Living Situation: Recently Homeless</w:t>
      </w:r>
    </w:p>
    <w:p w:rsidR="004E13A5" w:rsidRDefault="004E13A5">
      <w:pPr>
        <w:pStyle w:val="BodyText"/>
        <w:spacing w:before="0"/>
        <w:ind w:left="0"/>
        <w:rPr>
          <w:rFonts w:ascii="Arial"/>
          <w:b/>
          <w:sz w:val="22"/>
        </w:rPr>
      </w:pPr>
    </w:p>
    <w:p w:rsidR="004E13A5" w:rsidRDefault="004E13A5">
      <w:pPr>
        <w:pStyle w:val="BodyText"/>
        <w:spacing w:before="0"/>
        <w:ind w:left="0"/>
        <w:rPr>
          <w:rFonts w:ascii="Arial"/>
          <w:b/>
          <w:sz w:val="22"/>
        </w:rPr>
      </w:pPr>
    </w:p>
    <w:p w:rsidR="004E13A5" w:rsidRDefault="003263D1">
      <w:pPr>
        <w:spacing w:before="142" w:line="244" w:lineRule="auto"/>
        <w:ind w:left="282" w:right="23" w:firstLine="336"/>
        <w:rPr>
          <w:rFonts w:ascii="Arial"/>
          <w:sz w:val="20"/>
        </w:rPr>
      </w:pPr>
      <w:r>
        <w:rPr>
          <w:noProof/>
        </w:rPr>
        <mc:AlternateContent>
          <mc:Choice Requires="wps">
            <w:drawing>
              <wp:anchor distT="0" distB="0" distL="114300" distR="114300" simplePos="0" relativeHeight="503039960" behindDoc="1" locked="0" layoutInCell="1" allowOverlap="1">
                <wp:simplePos x="0" y="0"/>
                <wp:positionH relativeFrom="page">
                  <wp:posOffset>990600</wp:posOffset>
                </wp:positionH>
                <wp:positionV relativeFrom="paragraph">
                  <wp:posOffset>69215</wp:posOffset>
                </wp:positionV>
                <wp:extent cx="165100" cy="146050"/>
                <wp:effectExtent l="9525" t="12065" r="6350" b="1333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6050"/>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4248" id="Rectangle 12" o:spid="_x0000_s1026" style="position:absolute;margin-left:78pt;margin-top:5.45pt;width:13pt;height:11.5pt;z-index:-276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" filled="f" strokeweight=".71pt">
                <w10:wrap anchorx="page"/>
              </v:rect>
            </w:pict>
          </mc:Fallback>
        </mc:AlternateContent>
      </w:r>
      <w:r w:rsidR="00681463">
        <w:rPr>
          <w:rFonts w:ascii="Arial"/>
          <w:sz w:val="20"/>
        </w:rPr>
        <w:t>The person(s) named above is/are currently receiving financial and supportive services for persons who are homeless. Loss of such assistance would result in a return to homelessness (ex. Households in Rapid Rehousing Programs, residents of Permanent Supportive Housing Programs participating in Moving On, etc.)</w:t>
      </w:r>
    </w:p>
    <w:p w:rsidR="004E13A5" w:rsidRDefault="00681463">
      <w:pPr>
        <w:spacing w:before="140"/>
        <w:ind w:left="282"/>
        <w:rPr>
          <w:rFonts w:ascii="Arial"/>
          <w:sz w:val="20"/>
        </w:rPr>
      </w:pPr>
      <w:r>
        <w:rPr>
          <w:rFonts w:ascii="Arial"/>
          <w:sz w:val="20"/>
        </w:rPr>
        <w:t>Authorized Agency Representative Signature:</w:t>
      </w:r>
    </w:p>
    <w:p w:rsidR="004E13A5" w:rsidRDefault="004E13A5">
      <w:pPr>
        <w:pStyle w:val="BodyText"/>
        <w:spacing w:before="0"/>
        <w:ind w:left="0"/>
        <w:rPr>
          <w:rFonts w:ascii="Arial"/>
          <w:sz w:val="20"/>
        </w:rPr>
      </w:pPr>
    </w:p>
    <w:p w:rsidR="004E13A5" w:rsidRDefault="003263D1">
      <w:pPr>
        <w:pStyle w:val="BodyText"/>
        <w:spacing w:before="10"/>
        <w:ind w:left="0"/>
        <w:rPr>
          <w:rFonts w:ascii="Arial"/>
          <w:sz w:val="11"/>
        </w:rPr>
      </w:pPr>
      <w:r>
        <w:rPr>
          <w:noProof/>
        </w:rPr>
        <mc:AlternateContent>
          <mc:Choice Requires="wps">
            <w:drawing>
              <wp:anchor distT="0" distB="0" distL="0" distR="0" simplePos="0" relativeHeight="2440" behindDoc="0" locked="0" layoutInCell="1" allowOverlap="1">
                <wp:simplePos x="0" y="0"/>
                <wp:positionH relativeFrom="page">
                  <wp:posOffset>914400</wp:posOffset>
                </wp:positionH>
                <wp:positionV relativeFrom="paragraph">
                  <wp:posOffset>116205</wp:posOffset>
                </wp:positionV>
                <wp:extent cx="4175125" cy="0"/>
                <wp:effectExtent l="9525" t="11430" r="6350" b="7620"/>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125"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0E1C3" id="Line 11"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5pt" to="400.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" strokeweight=".25258mm">
                <w10:wrap type="topAndBottom" anchorx="page"/>
              </v:line>
            </w:pict>
          </mc:Fallback>
        </mc:AlternateContent>
      </w: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7"/>
        <w:ind w:left="0"/>
        <w:rPr>
          <w:rFonts w:ascii="Arial"/>
          <w:sz w:val="23"/>
        </w:rPr>
      </w:pPr>
    </w:p>
    <w:p w:rsidR="004E13A5" w:rsidRDefault="00681463">
      <w:pPr>
        <w:spacing w:line="276" w:lineRule="auto"/>
        <w:ind w:left="282" w:right="309"/>
        <w:rPr>
          <w:rFonts w:ascii="Arial" w:hAnsi="Arial"/>
          <w:i/>
          <w:sz w:val="20"/>
        </w:rPr>
      </w:pPr>
      <w:r>
        <w:rPr>
          <w:rFonts w:ascii="Arial" w:hAnsi="Arial"/>
          <w:i/>
          <w:sz w:val="20"/>
        </w:rPr>
        <w:t>This referring agency must appear on the CoC’s Housing Inventory Chart submitted as part of the most recent CoC Homeless Assistance application to HUD or otherwise be recognized by the CoC as part of the CoC inventory.</w:t>
      </w:r>
    </w:p>
    <w:p w:rsidR="004E13A5" w:rsidRDefault="004E13A5">
      <w:pPr>
        <w:pStyle w:val="BodyText"/>
        <w:spacing w:before="0"/>
        <w:ind w:left="0"/>
        <w:rPr>
          <w:rFonts w:ascii="Arial"/>
          <w:i/>
          <w:sz w:val="22"/>
        </w:rPr>
      </w:pPr>
    </w:p>
    <w:p w:rsidR="004E13A5" w:rsidRDefault="004E13A5">
      <w:pPr>
        <w:pStyle w:val="BodyText"/>
        <w:spacing w:before="0"/>
        <w:ind w:left="0"/>
        <w:rPr>
          <w:rFonts w:ascii="Arial"/>
          <w:i/>
          <w:sz w:val="22"/>
        </w:rPr>
      </w:pPr>
    </w:p>
    <w:p w:rsidR="004E13A5" w:rsidRDefault="004E13A5">
      <w:pPr>
        <w:pStyle w:val="BodyText"/>
        <w:spacing w:before="0"/>
        <w:ind w:left="0"/>
        <w:rPr>
          <w:rFonts w:ascii="Arial"/>
          <w:i/>
          <w:sz w:val="22"/>
        </w:rPr>
      </w:pPr>
    </w:p>
    <w:p w:rsidR="004E13A5" w:rsidRDefault="00681463">
      <w:pPr>
        <w:spacing w:before="196" w:line="273" w:lineRule="auto"/>
        <w:ind w:left="282" w:right="1380"/>
        <w:rPr>
          <w:rFonts w:ascii="Arial" w:hAnsi="Arial"/>
          <w:sz w:val="20"/>
        </w:rPr>
      </w:pPr>
      <w:r>
        <w:rPr>
          <w:rFonts w:ascii="Arial" w:hAnsi="Arial"/>
          <w:sz w:val="20"/>
        </w:rPr>
        <w:t>Immediately prior to entering the household’s current living situation, the person(s) named above was/were residing in:</w:t>
      </w:r>
    </w:p>
    <w:p w:rsidR="004E13A5" w:rsidRDefault="004E13A5">
      <w:pPr>
        <w:spacing w:line="273" w:lineRule="auto"/>
        <w:rPr>
          <w:rFonts w:ascii="Arial" w:hAnsi="Arial"/>
          <w:sz w:val="20"/>
        </w:rPr>
        <w:sectPr w:rsidR="004E13A5">
          <w:footerReference w:type="default" r:id="rId83"/>
          <w:pgSz w:w="12240" w:h="15840"/>
          <w:pgMar w:top="1320" w:right="1320" w:bottom="280" w:left="1300" w:header="0" w:footer="0" w:gutter="0"/>
          <w:cols w:space="720"/>
        </w:sectPr>
      </w:pPr>
    </w:p>
    <w:p w:rsidR="004E13A5" w:rsidRDefault="004E13A5">
      <w:pPr>
        <w:pStyle w:val="BodyText"/>
        <w:spacing w:before="7"/>
        <w:ind w:left="0"/>
        <w:rPr>
          <w:rFonts w:ascii="Arial"/>
          <w:sz w:val="22"/>
        </w:rPr>
      </w:pPr>
    </w:p>
    <w:p w:rsidR="004E13A5" w:rsidRDefault="003263D1">
      <w:pPr>
        <w:tabs>
          <w:tab w:val="left" w:pos="3380"/>
        </w:tabs>
        <w:spacing w:before="93"/>
        <w:ind w:left="697"/>
        <w:rPr>
          <w:rFonts w:ascii="Arial"/>
          <w:sz w:val="20"/>
        </w:rPr>
      </w:pPr>
      <w:r>
        <w:rPr>
          <w:noProof/>
        </w:rPr>
        <mc:AlternateContent>
          <mc:Choice Requires="wps">
            <w:drawing>
              <wp:anchor distT="0" distB="0" distL="114300" distR="114300" simplePos="0" relativeHeight="503040008" behindDoc="1" locked="0" layoutInCell="1" allowOverlap="1">
                <wp:simplePos x="0" y="0"/>
                <wp:positionH relativeFrom="page">
                  <wp:posOffset>2719705</wp:posOffset>
                </wp:positionH>
                <wp:positionV relativeFrom="paragraph">
                  <wp:posOffset>73660</wp:posOffset>
                </wp:positionV>
                <wp:extent cx="157480" cy="141605"/>
                <wp:effectExtent l="5080" t="6985" r="8890" b="1333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8E34" id="Rectangle 10" o:spid="_x0000_s1026" style="position:absolute;margin-left:214.15pt;margin-top:5.8pt;width:12.4pt;height:11.15pt;z-index:-276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" filled="f" strokeweight=".71pt">
                <w10:wrap anchorx="page"/>
              </v:rect>
            </w:pict>
          </mc:Fallback>
        </mc:AlternateContent>
      </w:r>
      <w:r>
        <w:rPr>
          <w:noProof/>
        </w:rPr>
        <mc:AlternateContent>
          <mc:Choice Requires="wps">
            <w:drawing>
              <wp:anchor distT="0" distB="0" distL="114300" distR="114300" simplePos="0" relativeHeight="2560" behindDoc="0" locked="0" layoutInCell="1" allowOverlap="1">
                <wp:simplePos x="0" y="0"/>
                <wp:positionH relativeFrom="page">
                  <wp:posOffset>1013460</wp:posOffset>
                </wp:positionH>
                <wp:positionV relativeFrom="paragraph">
                  <wp:posOffset>73660</wp:posOffset>
                </wp:positionV>
                <wp:extent cx="168910" cy="141605"/>
                <wp:effectExtent l="13335" t="6985" r="8255" b="1333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160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CA62" id="Rectangle 9" o:spid="_x0000_s1026" style="position:absolute;margin-left:79.8pt;margin-top:5.8pt;width:13.3pt;height:11.15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" filled="f" strokeweight=".71pt">
                <w10:wrap anchorx="page"/>
              </v:rect>
            </w:pict>
          </mc:Fallback>
        </mc:AlternateContent>
      </w:r>
      <w:r w:rsidR="00681463">
        <w:rPr>
          <w:rFonts w:ascii="Arial"/>
          <w:sz w:val="20"/>
        </w:rPr>
        <w:t>emergency</w:t>
      </w:r>
      <w:r w:rsidR="00681463">
        <w:rPr>
          <w:rFonts w:ascii="Arial"/>
          <w:spacing w:val="-11"/>
          <w:sz w:val="20"/>
        </w:rPr>
        <w:t xml:space="preserve"> </w:t>
      </w:r>
      <w:r w:rsidR="00681463">
        <w:rPr>
          <w:rFonts w:ascii="Arial"/>
          <w:sz w:val="20"/>
        </w:rPr>
        <w:t xml:space="preserve">shelter </w:t>
      </w:r>
      <w:r w:rsidR="00681463">
        <w:rPr>
          <w:rFonts w:ascii="Arial"/>
          <w:spacing w:val="39"/>
          <w:sz w:val="20"/>
        </w:rPr>
        <w:t xml:space="preserve"> </w:t>
      </w:r>
      <w:r w:rsidR="00681463">
        <w:rPr>
          <w:rFonts w:ascii="Arial"/>
          <w:sz w:val="20"/>
        </w:rPr>
        <w:t>OR</w:t>
      </w:r>
      <w:r w:rsidR="00681463">
        <w:rPr>
          <w:rFonts w:ascii="Arial"/>
          <w:sz w:val="20"/>
        </w:rPr>
        <w:tab/>
        <w:t>a place unfit for human</w:t>
      </w:r>
      <w:r w:rsidR="00681463">
        <w:rPr>
          <w:rFonts w:ascii="Arial"/>
          <w:spacing w:val="-37"/>
          <w:sz w:val="20"/>
        </w:rPr>
        <w:t xml:space="preserve"> </w:t>
      </w:r>
      <w:r w:rsidR="00681463">
        <w:rPr>
          <w:rFonts w:ascii="Arial"/>
          <w:sz w:val="20"/>
        </w:rPr>
        <w:t>habitation</w:t>
      </w:r>
    </w:p>
    <w:p w:rsidR="004E13A5" w:rsidRDefault="004E13A5">
      <w:pPr>
        <w:pStyle w:val="BodyText"/>
        <w:spacing w:before="0"/>
        <w:ind w:left="0"/>
        <w:rPr>
          <w:rFonts w:ascii="Arial"/>
          <w:sz w:val="22"/>
        </w:rPr>
      </w:pPr>
    </w:p>
    <w:p w:rsidR="004E13A5" w:rsidRDefault="004E13A5">
      <w:pPr>
        <w:pStyle w:val="BodyText"/>
        <w:spacing w:before="6"/>
        <w:ind w:left="0"/>
        <w:rPr>
          <w:rFonts w:ascii="Arial"/>
        </w:rPr>
      </w:pPr>
    </w:p>
    <w:p w:rsidR="004E13A5" w:rsidRDefault="00681463">
      <w:pPr>
        <w:tabs>
          <w:tab w:val="left" w:pos="4040"/>
          <w:tab w:val="left" w:pos="9018"/>
        </w:tabs>
        <w:spacing w:before="1" w:line="278" w:lineRule="auto"/>
        <w:ind w:left="1001" w:right="600" w:hanging="723"/>
        <w:rPr>
          <w:rFonts w:ascii="Arial"/>
          <w:sz w:val="20"/>
        </w:rPr>
      </w:pPr>
      <w:r>
        <w:rPr>
          <w:rFonts w:ascii="Arial"/>
          <w:sz w:val="20"/>
        </w:rPr>
        <w:t>Authorized Agency</w:t>
      </w:r>
      <w:r>
        <w:rPr>
          <w:rFonts w:ascii="Arial"/>
          <w:spacing w:val="-33"/>
          <w:sz w:val="20"/>
        </w:rPr>
        <w:t xml:space="preserve"> </w:t>
      </w:r>
      <w:r>
        <w:rPr>
          <w:rFonts w:ascii="Arial"/>
          <w:sz w:val="20"/>
        </w:rPr>
        <w:t>Representative</w:t>
      </w:r>
      <w:r>
        <w:rPr>
          <w:rFonts w:ascii="Arial"/>
          <w:spacing w:val="-13"/>
          <w:sz w:val="20"/>
        </w:rPr>
        <w:t xml:space="preserve"> </w:t>
      </w:r>
      <w:r>
        <w:rPr>
          <w:rFonts w:ascii="Arial"/>
          <w:sz w:val="20"/>
        </w:rPr>
        <w:t xml:space="preserve">Signature: </w:t>
      </w:r>
      <w:r>
        <w:rPr>
          <w:rFonts w:ascii="Arial"/>
          <w:spacing w:val="1"/>
          <w:sz w:val="20"/>
        </w:rPr>
        <w:t xml:space="preserve"> </w:t>
      </w:r>
      <w:r>
        <w:rPr>
          <w:rFonts w:ascii="Arial"/>
          <w:w w:val="99"/>
          <w:sz w:val="20"/>
          <w:u w:val="single"/>
        </w:rPr>
        <w:t xml:space="preserve"> </w:t>
      </w:r>
      <w:r>
        <w:rPr>
          <w:rFonts w:ascii="Arial"/>
          <w:sz w:val="20"/>
          <w:u w:val="single"/>
        </w:rPr>
        <w:tab/>
      </w:r>
      <w:r>
        <w:rPr>
          <w:rFonts w:ascii="Arial"/>
          <w:sz w:val="20"/>
        </w:rPr>
        <w:t xml:space="preserve"> Date:</w:t>
      </w:r>
      <w:r>
        <w:rPr>
          <w:rFonts w:ascii="Arial"/>
          <w:spacing w:val="1"/>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3263D1">
      <w:pPr>
        <w:pStyle w:val="BodyText"/>
        <w:spacing w:before="11"/>
        <w:ind w:left="0"/>
        <w:rPr>
          <w:rFonts w:ascii="Arial"/>
          <w:sz w:val="16"/>
        </w:rPr>
      </w:pPr>
      <w:r>
        <w:rPr>
          <w:noProof/>
        </w:rPr>
        <mc:AlternateContent>
          <mc:Choice Requires="wps">
            <w:drawing>
              <wp:anchor distT="0" distB="0" distL="0" distR="0" simplePos="0" relativeHeight="2512" behindDoc="0" locked="0" layoutInCell="1" allowOverlap="1">
                <wp:simplePos x="0" y="0"/>
                <wp:positionH relativeFrom="page">
                  <wp:posOffset>911860</wp:posOffset>
                </wp:positionH>
                <wp:positionV relativeFrom="paragraph">
                  <wp:posOffset>161925</wp:posOffset>
                </wp:positionV>
                <wp:extent cx="5939790" cy="0"/>
                <wp:effectExtent l="16510" t="19050" r="15875" b="1905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5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F6E7" id="Line 8" o:spid="_x0000_s1026" style="position:absolute;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75pt" to="53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eNEwIAACo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" strokeweight="2.03pt">
                <w10:wrap type="topAndBottom" anchorx="page"/>
              </v:line>
            </w:pict>
          </mc:Fallback>
        </mc:AlternateContent>
      </w:r>
    </w:p>
    <w:p w:rsidR="004E13A5" w:rsidRDefault="004E13A5">
      <w:pPr>
        <w:rPr>
          <w:rFonts w:ascii="Arial"/>
          <w:sz w:val="16"/>
        </w:rPr>
        <w:sectPr w:rsidR="004E13A5">
          <w:footerReference w:type="default" r:id="rId84"/>
          <w:pgSz w:w="12240" w:h="15840"/>
          <w:pgMar w:top="1500" w:right="1320" w:bottom="280" w:left="1300" w:header="0" w:footer="0" w:gutter="0"/>
          <w:cols w:space="720"/>
        </w:sectPr>
      </w:pPr>
    </w:p>
    <w:p w:rsidR="004E13A5" w:rsidRDefault="004E13A5">
      <w:pPr>
        <w:pStyle w:val="BodyText"/>
        <w:spacing w:before="0"/>
        <w:ind w:left="0"/>
        <w:rPr>
          <w:rFonts w:ascii="Arial"/>
          <w:sz w:val="20"/>
        </w:rPr>
      </w:pPr>
    </w:p>
    <w:p w:rsidR="004E13A5" w:rsidRDefault="004E13A5">
      <w:pPr>
        <w:pStyle w:val="BodyText"/>
        <w:spacing w:before="9"/>
        <w:ind w:left="0"/>
        <w:rPr>
          <w:rFonts w:ascii="Arial"/>
          <w:sz w:val="12"/>
        </w:rPr>
      </w:pPr>
    </w:p>
    <w:p w:rsidR="004E13A5" w:rsidRDefault="00681463">
      <w:pPr>
        <w:ind w:left="231"/>
        <w:rPr>
          <w:rFonts w:ascii="Arial"/>
          <w:sz w:val="20"/>
        </w:rPr>
      </w:pPr>
      <w:r>
        <w:rPr>
          <w:spacing w:val="-49"/>
          <w:sz w:val="20"/>
        </w:rPr>
        <w:t xml:space="preserve"> </w:t>
      </w:r>
      <w:r w:rsidR="003263D1">
        <w:rPr>
          <w:rFonts w:ascii="Arial"/>
          <w:noProof/>
          <w:spacing w:val="-49"/>
          <w:sz w:val="20"/>
        </w:rPr>
        <mc:AlternateContent>
          <mc:Choice Requires="wps">
            <w:drawing>
              <wp:inline distT="0" distB="0" distL="0" distR="0">
                <wp:extent cx="6088380" cy="205740"/>
                <wp:effectExtent l="9525" t="9525" r="7620" b="13335"/>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5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9C9" w:rsidRDefault="00BA59C9">
                            <w:pPr>
                              <w:spacing w:before="18"/>
                              <w:ind w:left="167"/>
                              <w:rPr>
                                <w:b/>
                                <w:sz w:val="24"/>
                              </w:rPr>
                            </w:pPr>
                            <w:r>
                              <w:rPr>
                                <w:b/>
                                <w:sz w:val="24"/>
                              </w:rPr>
                              <w:t>Exhibit TPS-3: EXAMPLE OF A VICTIM SERVICES PROVIDER’S CERTIFICATION</w:t>
                            </w:r>
                          </w:p>
                        </w:txbxContent>
                      </wps:txbx>
                      <wps:bodyPr rot="0" vert="horz" wrap="square" lIns="0" tIns="0" rIns="0" bIns="0" anchor="t" anchorCtr="0" upright="1">
                        <a:noAutofit/>
                      </wps:bodyPr>
                    </wps:wsp>
                  </a:graphicData>
                </a:graphic>
              </wp:inline>
            </w:drawing>
          </mc:Choice>
          <mc:Fallback>
            <w:pict>
              <v:shape id="Text Box 84" o:spid="_x0000_s1051"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" filled="f" strokeweight=".48pt">
                <v:textbox inset="0,0,0,0">
                  <w:txbxContent>
                    <w:p w:rsidR="00BA59C9" w:rsidRDefault="00BA59C9">
                      <w:pPr>
                        <w:spacing w:before="18"/>
                        <w:ind w:left="167"/>
                        <w:rPr>
                          <w:b/>
                          <w:sz w:val="24"/>
                        </w:rPr>
                      </w:pPr>
                      <w:r>
                        <w:rPr>
                          <w:b/>
                          <w:sz w:val="24"/>
                        </w:rPr>
                        <w:t>Exhibit TPS-3: EXAMPLE OF A VICTIM SERVICES PROVIDER’S CERTIFICATION</w:t>
                      </w:r>
                    </w:p>
                  </w:txbxContent>
                </v:textbox>
                <w10:anchorlock/>
              </v:shape>
            </w:pict>
          </mc:Fallback>
        </mc:AlternateContent>
      </w:r>
    </w:p>
    <w:p w:rsidR="004E13A5" w:rsidRDefault="00681463">
      <w:pPr>
        <w:pStyle w:val="Heading5"/>
        <w:spacing w:before="118"/>
        <w:ind w:left="341"/>
      </w:pPr>
      <w:r>
        <w:t>Attachment 4 of Notice PIH 2021-15: Example of a Victim Services Provider’s Certification</w:t>
      </w:r>
    </w:p>
    <w:p w:rsidR="004E13A5" w:rsidRDefault="004E13A5">
      <w:pPr>
        <w:pStyle w:val="BodyText"/>
        <w:spacing w:before="0"/>
        <w:ind w:left="0"/>
        <w:rPr>
          <w:b/>
          <w:i/>
          <w:sz w:val="26"/>
        </w:rPr>
      </w:pPr>
    </w:p>
    <w:p w:rsidR="004E13A5" w:rsidRDefault="00681463">
      <w:pPr>
        <w:spacing w:before="213"/>
        <w:ind w:left="341"/>
        <w:rPr>
          <w:rFonts w:ascii="Arial"/>
          <w:b/>
          <w:sz w:val="26"/>
        </w:rPr>
      </w:pPr>
      <w:r>
        <w:rPr>
          <w:rFonts w:ascii="Arial"/>
          <w:b/>
          <w:sz w:val="26"/>
        </w:rPr>
        <w:t>Emergency Housing Voucher (EHV)</w:t>
      </w:r>
    </w:p>
    <w:p w:rsidR="004E13A5" w:rsidRDefault="00681463">
      <w:pPr>
        <w:spacing w:before="184"/>
        <w:ind w:left="341"/>
        <w:rPr>
          <w:rFonts w:ascii="Arial"/>
          <w:b/>
          <w:sz w:val="32"/>
        </w:rPr>
      </w:pPr>
      <w:r>
        <w:rPr>
          <w:rFonts w:ascii="Arial"/>
          <w:b/>
          <w:sz w:val="32"/>
        </w:rPr>
        <w:t>SAMPLE HUMAN TRAFFICKING CERTIFICATION</w:t>
      </w:r>
    </w:p>
    <w:p w:rsidR="004E13A5" w:rsidRDefault="004E13A5">
      <w:pPr>
        <w:pStyle w:val="BodyText"/>
        <w:spacing w:before="0"/>
        <w:ind w:left="0"/>
        <w:rPr>
          <w:rFonts w:ascii="Arial"/>
          <w:b/>
          <w:sz w:val="36"/>
        </w:rPr>
      </w:pPr>
    </w:p>
    <w:p w:rsidR="004E13A5" w:rsidRDefault="00681463">
      <w:pPr>
        <w:spacing w:before="218"/>
        <w:ind w:left="341"/>
        <w:rPr>
          <w:rFonts w:ascii="Arial"/>
          <w:b/>
          <w:sz w:val="20"/>
        </w:rPr>
      </w:pPr>
      <w:r>
        <w:rPr>
          <w:rFonts w:ascii="Arial"/>
          <w:b/>
          <w:sz w:val="20"/>
        </w:rPr>
        <w:t>Purpose of Form:</w:t>
      </w:r>
    </w:p>
    <w:p w:rsidR="004E13A5" w:rsidRDefault="00681463">
      <w:pPr>
        <w:spacing w:before="180" w:line="259" w:lineRule="auto"/>
        <w:ind w:left="341" w:right="1358"/>
        <w:rPr>
          <w:rFonts w:ascii="Arial"/>
          <w:sz w:val="20"/>
        </w:rPr>
      </w:pPr>
      <w:r>
        <w:rPr>
          <w:rFonts w:ascii="Arial"/>
          <w:sz w:val="20"/>
        </w:rPr>
        <w:t>The Victims of Trafficking and Violence Protection Act of 2000 provides assistance to victims of trafficking making housing, educational health care, job training and other Federally- funded social service programs available to assist victims in rebuilding their lives.</w:t>
      </w:r>
    </w:p>
    <w:p w:rsidR="004E13A5" w:rsidRDefault="004E13A5">
      <w:pPr>
        <w:pStyle w:val="BodyText"/>
        <w:spacing w:before="0"/>
        <w:ind w:left="0"/>
        <w:rPr>
          <w:rFonts w:ascii="Arial"/>
          <w:sz w:val="22"/>
        </w:rPr>
      </w:pPr>
    </w:p>
    <w:p w:rsidR="004E13A5" w:rsidRDefault="004E13A5">
      <w:pPr>
        <w:pStyle w:val="BodyText"/>
        <w:spacing w:before="1"/>
        <w:ind w:left="0"/>
        <w:rPr>
          <w:rFonts w:ascii="Arial"/>
          <w:sz w:val="26"/>
        </w:rPr>
      </w:pPr>
    </w:p>
    <w:p w:rsidR="004E13A5" w:rsidRDefault="00681463">
      <w:pPr>
        <w:ind w:left="341"/>
        <w:rPr>
          <w:rFonts w:ascii="Arial"/>
          <w:b/>
          <w:sz w:val="20"/>
        </w:rPr>
      </w:pPr>
      <w:r>
        <w:rPr>
          <w:rFonts w:ascii="Arial"/>
          <w:b/>
          <w:sz w:val="20"/>
        </w:rPr>
        <w:t>Use of This Optional Form:</w:t>
      </w:r>
    </w:p>
    <w:p w:rsidR="004E13A5" w:rsidRDefault="00681463">
      <w:pPr>
        <w:spacing w:before="182" w:line="256" w:lineRule="auto"/>
        <w:ind w:left="341" w:right="1497"/>
        <w:rPr>
          <w:rFonts w:ascii="Arial"/>
          <w:sz w:val="20"/>
        </w:rPr>
      </w:pPr>
      <w:r>
        <w:rPr>
          <w:rFonts w:ascii="Arial"/>
          <w:sz w:val="20"/>
        </w:rPr>
        <w:t>In response to this request, the service provider may complete this form and submit it to the Public Housing Agency (PHA) to certify eligibility for EHV assistance.</w:t>
      </w:r>
    </w:p>
    <w:p w:rsidR="004E13A5" w:rsidRDefault="004E13A5">
      <w:pPr>
        <w:pStyle w:val="BodyText"/>
        <w:spacing w:before="0"/>
        <w:ind w:left="0"/>
        <w:rPr>
          <w:rFonts w:ascii="Arial"/>
          <w:sz w:val="22"/>
        </w:rPr>
      </w:pPr>
    </w:p>
    <w:p w:rsidR="004E13A5" w:rsidRDefault="004E13A5">
      <w:pPr>
        <w:pStyle w:val="BodyText"/>
        <w:spacing w:before="3"/>
        <w:ind w:left="0"/>
        <w:rPr>
          <w:rFonts w:ascii="Arial"/>
          <w:sz w:val="27"/>
        </w:rPr>
      </w:pPr>
    </w:p>
    <w:p w:rsidR="004E13A5" w:rsidRDefault="003263D1">
      <w:pPr>
        <w:spacing w:before="1" w:line="259" w:lineRule="auto"/>
        <w:ind w:left="341" w:right="981"/>
        <w:rPr>
          <w:rFonts w:ascii="Arial"/>
          <w:sz w:val="20"/>
        </w:rPr>
      </w:pPr>
      <w:r>
        <w:rPr>
          <w:noProof/>
        </w:rPr>
        <mc:AlternateContent>
          <mc:Choice Requires="wps">
            <w:drawing>
              <wp:anchor distT="0" distB="0" distL="0" distR="0" simplePos="0" relativeHeight="2608" behindDoc="0" locked="0" layoutInCell="1" allowOverlap="1">
                <wp:simplePos x="0" y="0"/>
                <wp:positionH relativeFrom="page">
                  <wp:posOffset>923290</wp:posOffset>
                </wp:positionH>
                <wp:positionV relativeFrom="paragraph">
                  <wp:posOffset>1016000</wp:posOffset>
                </wp:positionV>
                <wp:extent cx="5980430" cy="0"/>
                <wp:effectExtent l="18415" t="15875" r="11430" b="12700"/>
                <wp:wrapTopAndBottom/>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5A9A" id="Line 6" o:spid="_x0000_s1026" style="position:absolute;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80pt" to="543.6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ykEgIAACo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" strokeweight="1.43pt">
                <w10:wrap type="topAndBottom" anchorx="page"/>
              </v:line>
            </w:pict>
          </mc:Fallback>
        </mc:AlternateContent>
      </w:r>
      <w:r w:rsidR="00681463">
        <w:rPr>
          <w:rFonts w:ascii="Arial"/>
          <w:b/>
          <w:sz w:val="20"/>
        </w:rPr>
        <w:t xml:space="preserve">Confidentiality: </w:t>
      </w:r>
      <w:r w:rsidR="00681463">
        <w:rPr>
          <w:rFonts w:ascii="Arial"/>
          <w:sz w:val="20"/>
        </w:rPr>
        <w:t>All information provided to the service provider concerning the incident(s) of human trafficking shall be kept confidential and such details shall not be entered into any shared database. Employees of the PHA will not have access to these details,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w:t>
      </w:r>
    </w:p>
    <w:p w:rsidR="004E13A5" w:rsidRDefault="00681463">
      <w:pPr>
        <w:ind w:left="341"/>
        <w:rPr>
          <w:rFonts w:ascii="Arial"/>
          <w:sz w:val="20"/>
        </w:rPr>
      </w:pPr>
      <w:r>
        <w:rPr>
          <w:rFonts w:ascii="Arial"/>
          <w:sz w:val="20"/>
        </w:rPr>
        <w:t>applicable law.</w:t>
      </w:r>
    </w:p>
    <w:p w:rsidR="004E13A5" w:rsidRDefault="004E13A5">
      <w:pPr>
        <w:pStyle w:val="BodyText"/>
        <w:spacing w:before="0"/>
        <w:ind w:left="0"/>
        <w:rPr>
          <w:rFonts w:ascii="Arial"/>
          <w:sz w:val="22"/>
        </w:rPr>
      </w:pPr>
    </w:p>
    <w:p w:rsidR="004E13A5" w:rsidRDefault="004E13A5">
      <w:pPr>
        <w:pStyle w:val="BodyText"/>
        <w:spacing w:before="9"/>
        <w:ind w:left="0"/>
        <w:rPr>
          <w:rFonts w:ascii="Arial"/>
          <w:sz w:val="30"/>
        </w:rPr>
      </w:pPr>
    </w:p>
    <w:p w:rsidR="004E13A5" w:rsidRDefault="00681463">
      <w:pPr>
        <w:ind w:left="341"/>
        <w:rPr>
          <w:rFonts w:ascii="Arial"/>
          <w:b/>
          <w:sz w:val="20"/>
        </w:rPr>
      </w:pPr>
      <w:r>
        <w:rPr>
          <w:rFonts w:ascii="Arial"/>
          <w:b/>
          <w:sz w:val="20"/>
        </w:rPr>
        <w:t>TO BE COMPLETED ON BEHALF OF HUMAN TRAFFICKING SURVIVOR</w:t>
      </w:r>
    </w:p>
    <w:p w:rsidR="004E13A5" w:rsidRDefault="004E13A5">
      <w:pPr>
        <w:pStyle w:val="BodyText"/>
        <w:spacing w:before="0"/>
        <w:ind w:left="0"/>
        <w:rPr>
          <w:rFonts w:ascii="Arial"/>
          <w:b/>
          <w:sz w:val="22"/>
        </w:rPr>
      </w:pPr>
    </w:p>
    <w:p w:rsidR="004E13A5" w:rsidRDefault="004E13A5">
      <w:pPr>
        <w:pStyle w:val="BodyText"/>
        <w:spacing w:before="2"/>
        <w:ind w:left="0"/>
        <w:rPr>
          <w:rFonts w:ascii="Arial"/>
          <w:b/>
          <w:sz w:val="26"/>
        </w:rPr>
      </w:pPr>
    </w:p>
    <w:p w:rsidR="004E13A5" w:rsidRDefault="00681463">
      <w:pPr>
        <w:tabs>
          <w:tab w:val="left" w:pos="8235"/>
        </w:tabs>
        <w:ind w:left="341"/>
        <w:rPr>
          <w:rFonts w:ascii="Arial"/>
          <w:sz w:val="20"/>
        </w:rPr>
      </w:pPr>
      <w:r>
        <w:rPr>
          <w:rFonts w:ascii="Arial"/>
          <w:sz w:val="20"/>
        </w:rPr>
        <w:t>EHV Applicant</w:t>
      </w:r>
      <w:r>
        <w:rPr>
          <w:rFonts w:ascii="Arial"/>
          <w:spacing w:val="-20"/>
          <w:sz w:val="20"/>
        </w:rPr>
        <w:t xml:space="preserve"> </w:t>
      </w:r>
      <w:r>
        <w:rPr>
          <w:rFonts w:ascii="Arial"/>
          <w:sz w:val="20"/>
        </w:rPr>
        <w:t>Name:</w:t>
      </w:r>
      <w:r>
        <w:rPr>
          <w:rFonts w:ascii="Arial"/>
          <w:spacing w:val="-1"/>
          <w:sz w:val="20"/>
        </w:rPr>
        <w:t xml:space="preserve"> </w:t>
      </w:r>
      <w:r>
        <w:rPr>
          <w:rFonts w:ascii="Arial"/>
          <w:w w:val="99"/>
          <w:sz w:val="20"/>
          <w:u w:val="single"/>
        </w:rPr>
        <w:t xml:space="preserve"> </w:t>
      </w:r>
      <w:r>
        <w:rPr>
          <w:rFonts w:ascii="Arial"/>
          <w:sz w:val="20"/>
          <w:u w:val="single"/>
        </w:rPr>
        <w:tab/>
      </w:r>
    </w:p>
    <w:p w:rsidR="004E13A5" w:rsidRDefault="004E13A5">
      <w:pPr>
        <w:pStyle w:val="BodyText"/>
        <w:spacing w:before="0"/>
        <w:ind w:left="0"/>
        <w:rPr>
          <w:rFonts w:ascii="Arial"/>
          <w:sz w:val="20"/>
        </w:rPr>
      </w:pPr>
    </w:p>
    <w:p w:rsidR="004E13A5" w:rsidRDefault="004E13A5">
      <w:pPr>
        <w:pStyle w:val="BodyText"/>
        <w:spacing w:before="6"/>
        <w:ind w:left="0"/>
        <w:rPr>
          <w:rFonts w:ascii="Arial"/>
          <w:sz w:val="19"/>
        </w:rPr>
      </w:pPr>
    </w:p>
    <w:p w:rsidR="004E13A5" w:rsidRDefault="00681463">
      <w:pPr>
        <w:spacing w:before="93" w:line="259" w:lineRule="auto"/>
        <w:ind w:left="341" w:right="1497"/>
        <w:rPr>
          <w:rFonts w:ascii="Arial"/>
          <w:b/>
          <w:sz w:val="20"/>
        </w:rPr>
      </w:pPr>
      <w:r>
        <w:rPr>
          <w:rFonts w:ascii="Arial"/>
          <w:b/>
          <w:sz w:val="20"/>
        </w:rPr>
        <w:t>This is to certify that the above named individual or household meets the definition for persons who are fleeing or attempting to flee human trafficking under section 107(b) of the Trafficking Victims Protection Act of 2000.</w:t>
      </w:r>
    </w:p>
    <w:p w:rsidR="004E13A5" w:rsidRDefault="004E13A5">
      <w:pPr>
        <w:pStyle w:val="BodyText"/>
        <w:spacing w:before="0"/>
        <w:ind w:left="0"/>
        <w:rPr>
          <w:rFonts w:ascii="Arial"/>
          <w:b/>
          <w:sz w:val="22"/>
        </w:rPr>
      </w:pPr>
    </w:p>
    <w:p w:rsidR="004E13A5" w:rsidRDefault="004E13A5">
      <w:pPr>
        <w:pStyle w:val="BodyText"/>
        <w:spacing w:before="7"/>
        <w:ind w:left="0"/>
        <w:rPr>
          <w:rFonts w:ascii="Arial"/>
          <w:b/>
        </w:rPr>
      </w:pPr>
    </w:p>
    <w:p w:rsidR="004E13A5" w:rsidRDefault="00681463">
      <w:pPr>
        <w:spacing w:line="276" w:lineRule="auto"/>
        <w:ind w:left="341" w:right="1358"/>
        <w:rPr>
          <w:rFonts w:ascii="Arial" w:hAnsi="Arial"/>
          <w:sz w:val="20"/>
        </w:rPr>
      </w:pPr>
      <w:r>
        <w:rPr>
          <w:rFonts w:ascii="Arial" w:hAnsi="Arial"/>
          <w:sz w:val="20"/>
        </w:rPr>
        <w:t>Immediately prior to entering the household’s current living situation, the person(s) named above was/were residing in:</w:t>
      </w:r>
    </w:p>
    <w:p w:rsidR="004E13A5" w:rsidRDefault="004E13A5">
      <w:pPr>
        <w:spacing w:line="276" w:lineRule="auto"/>
        <w:rPr>
          <w:rFonts w:ascii="Arial" w:hAnsi="Arial"/>
          <w:sz w:val="20"/>
        </w:rPr>
        <w:sectPr w:rsidR="004E13A5">
          <w:footerReference w:type="default" r:id="rId85"/>
          <w:pgSz w:w="12240" w:h="15840"/>
          <w:pgMar w:top="1500" w:right="980" w:bottom="280" w:left="1320" w:header="0" w:footer="0" w:gutter="0"/>
          <w:cols w:space="720"/>
        </w:sectPr>
      </w:pPr>
    </w:p>
    <w:p w:rsidR="004E13A5" w:rsidRDefault="004E13A5">
      <w:pPr>
        <w:pStyle w:val="BodyText"/>
        <w:spacing w:before="1"/>
        <w:ind w:left="0"/>
        <w:rPr>
          <w:rFonts w:ascii="Arial"/>
          <w:sz w:val="9"/>
        </w:rPr>
      </w:pPr>
    </w:p>
    <w:p w:rsidR="004E13A5" w:rsidRDefault="003263D1">
      <w:pPr>
        <w:pStyle w:val="BodyText"/>
        <w:spacing w:before="0" w:line="20" w:lineRule="exact"/>
        <w:ind w:left="112"/>
        <w:rPr>
          <w:rFonts w:ascii="Arial"/>
          <w:sz w:val="2"/>
        </w:rPr>
      </w:pPr>
      <w:r>
        <w:rPr>
          <w:rFonts w:ascii="Arial"/>
          <w:noProof/>
          <w:sz w:val="2"/>
        </w:rPr>
        <mc:AlternateContent>
          <mc:Choice Requires="wpg">
            <w:drawing>
              <wp:inline distT="0" distB="0" distL="0" distR="0">
                <wp:extent cx="5921375" cy="9525"/>
                <wp:effectExtent l="0" t="0" r="3175" b="9525"/>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9525"/>
                          <a:chOff x="0" y="0"/>
                          <a:chExt cx="9325" cy="15"/>
                        </a:xfrm>
                      </wpg:grpSpPr>
                      <wps:wsp>
                        <wps:cNvPr id="17" name="Line 5"/>
                        <wps:cNvCnPr>
                          <a:cxnSpLocks noChangeShapeType="1"/>
                        </wps:cNvCnPr>
                        <wps:spPr bwMode="auto">
                          <a:xfrm>
                            <a:off x="8" y="8"/>
                            <a:ext cx="9310"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9B568" id="Group 4" o:spid="_x0000_s1026" style="width:466.25pt;height:.75pt;mso-position-horizontal-relative:char;mso-position-vertical-relative:line" coordsize="93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">
                <v:line id="Line 5" o:spid="_x0000_s1027" style="position:absolute;visibility:visible;mso-wrap-style:square" from="8,8" to="9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" strokeweight=".25258mm"/>
                <w10:anchorlock/>
              </v:group>
            </w:pict>
          </mc:Fallback>
        </mc:AlternateContent>
      </w:r>
    </w:p>
    <w:p w:rsidR="004E13A5" w:rsidRDefault="003263D1">
      <w:pPr>
        <w:pStyle w:val="BodyText"/>
        <w:spacing w:before="3"/>
        <w:ind w:left="0"/>
        <w:rPr>
          <w:rFonts w:ascii="Arial"/>
          <w:sz w:val="20"/>
        </w:rPr>
      </w:pPr>
      <w:r>
        <w:rPr>
          <w:noProof/>
        </w:rPr>
        <mc:AlternateContent>
          <mc:Choice Requires="wps">
            <w:drawing>
              <wp:anchor distT="0" distB="0" distL="0" distR="0" simplePos="0" relativeHeight="2656" behindDoc="0" locked="0" layoutInCell="1" allowOverlap="1">
                <wp:simplePos x="0" y="0"/>
                <wp:positionH relativeFrom="page">
                  <wp:posOffset>914400</wp:posOffset>
                </wp:positionH>
                <wp:positionV relativeFrom="paragraph">
                  <wp:posOffset>177800</wp:posOffset>
                </wp:positionV>
                <wp:extent cx="4938395" cy="0"/>
                <wp:effectExtent l="9525" t="6350" r="5080" b="12700"/>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9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C012" id="Line 3" o:spid="_x0000_s1026" style="position:absolute;z-index: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pt" to="46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" strokeweight=".25258mm">
                <w10:wrap type="topAndBottom" anchorx="page"/>
              </v:line>
            </w:pict>
          </mc:Fallback>
        </mc:AlternateContent>
      </w:r>
    </w:p>
    <w:p w:rsidR="004E13A5" w:rsidRDefault="004E13A5">
      <w:pPr>
        <w:pStyle w:val="BodyText"/>
        <w:spacing w:before="0"/>
        <w:ind w:left="0"/>
        <w:rPr>
          <w:rFonts w:ascii="Arial"/>
          <w:sz w:val="20"/>
        </w:rPr>
      </w:pPr>
    </w:p>
    <w:p w:rsidR="004E13A5" w:rsidRDefault="004E13A5">
      <w:pPr>
        <w:pStyle w:val="BodyText"/>
        <w:spacing w:before="9"/>
        <w:ind w:left="0"/>
        <w:rPr>
          <w:rFonts w:ascii="Arial"/>
          <w:sz w:val="28"/>
        </w:rPr>
      </w:pPr>
    </w:p>
    <w:p w:rsidR="004E13A5" w:rsidRDefault="00681463">
      <w:pPr>
        <w:spacing w:before="93" w:line="276" w:lineRule="auto"/>
        <w:ind w:left="439" w:right="604"/>
        <w:rPr>
          <w:rFonts w:ascii="Arial"/>
          <w:sz w:val="20"/>
        </w:rPr>
      </w:pPr>
      <w:r>
        <w:rPr>
          <w:rFonts w:ascii="Arial"/>
          <w:sz w:val="20"/>
        </w:rPr>
        <w:t>This is to certify that the information provided on this form is true and correct to the best of my knowledge and recollection, and that the individual(s) named above is/has been a victim of human trafficking. I acknowledge that submission of false information could jeopardize program eligibility and could be the basis for denial of admission, termination of assistance, or eviction.</w:t>
      </w: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0"/>
        <w:ind w:left="0"/>
        <w:rPr>
          <w:rFonts w:ascii="Arial"/>
          <w:sz w:val="22"/>
        </w:rPr>
      </w:pPr>
    </w:p>
    <w:p w:rsidR="004E13A5" w:rsidRDefault="004E13A5">
      <w:pPr>
        <w:pStyle w:val="BodyText"/>
        <w:spacing w:before="10"/>
        <w:ind w:left="0"/>
        <w:rPr>
          <w:rFonts w:ascii="Arial"/>
          <w:sz w:val="22"/>
        </w:rPr>
      </w:pPr>
    </w:p>
    <w:p w:rsidR="004E13A5" w:rsidRDefault="00681463">
      <w:pPr>
        <w:tabs>
          <w:tab w:val="left" w:pos="6812"/>
          <w:tab w:val="left" w:pos="9531"/>
        </w:tabs>
        <w:ind w:left="439"/>
        <w:rPr>
          <w:rFonts w:ascii="Arial"/>
          <w:b/>
          <w:sz w:val="20"/>
        </w:rPr>
      </w:pPr>
      <w:r>
        <w:rPr>
          <w:rFonts w:ascii="Arial"/>
          <w:b/>
          <w:sz w:val="20"/>
        </w:rPr>
        <w:t>Authorized Agency</w:t>
      </w:r>
      <w:r>
        <w:rPr>
          <w:rFonts w:ascii="Arial"/>
          <w:b/>
          <w:spacing w:val="-20"/>
          <w:sz w:val="20"/>
        </w:rPr>
        <w:t xml:space="preserve"> </w:t>
      </w:r>
      <w:r>
        <w:rPr>
          <w:rFonts w:ascii="Arial"/>
          <w:b/>
          <w:sz w:val="20"/>
        </w:rPr>
        <w:t>Representative</w:t>
      </w:r>
      <w:r>
        <w:rPr>
          <w:rFonts w:ascii="Arial"/>
          <w:b/>
          <w:spacing w:val="-14"/>
          <w:sz w:val="20"/>
        </w:rPr>
        <w:t xml:space="preserve"> </w:t>
      </w:r>
      <w:r>
        <w:rPr>
          <w:rFonts w:ascii="Arial"/>
          <w:b/>
          <w:sz w:val="20"/>
        </w:rPr>
        <w:t>Signature:</w:t>
      </w:r>
      <w:r>
        <w:rPr>
          <w:rFonts w:ascii="Arial"/>
          <w:b/>
          <w:sz w:val="20"/>
          <w:u w:val="thick"/>
        </w:rPr>
        <w:t xml:space="preserve"> </w:t>
      </w:r>
      <w:r>
        <w:rPr>
          <w:rFonts w:ascii="Arial"/>
          <w:b/>
          <w:sz w:val="20"/>
          <w:u w:val="thick"/>
        </w:rPr>
        <w:tab/>
      </w:r>
      <w:r>
        <w:rPr>
          <w:rFonts w:ascii="Arial"/>
          <w:b/>
          <w:sz w:val="20"/>
        </w:rPr>
        <w:t xml:space="preserve">Date: </w:t>
      </w:r>
      <w:r>
        <w:rPr>
          <w:rFonts w:ascii="Arial"/>
          <w:b/>
          <w:w w:val="99"/>
          <w:sz w:val="20"/>
          <w:u w:val="thick"/>
        </w:rPr>
        <w:t xml:space="preserve"> </w:t>
      </w:r>
      <w:r>
        <w:rPr>
          <w:rFonts w:ascii="Arial"/>
          <w:b/>
          <w:sz w:val="20"/>
          <w:u w:val="thick"/>
        </w:rPr>
        <w:tab/>
      </w:r>
    </w:p>
    <w:p w:rsidR="004E13A5" w:rsidRDefault="004E13A5">
      <w:pPr>
        <w:rPr>
          <w:rFonts w:ascii="Arial"/>
          <w:sz w:val="20"/>
        </w:rPr>
        <w:sectPr w:rsidR="004E13A5">
          <w:footerReference w:type="default" r:id="rId86"/>
          <w:pgSz w:w="12240" w:h="15840"/>
          <w:pgMar w:top="1500" w:right="1280" w:bottom="280" w:left="1320" w:header="0" w:footer="0" w:gutter="0"/>
          <w:cols w:space="720"/>
        </w:sectPr>
      </w:pPr>
    </w:p>
    <w:p w:rsidR="004E13A5" w:rsidRDefault="004E13A5">
      <w:pPr>
        <w:pStyle w:val="BodyText"/>
        <w:spacing w:before="0"/>
        <w:ind w:left="0"/>
        <w:rPr>
          <w:rFonts w:ascii="Arial"/>
          <w:b/>
          <w:sz w:val="26"/>
        </w:rPr>
      </w:pPr>
    </w:p>
    <w:p w:rsidR="004E13A5" w:rsidRDefault="004E13A5">
      <w:pPr>
        <w:pStyle w:val="BodyText"/>
        <w:spacing w:before="0"/>
        <w:ind w:left="0"/>
        <w:rPr>
          <w:rFonts w:ascii="Arial"/>
          <w:b/>
          <w:sz w:val="26"/>
        </w:rPr>
      </w:pPr>
    </w:p>
    <w:p w:rsidR="004E13A5" w:rsidRDefault="004E13A5">
      <w:pPr>
        <w:pStyle w:val="BodyText"/>
        <w:spacing w:before="0"/>
        <w:ind w:left="0"/>
        <w:rPr>
          <w:rFonts w:ascii="Arial"/>
          <w:b/>
          <w:sz w:val="26"/>
        </w:rPr>
      </w:pPr>
    </w:p>
    <w:p w:rsidR="004E13A5" w:rsidRDefault="00681463">
      <w:pPr>
        <w:pStyle w:val="Heading4"/>
        <w:spacing w:before="214"/>
      </w:pPr>
      <w:r>
        <w:rPr>
          <w:spacing w:val="-1"/>
        </w:rPr>
        <w:t>INTRODUCTION</w:t>
      </w:r>
    </w:p>
    <w:p w:rsidR="004E13A5" w:rsidRDefault="00681463">
      <w:pPr>
        <w:spacing w:before="79"/>
        <w:ind w:left="81" w:right="2900"/>
        <w:jc w:val="center"/>
        <w:rPr>
          <w:b/>
          <w:sz w:val="24"/>
        </w:rPr>
      </w:pPr>
      <w:r>
        <w:br w:type="column"/>
      </w:r>
      <w:r>
        <w:rPr>
          <w:b/>
          <w:sz w:val="24"/>
        </w:rPr>
        <w:t>Chapter 19</w:t>
      </w:r>
    </w:p>
    <w:p w:rsidR="004E13A5" w:rsidRDefault="004E13A5">
      <w:pPr>
        <w:pStyle w:val="BodyText"/>
        <w:spacing w:before="9"/>
        <w:ind w:left="0"/>
        <w:rPr>
          <w:b/>
          <w:sz w:val="20"/>
        </w:rPr>
      </w:pPr>
    </w:p>
    <w:p w:rsidR="004E13A5" w:rsidRDefault="00681463">
      <w:pPr>
        <w:ind w:left="81" w:right="2900"/>
        <w:jc w:val="center"/>
        <w:rPr>
          <w:b/>
          <w:sz w:val="24"/>
        </w:rPr>
      </w:pPr>
      <w:r>
        <w:rPr>
          <w:b/>
          <w:sz w:val="24"/>
        </w:rPr>
        <w:t>SPECIAL PURPOSE VOUCHERS</w:t>
      </w:r>
    </w:p>
    <w:p w:rsidR="004E13A5" w:rsidRDefault="004E13A5">
      <w:pPr>
        <w:jc w:val="center"/>
        <w:rPr>
          <w:sz w:val="24"/>
        </w:rPr>
        <w:sectPr w:rsidR="004E13A5">
          <w:footerReference w:type="default" r:id="rId87"/>
          <w:pgSz w:w="12240" w:h="15840"/>
          <w:pgMar w:top="1360" w:right="1380" w:bottom="280" w:left="1340" w:header="0" w:footer="0" w:gutter="0"/>
          <w:cols w:num="2" w:space="720" w:equalWidth="0">
            <w:col w:w="2020" w:space="838"/>
            <w:col w:w="6662"/>
          </w:cols>
        </w:sectPr>
      </w:pPr>
    </w:p>
    <w:p w:rsidR="004E13A5" w:rsidRDefault="00681463">
      <w:pPr>
        <w:pStyle w:val="BodyText"/>
        <w:ind w:right="249"/>
      </w:pPr>
      <w:r>
        <w:t>Special purpose vouchers are specifically funded by Congress in separate appropriations from regular HCV program funding in order to target specific populations. Special purpose vouchers include vouchers for the following programs:</w:t>
      </w:r>
    </w:p>
    <w:p w:rsidR="004E13A5" w:rsidRDefault="00681463">
      <w:pPr>
        <w:pStyle w:val="ListParagraph"/>
        <w:numPr>
          <w:ilvl w:val="0"/>
          <w:numId w:val="93"/>
        </w:numPr>
        <w:tabs>
          <w:tab w:val="left" w:pos="460"/>
          <w:tab w:val="left" w:pos="461"/>
        </w:tabs>
        <w:rPr>
          <w:rFonts w:ascii="Symbol"/>
          <w:sz w:val="24"/>
        </w:rPr>
      </w:pPr>
      <w:r>
        <w:rPr>
          <w:sz w:val="24"/>
        </w:rPr>
        <w:t>Family Unification Program</w:t>
      </w:r>
      <w:r>
        <w:rPr>
          <w:spacing w:val="-12"/>
          <w:sz w:val="24"/>
        </w:rPr>
        <w:t xml:space="preserve"> </w:t>
      </w:r>
      <w:r>
        <w:rPr>
          <w:sz w:val="24"/>
        </w:rPr>
        <w:t>(FUP)</w:t>
      </w:r>
    </w:p>
    <w:p w:rsidR="004E13A5" w:rsidRDefault="00681463">
      <w:pPr>
        <w:pStyle w:val="ListParagraph"/>
        <w:numPr>
          <w:ilvl w:val="0"/>
          <w:numId w:val="93"/>
        </w:numPr>
        <w:tabs>
          <w:tab w:val="left" w:pos="460"/>
          <w:tab w:val="left" w:pos="461"/>
        </w:tabs>
        <w:spacing w:before="118"/>
        <w:rPr>
          <w:rFonts w:ascii="Symbol"/>
          <w:sz w:val="24"/>
        </w:rPr>
      </w:pPr>
      <w:r>
        <w:rPr>
          <w:sz w:val="24"/>
        </w:rPr>
        <w:t>Foster Youth to Independence (FYI)</w:t>
      </w:r>
      <w:r>
        <w:rPr>
          <w:spacing w:val="-10"/>
          <w:sz w:val="24"/>
        </w:rPr>
        <w:t xml:space="preserve"> </w:t>
      </w:r>
      <w:r>
        <w:rPr>
          <w:sz w:val="24"/>
        </w:rPr>
        <w:t>program</w:t>
      </w:r>
    </w:p>
    <w:p w:rsidR="004E13A5" w:rsidRDefault="00681463">
      <w:pPr>
        <w:pStyle w:val="ListParagraph"/>
        <w:numPr>
          <w:ilvl w:val="0"/>
          <w:numId w:val="93"/>
        </w:numPr>
        <w:tabs>
          <w:tab w:val="left" w:pos="460"/>
          <w:tab w:val="left" w:pos="461"/>
        </w:tabs>
        <w:spacing w:before="118"/>
        <w:rPr>
          <w:rFonts w:ascii="Symbol"/>
          <w:sz w:val="24"/>
        </w:rPr>
      </w:pPr>
      <w:r>
        <w:rPr>
          <w:sz w:val="24"/>
        </w:rPr>
        <w:t>Veterans Affairs Supportive Housing</w:t>
      </w:r>
      <w:r>
        <w:rPr>
          <w:spacing w:val="-12"/>
          <w:sz w:val="24"/>
        </w:rPr>
        <w:t xml:space="preserve"> </w:t>
      </w:r>
      <w:r>
        <w:rPr>
          <w:sz w:val="24"/>
        </w:rPr>
        <w:t>(VASH)</w:t>
      </w:r>
    </w:p>
    <w:p w:rsidR="004E13A5" w:rsidRDefault="00681463">
      <w:pPr>
        <w:pStyle w:val="ListParagraph"/>
        <w:numPr>
          <w:ilvl w:val="0"/>
          <w:numId w:val="93"/>
        </w:numPr>
        <w:tabs>
          <w:tab w:val="left" w:pos="460"/>
          <w:tab w:val="left" w:pos="461"/>
        </w:tabs>
        <w:rPr>
          <w:rFonts w:ascii="Symbol"/>
          <w:sz w:val="24"/>
        </w:rPr>
      </w:pPr>
      <w:r>
        <w:rPr>
          <w:sz w:val="24"/>
        </w:rPr>
        <w:t>Mainstream</w:t>
      </w:r>
    </w:p>
    <w:p w:rsidR="004E13A5" w:rsidRDefault="00681463">
      <w:pPr>
        <w:pStyle w:val="BodyText"/>
        <w:spacing w:before="121"/>
        <w:ind w:left="820"/>
      </w:pPr>
      <w:r>
        <w:t>Non-Elderly Disabled (NED)</w:t>
      </w:r>
      <w:r w:rsidR="00653A80">
        <w:t xml:space="preserve"> </w:t>
      </w:r>
    </w:p>
    <w:p w:rsidR="004E13A5" w:rsidRDefault="00681463">
      <w:pPr>
        <w:pStyle w:val="BodyText"/>
        <w:spacing w:line="343" w:lineRule="auto"/>
        <w:ind w:left="1540" w:right="1366" w:hanging="720"/>
      </w:pPr>
      <w:r>
        <w:t>The PHA will administer the following types of special purpose vouchers: VASH</w:t>
      </w:r>
    </w:p>
    <w:p w:rsidR="004E13A5" w:rsidRDefault="006F68FA">
      <w:pPr>
        <w:pStyle w:val="BodyText"/>
        <w:spacing w:before="5"/>
        <w:ind w:right="109"/>
      </w:pPr>
      <w:r>
        <w:t>Mainstream This</w:t>
      </w:r>
      <w:r w:rsidR="00681463">
        <w:t xml:space="preserve"> chapter describes HUD regulations and PHA policies for administering special purpose vouchers. The policies outlined in this chapter are organized into five sections, as follows:</w:t>
      </w:r>
    </w:p>
    <w:p w:rsidR="004E13A5" w:rsidRDefault="00681463">
      <w:pPr>
        <w:pStyle w:val="BodyText"/>
        <w:spacing w:before="120" w:line="343" w:lineRule="auto"/>
        <w:ind w:left="820" w:right="3574"/>
      </w:pPr>
      <w:r>
        <w:rPr>
          <w:u w:val="single"/>
        </w:rPr>
        <w:t>Part I: Veterans Affairs Supportive Housing (VASH) Part II: Mainstream Vouchers</w:t>
      </w:r>
    </w:p>
    <w:p w:rsidR="004E13A5" w:rsidRDefault="00681463">
      <w:pPr>
        <w:pStyle w:val="BodyText"/>
        <w:spacing w:before="6"/>
        <w:ind w:right="90"/>
      </w:pPr>
      <w:r>
        <w:t>Except as addressed by this chapter and as required under federal statute and HUD requirements, the general requirements of the HCV program apply to special purpose vouchers.</w:t>
      </w:r>
    </w:p>
    <w:p w:rsidR="004E13A5" w:rsidRDefault="00681463">
      <w:pPr>
        <w:pStyle w:val="Heading4"/>
        <w:spacing w:before="5" w:line="510" w:lineRule="atLeast"/>
        <w:ind w:right="558" w:firstLine="494"/>
      </w:pPr>
      <w:r>
        <w:t>PART I: VETERANS AFFAIRS SUPPORTIVE HOUSING (VASH) PROGRAM 19-I.A. OVERVIEW</w:t>
      </w:r>
    </w:p>
    <w:p w:rsidR="004E13A5" w:rsidRDefault="00681463">
      <w:pPr>
        <w:pStyle w:val="BodyText"/>
        <w:ind w:right="110"/>
      </w:pPr>
      <w:r>
        <w:t>Since 2008, HCV program funding has provided rental assistance under a supportive housing program for homeless veterans. The Veterans Affairs Supportive Housing (VASH) program combines HCV rental assistance with case management and clinical services provided by the Department of Veterans Affairs (VA) at VA medical centers (VAMCs) and Community-Based Outpatient Clinics (CBOCs) , or through a designated service provider (DSP) as approved by the VA Secretary. . Eligible families are homeless veterans and their families that agree to participate in VA case management and are referred to the VAMC’s partner PHA for HCV assistance. The VAMC orDSP’s responsibilities include:</w:t>
      </w:r>
    </w:p>
    <w:p w:rsidR="004E13A5" w:rsidRDefault="00681463">
      <w:pPr>
        <w:pStyle w:val="ListParagraph"/>
        <w:numPr>
          <w:ilvl w:val="0"/>
          <w:numId w:val="93"/>
        </w:numPr>
        <w:tabs>
          <w:tab w:val="left" w:pos="460"/>
          <w:tab w:val="left" w:pos="461"/>
        </w:tabs>
        <w:ind w:right="325"/>
        <w:rPr>
          <w:rFonts w:ascii="Symbol"/>
          <w:sz w:val="24"/>
        </w:rPr>
      </w:pPr>
      <w:r>
        <w:rPr>
          <w:sz w:val="24"/>
        </w:rPr>
        <w:t>Screening homeless veterans to determine whether they meet VASH program participation criteria;</w:t>
      </w:r>
    </w:p>
    <w:p w:rsidR="004E13A5" w:rsidRDefault="00681463">
      <w:pPr>
        <w:pStyle w:val="ListParagraph"/>
        <w:numPr>
          <w:ilvl w:val="0"/>
          <w:numId w:val="93"/>
        </w:numPr>
        <w:tabs>
          <w:tab w:val="left" w:pos="460"/>
          <w:tab w:val="left" w:pos="461"/>
        </w:tabs>
        <w:rPr>
          <w:rFonts w:ascii="Symbol"/>
          <w:sz w:val="24"/>
        </w:rPr>
      </w:pPr>
      <w:r>
        <w:rPr>
          <w:sz w:val="24"/>
        </w:rPr>
        <w:t>Referring homeless veterans to the</w:t>
      </w:r>
      <w:r>
        <w:rPr>
          <w:spacing w:val="-6"/>
          <w:sz w:val="24"/>
        </w:rPr>
        <w:t xml:space="preserve"> </w:t>
      </w:r>
      <w:r>
        <w:rPr>
          <w:sz w:val="24"/>
        </w:rPr>
        <w:t>PHA;</w:t>
      </w:r>
    </w:p>
    <w:p w:rsidR="004E13A5" w:rsidRDefault="00681463">
      <w:pPr>
        <w:pStyle w:val="ListParagraph"/>
        <w:numPr>
          <w:ilvl w:val="1"/>
          <w:numId w:val="93"/>
        </w:numPr>
        <w:tabs>
          <w:tab w:val="left" w:pos="820"/>
          <w:tab w:val="left" w:pos="821"/>
        </w:tabs>
        <w:spacing w:before="118"/>
        <w:ind w:right="349"/>
        <w:rPr>
          <w:sz w:val="24"/>
        </w:rPr>
      </w:pPr>
      <w:r>
        <w:rPr>
          <w:sz w:val="24"/>
        </w:rPr>
        <w:t xml:space="preserve">The term </w:t>
      </w:r>
      <w:r>
        <w:rPr>
          <w:i/>
          <w:sz w:val="24"/>
        </w:rPr>
        <w:t xml:space="preserve">homeless veteran </w:t>
      </w:r>
      <w:r>
        <w:rPr>
          <w:sz w:val="24"/>
        </w:rPr>
        <w:t>means a veteran who is homeless (as that term is defined</w:t>
      </w:r>
      <w:r>
        <w:rPr>
          <w:spacing w:val="-15"/>
          <w:sz w:val="24"/>
        </w:rPr>
        <w:t xml:space="preserve"> </w:t>
      </w:r>
      <w:r>
        <w:rPr>
          <w:sz w:val="24"/>
        </w:rPr>
        <w:t>in subsection (a) or (b) of Section 103 of the McKinney-Vento Homeless Assistance Act (42 U.S.C. 11302)). See 38 U.S.C.</w:t>
      </w:r>
      <w:r>
        <w:rPr>
          <w:spacing w:val="-4"/>
          <w:sz w:val="24"/>
        </w:rPr>
        <w:t xml:space="preserve"> </w:t>
      </w:r>
      <w:r>
        <w:rPr>
          <w:sz w:val="24"/>
        </w:rPr>
        <w:t>2002.</w:t>
      </w:r>
    </w:p>
    <w:p w:rsidR="004E13A5" w:rsidRDefault="004E13A5">
      <w:pPr>
        <w:rPr>
          <w:sz w:val="24"/>
        </w:rPr>
        <w:sectPr w:rsidR="004E13A5">
          <w:type w:val="continuous"/>
          <w:pgSz w:w="12240" w:h="15840"/>
          <w:pgMar w:top="1500" w:right="1380" w:bottom="280" w:left="1340" w:header="720" w:footer="720" w:gutter="0"/>
          <w:cols w:space="720"/>
        </w:sectPr>
      </w:pPr>
    </w:p>
    <w:p w:rsidR="004E13A5" w:rsidRDefault="00681463">
      <w:pPr>
        <w:pStyle w:val="ListParagraph"/>
        <w:numPr>
          <w:ilvl w:val="0"/>
          <w:numId w:val="93"/>
        </w:numPr>
        <w:tabs>
          <w:tab w:val="left" w:pos="460"/>
          <w:tab w:val="left" w:pos="461"/>
        </w:tabs>
        <w:spacing w:before="79"/>
        <w:ind w:right="395"/>
        <w:rPr>
          <w:rFonts w:ascii="Symbol"/>
          <w:sz w:val="24"/>
        </w:rPr>
      </w:pPr>
      <w:r>
        <w:rPr>
          <w:sz w:val="24"/>
        </w:rPr>
        <w:lastRenderedPageBreak/>
        <w:t>Providing appropriate treatment and supportive services to potential VASH participants,</w:t>
      </w:r>
      <w:r>
        <w:rPr>
          <w:spacing w:val="-14"/>
          <w:sz w:val="24"/>
        </w:rPr>
        <w:t xml:space="preserve"> </w:t>
      </w:r>
      <w:r>
        <w:rPr>
          <w:sz w:val="24"/>
        </w:rPr>
        <w:t>if needed, prior to PHA issuance of a</w:t>
      </w:r>
      <w:r>
        <w:rPr>
          <w:spacing w:val="-7"/>
          <w:sz w:val="24"/>
        </w:rPr>
        <w:t xml:space="preserve"> </w:t>
      </w:r>
      <w:r>
        <w:rPr>
          <w:sz w:val="24"/>
        </w:rPr>
        <w:t>voucher;</w:t>
      </w:r>
    </w:p>
    <w:p w:rsidR="004E13A5" w:rsidRDefault="00681463">
      <w:pPr>
        <w:pStyle w:val="ListParagraph"/>
        <w:numPr>
          <w:ilvl w:val="0"/>
          <w:numId w:val="93"/>
        </w:numPr>
        <w:tabs>
          <w:tab w:val="left" w:pos="460"/>
          <w:tab w:val="left" w:pos="461"/>
        </w:tabs>
        <w:rPr>
          <w:rFonts w:ascii="Symbol"/>
          <w:sz w:val="24"/>
        </w:rPr>
      </w:pPr>
      <w:r>
        <w:rPr>
          <w:sz w:val="24"/>
        </w:rPr>
        <w:t>Providing housing search assistance to VASH</w:t>
      </w:r>
      <w:r>
        <w:rPr>
          <w:spacing w:val="-6"/>
          <w:sz w:val="24"/>
        </w:rPr>
        <w:t xml:space="preserve"> </w:t>
      </w:r>
      <w:r>
        <w:rPr>
          <w:sz w:val="24"/>
        </w:rPr>
        <w:t>participants;</w:t>
      </w:r>
    </w:p>
    <w:p w:rsidR="004E13A5" w:rsidRDefault="00681463">
      <w:pPr>
        <w:pStyle w:val="ListParagraph"/>
        <w:numPr>
          <w:ilvl w:val="0"/>
          <w:numId w:val="93"/>
        </w:numPr>
        <w:tabs>
          <w:tab w:val="left" w:pos="460"/>
          <w:tab w:val="left" w:pos="461"/>
        </w:tabs>
        <w:spacing w:before="118"/>
        <w:ind w:right="597"/>
        <w:rPr>
          <w:rFonts w:ascii="Symbol" w:hAnsi="Symbol"/>
          <w:sz w:val="24"/>
        </w:rPr>
      </w:pPr>
      <w:r>
        <w:rPr>
          <w:sz w:val="24"/>
        </w:rPr>
        <w:t>Identifying the social service and medical needs of VASH participants, and providing</w:t>
      </w:r>
      <w:r>
        <w:rPr>
          <w:spacing w:val="-18"/>
          <w:sz w:val="24"/>
        </w:rPr>
        <w:t xml:space="preserve"> </w:t>
      </w:r>
      <w:r>
        <w:rPr>
          <w:sz w:val="24"/>
        </w:rPr>
        <w:t>or ensuring the provision of regular ongoing case management, outpatient health services, hospitalization, and other supportive services as needed throughout the veterans’ participation period;</w:t>
      </w:r>
      <w:r>
        <w:rPr>
          <w:spacing w:val="-6"/>
          <w:sz w:val="24"/>
        </w:rPr>
        <w:t xml:space="preserve"> </w:t>
      </w:r>
      <w:r>
        <w:rPr>
          <w:sz w:val="24"/>
        </w:rPr>
        <w:t>and</w:t>
      </w:r>
    </w:p>
    <w:p w:rsidR="004E13A5" w:rsidRDefault="00681463">
      <w:pPr>
        <w:pStyle w:val="ListParagraph"/>
        <w:numPr>
          <w:ilvl w:val="0"/>
          <w:numId w:val="93"/>
        </w:numPr>
        <w:tabs>
          <w:tab w:val="left" w:pos="460"/>
          <w:tab w:val="left" w:pos="461"/>
        </w:tabs>
        <w:ind w:right="174"/>
        <w:rPr>
          <w:rFonts w:ascii="Symbol"/>
          <w:sz w:val="24"/>
        </w:rPr>
      </w:pPr>
      <w:r>
        <w:rPr>
          <w:sz w:val="24"/>
        </w:rPr>
        <w:t>Maintaining records and providing information for evaluation purposes, as required by</w:t>
      </w:r>
      <w:r>
        <w:rPr>
          <w:spacing w:val="-14"/>
          <w:sz w:val="24"/>
        </w:rPr>
        <w:t xml:space="preserve"> </w:t>
      </w:r>
      <w:r>
        <w:rPr>
          <w:sz w:val="24"/>
        </w:rPr>
        <w:t>HUD and the</w:t>
      </w:r>
      <w:r>
        <w:rPr>
          <w:spacing w:val="-3"/>
          <w:sz w:val="24"/>
        </w:rPr>
        <w:t xml:space="preserve"> </w:t>
      </w:r>
      <w:r>
        <w:rPr>
          <w:sz w:val="24"/>
        </w:rPr>
        <w:t>VA.</w:t>
      </w:r>
    </w:p>
    <w:p w:rsidR="004E13A5" w:rsidRDefault="00681463">
      <w:pPr>
        <w:pStyle w:val="BodyText"/>
        <w:ind w:right="129"/>
      </w:pPr>
      <w:r>
        <w:t>VASH vouchers are awarded noncompetitively based on geographic need and PHA administrative performance. Eligible PHAs must be located within the jurisdiction of a VAMC and in an area of high need based on data compiled by HUD and the VA. When Congress funds a new allocation of VASH vouchers, HUD invites eligible PHAs to apply for a specified number of vouchers.</w:t>
      </w:r>
    </w:p>
    <w:p w:rsidR="004E13A5" w:rsidRDefault="00681463">
      <w:pPr>
        <w:pStyle w:val="BodyText"/>
        <w:ind w:right="116"/>
      </w:pPr>
      <w:r>
        <w:t>Generally, the HUD-VASH program is administered in accordance with regular HCV program requirements. However, HUD is authorized to waive or specify alternative requirements to allow PHAs to effectively deliver and administer VASH assistance. Alternative requirements are established in the HUD-VASH Operating Requirements, which were originally published in the Federal Register on May 6, 2008, and updated September 27, 2021</w:t>
      </w:r>
      <w:r w:rsidR="003E2CA1" w:rsidRPr="003E2CA1">
        <w:t xml:space="preserve"> </w:t>
      </w:r>
      <w:r w:rsidR="003E2CA1" w:rsidRPr="004D55F6">
        <w:t>and then again in 2024</w:t>
      </w:r>
      <w:r w:rsidR="003E2CA1" w:rsidRPr="007B79DB">
        <w:t>.</w:t>
      </w:r>
      <w:r>
        <w:t xml:space="preserve">. Unless expressly waived by HUD, all regulatory requirements and HUD directives regarding the HCV program </w:t>
      </w:r>
      <w:r w:rsidR="00F95312" w:rsidRPr="004D55F6">
        <w:t>requirements</w:t>
      </w:r>
      <w:r w:rsidR="00F95312">
        <w:t xml:space="preserve"> </w:t>
      </w:r>
      <w:r>
        <w:t>are applicable to VASH vouchers, including the use of all HUD-required contracts and other forms, and all civil rights and fair housing requirements. In addition, the PHA may request additional statutory or regulatory waivers that it determines are necessary for the effective delivery and administration of the program.</w:t>
      </w:r>
    </w:p>
    <w:p w:rsidR="004E13A5" w:rsidRDefault="00681463">
      <w:pPr>
        <w:pStyle w:val="BodyText"/>
        <w:ind w:right="141"/>
      </w:pPr>
      <w:r>
        <w:t>The VASH program is administered in accordance with applicable Fair Housing requirements since civil rights requirements cannot be waived under the program. These include applicable authorities under 24 CFR 5.105(a) and 24 CFR 982.53 including, but not limited to, the Fair Housing Act, Section 504 of the Rehabilitation Act of 1973, Title VI of the Civil Rights Act of 1964, the Americans with Disabilities Act, and the Age Discrimination Act and all PHA policies as outlined in Chapter 2 of this document.</w:t>
      </w:r>
    </w:p>
    <w:p w:rsidR="004E13A5" w:rsidRDefault="00681463">
      <w:pPr>
        <w:pStyle w:val="BodyText"/>
        <w:ind w:right="62"/>
      </w:pPr>
      <w:r>
        <w:t>When HUD-VASH recipients include veterans with disabilities or family members with disabilities, reasonable accommodation requirements in Part II of Chapter 2 of this policy apply.</w:t>
      </w:r>
    </w:p>
    <w:p w:rsidR="004E13A5" w:rsidRDefault="004E13A5">
      <w:pPr>
        <w:pStyle w:val="BodyText"/>
        <w:spacing w:before="9"/>
        <w:ind w:left="0"/>
        <w:rPr>
          <w:sz w:val="20"/>
        </w:rPr>
      </w:pPr>
    </w:p>
    <w:p w:rsidR="004E13A5" w:rsidRDefault="00681463">
      <w:pPr>
        <w:pStyle w:val="Heading4"/>
      </w:pPr>
      <w:r>
        <w:t>19-I.B. REFERRALS [</w:t>
      </w:r>
      <w:r w:rsidR="00F95312" w:rsidRPr="002257FF">
        <w:rPr>
          <w:b w:val="0"/>
          <w:bCs w:val="0"/>
        </w:rPr>
        <w:t>FR Notice 8/13/24</w:t>
      </w:r>
      <w:r w:rsidR="00F95312">
        <w:rPr>
          <w:b w:val="0"/>
          <w:bCs w:val="0"/>
        </w:rPr>
        <w:t xml:space="preserve"> </w:t>
      </w:r>
      <w:r>
        <w:t>and HUD-VASH Q&amp;As]</w:t>
      </w:r>
    </w:p>
    <w:p w:rsidR="004E13A5" w:rsidRDefault="00681463">
      <w:pPr>
        <w:pStyle w:val="BodyText"/>
        <w:spacing w:before="120"/>
        <w:ind w:right="105"/>
      </w:pPr>
      <w:r>
        <w:t>VAMC case managers will screen all families in accordance with VA screening criteria and refer eligible families to the PHA for determination of program eligibility and voucher issuance. The PHA has no role in determining or verifying the veteran’s eligibility under VA screening</w:t>
      </w:r>
      <w:r>
        <w:rPr>
          <w:spacing w:val="-20"/>
        </w:rPr>
        <w:t xml:space="preserve"> </w:t>
      </w:r>
      <w:r>
        <w:t>criteria, including determining the veteran’s homelessness status. The PHA must accept referrals from the partnering VAMC and must maintain written documentation of referrals in VASH tenant files. Upon turnover, VASH vouchers must be issued to eligible veteran families as identified by the</w:t>
      </w:r>
      <w:r>
        <w:rPr>
          <w:spacing w:val="-2"/>
        </w:rPr>
        <w:t xml:space="preserve"> </w:t>
      </w:r>
      <w:r>
        <w:t>VAMC.</w:t>
      </w:r>
    </w:p>
    <w:p w:rsidR="004E13A5" w:rsidRDefault="004E13A5">
      <w:pPr>
        <w:sectPr w:rsidR="004E13A5">
          <w:footerReference w:type="default" r:id="rId88"/>
          <w:pgSz w:w="12240" w:h="15840"/>
          <w:pgMar w:top="1360" w:right="1360" w:bottom="280" w:left="1340" w:header="0" w:footer="0"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ind w:left="820" w:right="82"/>
      </w:pPr>
      <w:r>
        <w:t>In order to expedite the screening process, the PHA will provide all forms and a list of documents required for the VASH application to the VAMC. Case managers will work with veterans to fill out the forms and compile all documents prior to meeting with the PHA and submitting an application. When feasible, the VAMC case manager should email o</w:t>
      </w:r>
      <w:r w:rsidR="00F95312" w:rsidRPr="00F95312" w:rsidDel="00FD3C7F">
        <w:rPr>
          <w:rFonts w:eastAsia="Calibri"/>
        </w:rPr>
        <w:t xml:space="preserve"> </w:t>
      </w:r>
      <w:r>
        <w:t>copies of all documents to the PHA prior to the meeting in order to allow the PHA time to review them and start a file for the veteran.</w:t>
      </w:r>
    </w:p>
    <w:p w:rsidR="004E13A5" w:rsidRDefault="00681463">
      <w:pPr>
        <w:pStyle w:val="BodyText"/>
        <w:ind w:left="820"/>
      </w:pPr>
      <w:r>
        <w:t>After the VAMC has given the PHA a complete referral, the PHA will perform an eligibility screening within five business days of receipt of a VAMC referral.</w:t>
      </w:r>
    </w:p>
    <w:p w:rsidR="004E13A5" w:rsidRDefault="004E13A5">
      <w:pPr>
        <w:pStyle w:val="BodyText"/>
        <w:spacing w:before="9"/>
        <w:ind w:left="0"/>
        <w:rPr>
          <w:sz w:val="20"/>
        </w:rPr>
      </w:pPr>
    </w:p>
    <w:p w:rsidR="004E13A5" w:rsidRDefault="00681463">
      <w:pPr>
        <w:pStyle w:val="Heading4"/>
      </w:pPr>
      <w:r>
        <w:t xml:space="preserve">19-I.C. HCV PROGRAM ELIGIBILITY </w:t>
      </w:r>
      <w:r w:rsidR="00F95312" w:rsidRPr="002257FF">
        <w:rPr>
          <w:b w:val="0"/>
          <w:bCs w:val="0"/>
        </w:rPr>
        <w:t>[FR Notice 8/13/24]</w:t>
      </w:r>
    </w:p>
    <w:p w:rsidR="004E13A5" w:rsidRDefault="00681463">
      <w:pPr>
        <w:pStyle w:val="BodyText"/>
      </w:pPr>
      <w:r>
        <w:t>Eligible participants are homeless veterans and their families who agree to participate in case management from the VAMC.</w:t>
      </w:r>
    </w:p>
    <w:p w:rsidR="004E13A5" w:rsidRDefault="00681463">
      <w:pPr>
        <w:pStyle w:val="ListParagraph"/>
        <w:numPr>
          <w:ilvl w:val="0"/>
          <w:numId w:val="93"/>
        </w:numPr>
        <w:tabs>
          <w:tab w:val="left" w:pos="460"/>
          <w:tab w:val="left" w:pos="461"/>
        </w:tabs>
        <w:ind w:right="353"/>
        <w:rPr>
          <w:rFonts w:ascii="Symbol" w:hAnsi="Symbol"/>
          <w:sz w:val="24"/>
        </w:rPr>
      </w:pPr>
      <w:r>
        <w:rPr>
          <w:sz w:val="24"/>
        </w:rPr>
        <w:t xml:space="preserve">A </w:t>
      </w:r>
      <w:r>
        <w:rPr>
          <w:i/>
          <w:sz w:val="24"/>
        </w:rPr>
        <w:t xml:space="preserve">VASH Veteran </w:t>
      </w:r>
      <w:r>
        <w:rPr>
          <w:sz w:val="24"/>
        </w:rPr>
        <w:t xml:space="preserve">or </w:t>
      </w:r>
      <w:r>
        <w:rPr>
          <w:i/>
          <w:sz w:val="24"/>
        </w:rPr>
        <w:t xml:space="preserve">veteran family </w:t>
      </w:r>
      <w:r>
        <w:rPr>
          <w:sz w:val="24"/>
        </w:rPr>
        <w:t xml:space="preserve">refers to either a single veteran or a veteran with a household composed of two or more related persons. </w:t>
      </w:r>
      <w:r>
        <w:rPr>
          <w:spacing w:val="-3"/>
          <w:sz w:val="24"/>
        </w:rPr>
        <w:t xml:space="preserve">It </w:t>
      </w:r>
      <w:r>
        <w:rPr>
          <w:sz w:val="24"/>
        </w:rPr>
        <w:t>also includes one or more eligible persons living with the veteran who are determined to be important to the veteran’s care</w:t>
      </w:r>
      <w:r>
        <w:rPr>
          <w:spacing w:val="-14"/>
          <w:sz w:val="24"/>
        </w:rPr>
        <w:t xml:space="preserve"> </w:t>
      </w:r>
      <w:r>
        <w:rPr>
          <w:sz w:val="24"/>
        </w:rPr>
        <w:t>or well-being.</w:t>
      </w:r>
    </w:p>
    <w:p w:rsidR="004E13A5" w:rsidRDefault="00681463">
      <w:pPr>
        <w:pStyle w:val="ListParagraph"/>
        <w:numPr>
          <w:ilvl w:val="0"/>
          <w:numId w:val="93"/>
        </w:numPr>
        <w:tabs>
          <w:tab w:val="left" w:pos="460"/>
          <w:tab w:val="left" w:pos="461"/>
        </w:tabs>
        <w:ind w:right="264"/>
        <w:rPr>
          <w:rFonts w:ascii="Symbol"/>
          <w:sz w:val="24"/>
        </w:rPr>
      </w:pPr>
      <w:r>
        <w:rPr>
          <w:sz w:val="24"/>
        </w:rPr>
        <w:t>A veteran for the purpose of VASH is a person whose length of service meets statutory requirements, and who served in the active military, naval, or air service, was discharged</w:t>
      </w:r>
      <w:r>
        <w:rPr>
          <w:spacing w:val="-15"/>
          <w:sz w:val="24"/>
        </w:rPr>
        <w:t xml:space="preserve"> </w:t>
      </w:r>
      <w:r>
        <w:rPr>
          <w:sz w:val="24"/>
        </w:rPr>
        <w:t>or released under conditions other than dishonorable, and is eligible for VA health</w:t>
      </w:r>
      <w:r>
        <w:rPr>
          <w:spacing w:val="-22"/>
          <w:sz w:val="24"/>
        </w:rPr>
        <w:t xml:space="preserve"> </w:t>
      </w:r>
      <w:r>
        <w:rPr>
          <w:sz w:val="24"/>
        </w:rPr>
        <w:t>care.</w:t>
      </w:r>
    </w:p>
    <w:p w:rsidR="004E13A5" w:rsidRDefault="00681463">
      <w:pPr>
        <w:pStyle w:val="BodyText"/>
        <w:ind w:right="168"/>
      </w:pPr>
      <w:r>
        <w:t>Under VASH, PHAs do not have authority to determine family eligibility in accordance with HCV program rules and PHA policies. The only reasons for denial of assistance by the PHA are failure to meet the income eligibility requirements and/or that a family member is subject to a lifetime registration requirement under a state sex offender registration program. Under portability, the receiving PHA must also comply with these VASH screening requirements.</w:t>
      </w:r>
    </w:p>
    <w:p w:rsidR="004E13A5" w:rsidRDefault="00681463">
      <w:pPr>
        <w:pStyle w:val="Heading4"/>
        <w:spacing w:before="119"/>
      </w:pPr>
      <w:r>
        <w:t>Social Security Numbers</w:t>
      </w:r>
    </w:p>
    <w:p w:rsidR="004E13A5" w:rsidRDefault="00681463">
      <w:pPr>
        <w:pStyle w:val="BodyText"/>
        <w:ind w:right="108"/>
      </w:pPr>
      <w:r>
        <w:t>When verifying Social Security numbers (SSNs) for homeless veterans and their family members,</w:t>
      </w:r>
      <w:r w:rsidR="00F95312">
        <w:t xml:space="preserve"> </w:t>
      </w:r>
      <w:r w:rsidR="00F95312" w:rsidRPr="004D55F6">
        <w:t>PHAs must use available flexibilities in accordance with 24 CFR 5.216(g)(1)(iii) to accept self-certification of SSNs and at least one third-party document, such as a bank statement, utility or cell phone bill, or benefit letter that contains the name of the individual in the absence of other documentation</w:t>
      </w:r>
    </w:p>
    <w:p w:rsidR="004E13A5" w:rsidRDefault="00681463">
      <w:pPr>
        <w:pStyle w:val="BodyText"/>
        <w:ind w:right="82"/>
      </w:pPr>
      <w:r>
        <w:t>In the case of the homeless veteran, the PHA must accept the Certificate of Release or Discharge from Active Duty (DD-214) or the VA-verified Application for Health Benefits (10-10EZ) as verification of SSN</w:t>
      </w:r>
      <w:r w:rsidR="00F95312" w:rsidRPr="00F95312">
        <w:t xml:space="preserve"> </w:t>
      </w:r>
      <w:r w:rsidR="00F95312" w:rsidRPr="004D55F6">
        <w:t>if these forms are available</w:t>
      </w:r>
      <w:r>
        <w:t xml:space="preserve"> and cannot require the veteran to provide a Social Security card. A VA- issued identification card may also be used to verify the SSN of a homeless veteran.</w:t>
      </w:r>
    </w:p>
    <w:p w:rsidR="004E13A5" w:rsidRDefault="00681463">
      <w:pPr>
        <w:pStyle w:val="Heading4"/>
        <w:spacing w:before="120"/>
      </w:pPr>
      <w:r>
        <w:t>Proof of Age</w:t>
      </w:r>
    </w:p>
    <w:p w:rsidR="004E13A5" w:rsidRDefault="00681463">
      <w:pPr>
        <w:pStyle w:val="BodyText"/>
        <w:spacing w:before="120"/>
        <w:ind w:right="416"/>
      </w:pPr>
      <w:r>
        <w:t>The DD-214 or 10-10EZ must be accepted as proof of age in lieu of birth certificates or other PHA-required documentation as outlined in Section 7-II.C. of this policy. A VA-issued identification card may also be used to verify the age of a homeless veteran.</w:t>
      </w:r>
    </w:p>
    <w:p w:rsidR="004E13A5" w:rsidRDefault="004E13A5">
      <w:pPr>
        <w:pStyle w:val="BodyText"/>
        <w:spacing w:before="0"/>
        <w:ind w:left="0"/>
        <w:rPr>
          <w:sz w:val="26"/>
        </w:rPr>
      </w:pPr>
    </w:p>
    <w:p w:rsidR="004E13A5" w:rsidRDefault="00681463">
      <w:pPr>
        <w:pStyle w:val="Heading4"/>
        <w:spacing w:before="217"/>
      </w:pPr>
      <w:r>
        <w:t>Photo Identification</w:t>
      </w:r>
    </w:p>
    <w:p w:rsidR="004E13A5" w:rsidRDefault="004E13A5">
      <w:pPr>
        <w:sectPr w:rsidR="004E13A5">
          <w:footerReference w:type="default" r:id="rId89"/>
          <w:pgSz w:w="12240" w:h="15840"/>
          <w:pgMar w:top="1360" w:right="1380" w:bottom="280" w:left="1340" w:header="0" w:footer="0" w:gutter="0"/>
          <w:cols w:space="720"/>
        </w:sectPr>
      </w:pPr>
    </w:p>
    <w:p w:rsidR="004E13A5" w:rsidRDefault="00681463">
      <w:pPr>
        <w:pStyle w:val="BodyText"/>
        <w:spacing w:before="79"/>
        <w:ind w:right="329"/>
      </w:pPr>
      <w:r>
        <w:lastRenderedPageBreak/>
        <w:t>A VA-issued identification card must be accepted in lieu of another type of government-issued photo identification. These cards also serve as verification of SSNs and date of birth</w:t>
      </w:r>
    </w:p>
    <w:p w:rsidR="004E13A5" w:rsidRDefault="00681463">
      <w:pPr>
        <w:pStyle w:val="Heading4"/>
        <w:spacing w:before="119"/>
      </w:pPr>
      <w:r>
        <w:t>Income Eligibility</w:t>
      </w:r>
      <w:r w:rsidR="00F95312" w:rsidRPr="002257FF">
        <w:rPr>
          <w:b w:val="0"/>
          <w:bCs w:val="0"/>
        </w:rPr>
        <w:t>[FR Notice 8/13/24]</w:t>
      </w:r>
    </w:p>
    <w:p w:rsidR="004E13A5" w:rsidRDefault="00F95312">
      <w:pPr>
        <w:pStyle w:val="BodyText"/>
      </w:pPr>
      <w:r w:rsidRPr="00B77FAB">
        <w:t>With some exceptions, the</w:t>
      </w:r>
      <w:r w:rsidR="00681463">
        <w:t xml:space="preserve"> PHA must determine income eligibility for VASH families in accordance with 24 CFR</w:t>
      </w:r>
    </w:p>
    <w:p w:rsidR="004E13A5" w:rsidRDefault="00681463">
      <w:pPr>
        <w:pStyle w:val="BodyText"/>
        <w:spacing w:before="0"/>
        <w:ind w:right="262"/>
      </w:pPr>
      <w:r>
        <w:t>982.201 and policies in Section 3-II.A.</w:t>
      </w:r>
      <w:r w:rsidR="00F95312" w:rsidRPr="00F95312">
        <w:t xml:space="preserve"> </w:t>
      </w:r>
      <w:r w:rsidR="00F95312" w:rsidRPr="00B77FAB">
        <w:t xml:space="preserve">. Low-income families (80 percent of AMI) are eligible for assistance under VASH, and PHAs may not condition eligibility based on additional eligibility criteria specified in its administrative plan. </w:t>
      </w:r>
      <w:r>
        <w:t xml:space="preserve"> If the family is over-income based on the most recently published income limits for the family size, the family will be ineligible for assistance.</w:t>
      </w:r>
    </w:p>
    <w:p w:rsidR="00F95312" w:rsidRPr="00B77FAB" w:rsidRDefault="00F95312" w:rsidP="00F95312">
      <w:pPr>
        <w:pStyle w:val="BodyText"/>
        <w:spacing w:before="120"/>
      </w:pPr>
      <w:r w:rsidRPr="00B77FAB">
        <w:t>The following alternative requirements related to income apply to VASH families:</w:t>
      </w:r>
    </w:p>
    <w:p w:rsidR="00F95312" w:rsidRPr="00FE378D" w:rsidRDefault="00F95312" w:rsidP="00F95312">
      <w:pPr>
        <w:pStyle w:val="BodyText"/>
        <w:widowControl/>
        <w:numPr>
          <w:ilvl w:val="0"/>
          <w:numId w:val="98"/>
        </w:numPr>
        <w:adjustRightInd w:val="0"/>
        <w:spacing w:before="120"/>
        <w:ind w:left="360"/>
      </w:pPr>
      <w:r w:rsidRPr="00B77FAB">
        <w:t xml:space="preserve">The PHA must determine the applicant’s annual income for purposes of income eligibility by </w:t>
      </w:r>
      <w:r w:rsidRPr="00FE378D">
        <w:t xml:space="preserve">excluding all VA service-connected benefits received by the applicant. This special income exclusion only applies to the definition of </w:t>
      </w:r>
      <w:r w:rsidRPr="00FE378D">
        <w:rPr>
          <w:i/>
          <w:iCs/>
        </w:rPr>
        <w:t>annual income</w:t>
      </w:r>
      <w:r w:rsidRPr="00FE378D">
        <w:t xml:space="preserve"> for purposes of determining income eligibility. If the HUD-VASH applicant qualifies as a low-income family under the alternative requirement, the VA service-connected benefits (with the exception of the normally excluded deferred VA disability payments under 24 CFR 5.609(b)(16) and the payments related to aid and attendance under 24 CFR 5.609(b)(17)) must still be included as annual income when calculating the family’s adjusted income. In other words, the VA service-connected disability benefits are excluded for purposes of determining income eligibility but included for purposes of calculating the family’s total tenant payment (TTP), housing assistance payment (HAP), and family share.   </w:t>
      </w:r>
    </w:p>
    <w:p w:rsidR="00F95312" w:rsidRPr="00FE378D" w:rsidRDefault="00F95312" w:rsidP="00F95312">
      <w:pPr>
        <w:pStyle w:val="BodyText"/>
        <w:widowControl/>
        <w:numPr>
          <w:ilvl w:val="0"/>
          <w:numId w:val="98"/>
        </w:numPr>
        <w:adjustRightInd w:val="0"/>
        <w:spacing w:before="120"/>
        <w:ind w:left="360"/>
      </w:pPr>
      <w:r w:rsidRPr="00FE378D">
        <w:t>When a veteran family reports that they have zero income, the PHA must accept a self-certification of zero income from the family at admission and at reexamination without taking any additional steps to verify the family is indeed zero income. The self-certification does not need to be notarized. The PHA must verify families’ income in the Enterprise Income Verification (EIV) system within 120 days after admission. The PHA may not deny zero income families.</w:t>
      </w:r>
    </w:p>
    <w:p w:rsidR="00F95312" w:rsidRPr="00FE378D" w:rsidRDefault="00F95312" w:rsidP="00F95312">
      <w:pPr>
        <w:pStyle w:val="BodyText"/>
        <w:widowControl/>
        <w:numPr>
          <w:ilvl w:val="0"/>
          <w:numId w:val="98"/>
        </w:numPr>
        <w:adjustRightInd w:val="0"/>
        <w:spacing w:before="120"/>
        <w:ind w:left="360"/>
      </w:pPr>
      <w:r w:rsidRPr="00FE378D">
        <w:t xml:space="preserve">Regardless of PHA policy, in determining compliance with the asset limitation at admission, for the VASH program, the PHA must accept a self-certification by the family that the family’s total assets are equal to or less than the HUD-published asset limitation amount (adjusted annually) and that the family does not have any present ownership interest in real property, without taking additional steps to verify the accuracy of the declaration. </w:t>
      </w:r>
    </w:p>
    <w:p w:rsidR="00F95312" w:rsidRPr="00FE378D" w:rsidRDefault="00F95312" w:rsidP="00F95312">
      <w:pPr>
        <w:pStyle w:val="BodyText"/>
        <w:widowControl/>
        <w:numPr>
          <w:ilvl w:val="0"/>
          <w:numId w:val="98"/>
        </w:numPr>
        <w:adjustRightInd w:val="0"/>
        <w:spacing w:before="120"/>
        <w:ind w:left="360"/>
      </w:pPr>
      <w:r w:rsidRPr="00FE378D">
        <w:t>The PHA must not enforce the asset limitation for VASH families at reexamination.</w:t>
      </w:r>
    </w:p>
    <w:p w:rsidR="00F95312" w:rsidRPr="00FE378D" w:rsidRDefault="00F95312" w:rsidP="00F95312">
      <w:pPr>
        <w:pStyle w:val="BodyText"/>
        <w:widowControl/>
        <w:numPr>
          <w:ilvl w:val="0"/>
          <w:numId w:val="98"/>
        </w:numPr>
        <w:adjustRightInd w:val="0"/>
        <w:spacing w:before="120"/>
        <w:ind w:left="360"/>
      </w:pPr>
      <w:r w:rsidRPr="00FE378D">
        <w:t>In addition, because there needs to be a monthly housing assistance payment (HAP) in order to enter into a HAP contract on behalf of a tenant-based voucher family, the utilization of tenant-based VASH assistance by families determined income-eligible is limited to those areas where the family’s (TTP) is less than the applicable payment standard or exception payment standard (including any VASH-specific exception payment standard established by the PHA). The family must select a unit with a gross rent that is above the family’s TTP in order to lease a unit with the tenant-based VASH voucher.</w:t>
      </w:r>
    </w:p>
    <w:p w:rsidR="00F95312" w:rsidRDefault="00F95312">
      <w:pPr>
        <w:pStyle w:val="BodyText"/>
        <w:spacing w:before="0"/>
        <w:ind w:right="262"/>
      </w:pPr>
    </w:p>
    <w:p w:rsidR="004E13A5" w:rsidRDefault="00681463">
      <w:pPr>
        <w:pStyle w:val="BodyText"/>
        <w:spacing w:before="120"/>
        <w:ind w:right="182"/>
      </w:pPr>
      <w:r>
        <w:t>While income-targeting does not apply to VASH vouchers, the PHA may include the admission of extremely low-income VASH families in its income targeting numbers for the fiscal year in which these families are admitted.</w:t>
      </w:r>
    </w:p>
    <w:p w:rsidR="004E13A5" w:rsidRDefault="00681463">
      <w:pPr>
        <w:pStyle w:val="BodyText"/>
        <w:ind w:left="820"/>
      </w:pPr>
      <w:r>
        <w:rPr>
          <w:u w:val="single"/>
        </w:rPr>
        <w:t>PHA Policy</w:t>
      </w:r>
    </w:p>
    <w:p w:rsidR="004E13A5" w:rsidRDefault="00681463">
      <w:pPr>
        <w:pStyle w:val="BodyText"/>
        <w:ind w:left="820" w:right="262"/>
      </w:pPr>
      <w:r>
        <w:lastRenderedPageBreak/>
        <w:t>While income-targeting requirements will not be considered by the PHA when families are referred by the partnering VAMC, the PHA will include any extremely low-income VASH families that are admitted in its income targeting numbers for the fiscal year in which these families are admitted.</w:t>
      </w:r>
    </w:p>
    <w:p w:rsidR="00F95312" w:rsidRPr="00F6525C" w:rsidRDefault="00F95312" w:rsidP="00F95312">
      <w:pPr>
        <w:pStyle w:val="BodyText"/>
        <w:spacing w:before="120"/>
        <w:rPr>
          <w:b/>
          <w:bCs/>
        </w:rPr>
      </w:pPr>
      <w:bookmarkStart w:id="433" w:name="_Hlk174538157"/>
      <w:r w:rsidRPr="00F6525C">
        <w:rPr>
          <w:b/>
          <w:bCs/>
        </w:rPr>
        <w:t>Minimum Rent [FR Notice 8/13/24]</w:t>
      </w:r>
      <w:bookmarkEnd w:id="433"/>
    </w:p>
    <w:p w:rsidR="00F95312" w:rsidRPr="00F6525C" w:rsidRDefault="00F95312" w:rsidP="00F95312">
      <w:pPr>
        <w:pStyle w:val="BodyText"/>
        <w:spacing w:before="120"/>
      </w:pPr>
      <w:r w:rsidRPr="00F6525C">
        <w:t xml:space="preserve">PHAs must consider hardship circumstances before charging a minimum rent in accordance with 24 CFR 5.630(b). </w:t>
      </w:r>
      <w:bookmarkStart w:id="434" w:name="_Hlk174543745"/>
      <w:r w:rsidRPr="00F6525C">
        <w:t xml:space="preserve">The PHA may choose to </w:t>
      </w:r>
      <w:bookmarkStart w:id="435" w:name="_Hlk174543501"/>
      <w:r w:rsidRPr="00F6525C">
        <w:t>charge a lower minimum rent (including a minimum rent of $0) specifically for their VASH program regardless of the minimum rent policies established in their administrative plan for other HCV families.</w:t>
      </w:r>
      <w:bookmarkEnd w:id="434"/>
      <w:bookmarkEnd w:id="435"/>
    </w:p>
    <w:p w:rsidR="00F95312" w:rsidRPr="00F6525C" w:rsidRDefault="00F95312" w:rsidP="00F95312">
      <w:pPr>
        <w:pStyle w:val="BodyText"/>
        <w:spacing w:before="120"/>
        <w:ind w:left="720"/>
        <w:rPr>
          <w:u w:val="single"/>
        </w:rPr>
      </w:pPr>
      <w:r w:rsidRPr="00F6525C">
        <w:rPr>
          <w:u w:val="single"/>
        </w:rPr>
        <w:t>PHA Policy</w:t>
      </w:r>
    </w:p>
    <w:p w:rsidR="00F95312" w:rsidRPr="00F6525C" w:rsidRDefault="00F95312" w:rsidP="00F95312">
      <w:pPr>
        <w:pStyle w:val="BodyText"/>
        <w:spacing w:before="120"/>
        <w:ind w:left="720"/>
      </w:pPr>
      <w:bookmarkStart w:id="436" w:name="_Hlk174538311"/>
      <w:r w:rsidRPr="00F6525C">
        <w:t>The PHA will establish a minimum rent of $0 for VASH families.</w:t>
      </w:r>
      <w:bookmarkEnd w:id="436"/>
    </w:p>
    <w:p w:rsidR="00F95312" w:rsidRDefault="00F95312">
      <w:pPr>
        <w:pStyle w:val="BodyText"/>
        <w:ind w:left="820" w:right="262"/>
      </w:pPr>
    </w:p>
    <w:p w:rsidR="004E13A5" w:rsidRDefault="00681463">
      <w:pPr>
        <w:pStyle w:val="Heading4"/>
        <w:spacing w:before="119"/>
      </w:pPr>
      <w:r>
        <w:t>Screening</w:t>
      </w:r>
      <w:r w:rsidR="00F95312" w:rsidRPr="002257FF">
        <w:rPr>
          <w:b w:val="0"/>
          <w:bCs w:val="0"/>
        </w:rPr>
        <w:t>[FR Notice 8/13/24]</w:t>
      </w:r>
    </w:p>
    <w:p w:rsidR="004E13A5" w:rsidRDefault="00681463">
      <w:pPr>
        <w:pStyle w:val="BodyText"/>
      </w:pPr>
      <w:r>
        <w:t>The PHA may not screen any potentially eligible family members or deny assistance for any grounds permitted under 24 CFR 982.552 and 982.553 with one exception: the PHAs is still required to prohibit admission if any member of the household is subject to a lifetime registration requirement under a state sex offender registration program. Accordingly, with the exception of denial for registration as a lifetime sex offender under state law and PHA policies on how sex offender screenings will be conducted, PHA policy in Sections 3-III.B. through 3-III.E. do not apply to VASH. The prohibition against screening families for anything other than lifetime sex offender status applies to all family members, not just the veteran.</w:t>
      </w:r>
    </w:p>
    <w:p w:rsidR="004E13A5" w:rsidRDefault="00681463">
      <w:pPr>
        <w:pStyle w:val="BodyText"/>
        <w:ind w:right="342"/>
      </w:pPr>
      <w:r>
        <w:t xml:space="preserve">If a family member is subject to lifetime registration under a state sex offender registration program, the remaining family members may be served if the family agrees to remove the sex offender from its family composition. This is true unless the family member subject to lifetime registration under a state sex offender registration program is the homeless veteran, in which case the family would be denied admission to the program </w:t>
      </w:r>
      <w:r w:rsidR="00F95312">
        <w:t>FR Notice 8/13/24].</w:t>
      </w:r>
    </w:p>
    <w:p w:rsidR="004E13A5" w:rsidRDefault="004E13A5">
      <w:pPr>
        <w:pStyle w:val="BodyText"/>
        <w:spacing w:before="0"/>
        <w:ind w:left="0"/>
        <w:rPr>
          <w:sz w:val="26"/>
        </w:rPr>
      </w:pPr>
    </w:p>
    <w:p w:rsidR="004E13A5" w:rsidRDefault="00681463">
      <w:pPr>
        <w:pStyle w:val="Heading4"/>
        <w:spacing w:before="216"/>
      </w:pPr>
      <w:r>
        <w:t>Denial of Assistance [Notice PIH 2008-37]</w:t>
      </w:r>
    </w:p>
    <w:p w:rsidR="004E13A5" w:rsidRDefault="00681463">
      <w:pPr>
        <w:pStyle w:val="BodyText"/>
        <w:ind w:right="136"/>
      </w:pPr>
      <w:r>
        <w:t>Once a veteran is referred by the VAMC, the PHA must either issue a voucher or deny assistance. If the PHA denies assistance, it must provide the family with prompt notice of the decision and a brief statement of the reason for denial in accordance with Section 3-III.F. Like in the standard HCV program, the family must be provided with the opportunity for an informal review in accordance with policies in Section 3-III.F. In addition, a copy of the denial notice must be sent to the VAMC case manager.</w:t>
      </w:r>
    </w:p>
    <w:p w:rsidR="004E13A5" w:rsidRDefault="004E13A5">
      <w:pPr>
        <w:sectPr w:rsidR="004E13A5">
          <w:footerReference w:type="default" r:id="rId90"/>
          <w:pgSz w:w="12240" w:h="15840"/>
          <w:pgMar w:top="1360" w:right="1340" w:bottom="280" w:left="1340" w:header="0" w:footer="0" w:gutter="0"/>
          <w:cols w:space="720"/>
        </w:sectPr>
      </w:pPr>
    </w:p>
    <w:p w:rsidR="004E13A5" w:rsidRDefault="00681463">
      <w:pPr>
        <w:pStyle w:val="Heading4"/>
        <w:spacing w:before="79"/>
      </w:pPr>
      <w:r>
        <w:lastRenderedPageBreak/>
        <w:t>19-I.D. CHANGES IN FAMILY COMPOSITION</w:t>
      </w:r>
    </w:p>
    <w:p w:rsidR="004E13A5" w:rsidRDefault="00681463">
      <w:pPr>
        <w:spacing w:before="119"/>
        <w:ind w:left="100"/>
        <w:rPr>
          <w:b/>
          <w:sz w:val="24"/>
        </w:rPr>
      </w:pPr>
      <w:r>
        <w:rPr>
          <w:b/>
          <w:sz w:val="24"/>
        </w:rPr>
        <w:t>Adding Family Members [</w:t>
      </w:r>
      <w:r w:rsidR="00F95312" w:rsidRPr="00357F43">
        <w:rPr>
          <w:b/>
          <w:bCs/>
        </w:rPr>
        <w:t>FR Notice 8/13/24]</w:t>
      </w:r>
      <w:r>
        <w:rPr>
          <w:b/>
          <w:sz w:val="24"/>
        </w:rPr>
        <w:t>]</w:t>
      </w:r>
    </w:p>
    <w:p w:rsidR="004E13A5" w:rsidRDefault="00681463">
      <w:pPr>
        <w:pStyle w:val="BodyText"/>
        <w:ind w:right="202"/>
      </w:pPr>
      <w:r>
        <w:t>When adding a family member after the family has been admitted to the program, PHA policies in Section 3-II.B. apply. Other than the birth, adoption, or court-awarded custody of a child, the PHA must approve additional family members and will apply its regular screening criteria in doing so.</w:t>
      </w:r>
    </w:p>
    <w:p w:rsidR="004E13A5" w:rsidRDefault="004E13A5">
      <w:pPr>
        <w:pStyle w:val="BodyText"/>
        <w:spacing w:before="0"/>
        <w:ind w:left="0"/>
        <w:rPr>
          <w:sz w:val="26"/>
        </w:rPr>
      </w:pPr>
    </w:p>
    <w:p w:rsidR="004E13A5" w:rsidRDefault="00681463">
      <w:pPr>
        <w:pStyle w:val="Heading4"/>
        <w:spacing w:before="216"/>
      </w:pPr>
      <w:r>
        <w:t>Remaining Family Members [HUD-VASH Q&amp;As]</w:t>
      </w:r>
    </w:p>
    <w:p w:rsidR="004E13A5" w:rsidRDefault="00681463">
      <w:pPr>
        <w:pStyle w:val="BodyText"/>
        <w:ind w:right="109"/>
      </w:pPr>
      <w:r>
        <w:t>If the homeless veteran dies while the family is being assisted, the voucher would remain with the remaining members of the tenant family. The PHA may use one of its own regular vouchers, if available, to continue assisting this family and free up a VASH voucher for another VASH- eligible family. If a regular voucher is not available, the family would continue utilizing the VASH voucher. Once the VASH voucher turns over, however, it must go to a homeless</w:t>
      </w:r>
    </w:p>
    <w:p w:rsidR="004E13A5" w:rsidRDefault="00681463">
      <w:pPr>
        <w:pStyle w:val="BodyText"/>
        <w:spacing w:before="0"/>
      </w:pPr>
      <w:r>
        <w:t>veteran family.</w:t>
      </w:r>
    </w:p>
    <w:p w:rsidR="004E13A5" w:rsidRDefault="004E13A5">
      <w:pPr>
        <w:pStyle w:val="BodyText"/>
        <w:spacing w:before="0"/>
        <w:ind w:left="0"/>
        <w:rPr>
          <w:sz w:val="26"/>
        </w:rPr>
      </w:pPr>
    </w:p>
    <w:p w:rsidR="004E13A5" w:rsidRDefault="00681463">
      <w:pPr>
        <w:pStyle w:val="Heading4"/>
        <w:spacing w:before="217"/>
      </w:pPr>
      <w:r>
        <w:t>Family Break Up [HUD-VASH Q&amp;As]</w:t>
      </w:r>
    </w:p>
    <w:p w:rsidR="004E13A5" w:rsidRDefault="00681463">
      <w:pPr>
        <w:pStyle w:val="BodyText"/>
        <w:ind w:right="448"/>
        <w:jc w:val="both"/>
      </w:pPr>
      <w:r>
        <w:t>In the case of divorce or separation, since the set-aside of VASH vouchers is for veterans, the voucher must remain with the veteran. This overrides the PHA’s policies in Section 3-I.C. on how to determine who remains in the program if a family breaks up.</w:t>
      </w:r>
    </w:p>
    <w:p w:rsidR="004E13A5" w:rsidRDefault="004E13A5">
      <w:pPr>
        <w:pStyle w:val="BodyText"/>
        <w:spacing w:before="0"/>
        <w:ind w:left="0"/>
        <w:rPr>
          <w:sz w:val="26"/>
        </w:rPr>
      </w:pPr>
    </w:p>
    <w:p w:rsidR="004E13A5" w:rsidRDefault="004E13A5">
      <w:pPr>
        <w:pStyle w:val="BodyText"/>
        <w:spacing w:before="3"/>
        <w:ind w:left="0"/>
        <w:rPr>
          <w:sz w:val="29"/>
        </w:rPr>
      </w:pPr>
    </w:p>
    <w:p w:rsidR="004E13A5" w:rsidRDefault="00681463">
      <w:pPr>
        <w:pStyle w:val="Heading4"/>
      </w:pPr>
      <w:r>
        <w:t xml:space="preserve">19-I.E. LEASING </w:t>
      </w:r>
      <w:r w:rsidR="00F95312" w:rsidRPr="00357F43">
        <w:rPr>
          <w:b w:val="0"/>
          <w:bCs w:val="0"/>
        </w:rPr>
        <w:t>FR Notice 8/13/24</w:t>
      </w:r>
    </w:p>
    <w:p w:rsidR="004E13A5" w:rsidRDefault="004E13A5">
      <w:pPr>
        <w:pStyle w:val="BodyText"/>
        <w:spacing w:before="0"/>
        <w:ind w:left="0"/>
        <w:rPr>
          <w:b/>
          <w:sz w:val="26"/>
        </w:rPr>
      </w:pPr>
    </w:p>
    <w:p w:rsidR="004E13A5" w:rsidRDefault="004E13A5">
      <w:pPr>
        <w:pStyle w:val="BodyText"/>
        <w:spacing w:before="3"/>
        <w:ind w:left="0"/>
        <w:rPr>
          <w:b/>
          <w:sz w:val="29"/>
        </w:rPr>
      </w:pPr>
    </w:p>
    <w:p w:rsidR="004E13A5" w:rsidRDefault="00681463">
      <w:pPr>
        <w:spacing w:before="1"/>
        <w:ind w:left="100"/>
        <w:rPr>
          <w:b/>
          <w:sz w:val="24"/>
        </w:rPr>
      </w:pPr>
      <w:r>
        <w:rPr>
          <w:b/>
          <w:sz w:val="24"/>
        </w:rPr>
        <w:t>Waiting List</w:t>
      </w:r>
    </w:p>
    <w:p w:rsidR="004E13A5" w:rsidRDefault="00681463">
      <w:pPr>
        <w:pStyle w:val="BodyText"/>
        <w:spacing w:before="120"/>
        <w:ind w:right="55"/>
      </w:pPr>
      <w:r>
        <w:t>The PHA does not have the authority to maintain a waiting list or apply local preferences for HUD–VASH vouchers. Policies in Chapter 4 relating to applicant selection from the waiting list, local preferences, special admissions, cross-listing, and opening and closing the waiting list do not apply to VASH vouchers.</w:t>
      </w:r>
    </w:p>
    <w:p w:rsidR="004E13A5" w:rsidRDefault="00681463">
      <w:pPr>
        <w:pStyle w:val="Heading4"/>
        <w:spacing w:before="120"/>
      </w:pPr>
      <w:r>
        <w:t>Exception Payment Standards</w:t>
      </w:r>
      <w:r w:rsidR="00F95312" w:rsidRPr="002257FF">
        <w:rPr>
          <w:b w:val="0"/>
          <w:bCs w:val="0"/>
        </w:rPr>
        <w:t>[FR Notice 8/13/24]</w:t>
      </w:r>
    </w:p>
    <w:p w:rsidR="00BB3703" w:rsidRDefault="00681463">
      <w:pPr>
        <w:pStyle w:val="BodyText"/>
        <w:spacing w:before="120"/>
      </w:pPr>
      <w:r>
        <w:t>To assist VASH participants in finding affordable housing, especially in competitive markets, HUD allows PHAs to establish a HUD-VASH exception payment standard. PHAs may go up to but no higher than 120 percent of the published</w:t>
      </w:r>
      <w:r w:rsidR="00BB3703" w:rsidRPr="00BB3703">
        <w:t xml:space="preserve"> </w:t>
      </w:r>
      <w:r w:rsidR="00BB3703" w:rsidRPr="00357F43">
        <w:t>metropolitan</w:t>
      </w:r>
      <w:r>
        <w:t xml:space="preserve"> area-wide fair market rent (FMR) or small area fair market rent (SAFMR) specifically for VASH families. PHAs who want to establish a VASH exception payment standard over 120 percent</w:t>
      </w:r>
      <w:r w:rsidR="00BB3703" w:rsidRPr="00BB3703">
        <w:t xml:space="preserve"> </w:t>
      </w:r>
      <w:r w:rsidR="00BB3703" w:rsidRPr="00357F43">
        <w:t>are allowed but</w:t>
      </w:r>
      <w:r>
        <w:t xml:space="preserve"> must still request a waiver from HUD through the regular waiver process outlined in Notice PIH 2018-16</w:t>
      </w:r>
      <w:r w:rsidR="00BB3703">
        <w:t xml:space="preserve"> </w:t>
      </w:r>
      <w:r w:rsidR="00BB3703" w:rsidRPr="00357F43">
        <w:t>or any successor notices.</w:t>
      </w:r>
    </w:p>
    <w:p w:rsidR="00BB3703" w:rsidRPr="00357F43" w:rsidRDefault="00BB3703" w:rsidP="00BB3703">
      <w:pPr>
        <w:pStyle w:val="BodyText"/>
        <w:spacing w:before="120"/>
      </w:pPr>
      <w:r w:rsidRPr="00357F43">
        <w:t xml:space="preserve">Exception payment standards implemented by the PHA under this </w:t>
      </w:r>
      <w:r>
        <w:t>s</w:t>
      </w:r>
      <w:r w:rsidRPr="00357F43">
        <w:t>ection also apply in determining rents under 24 CFR 983.301(b) for PBV projects only when the project is comprised solely of units exclusively made available to VASH families.</w:t>
      </w:r>
    </w:p>
    <w:p w:rsidR="00BB3703" w:rsidRPr="00AA0A3B" w:rsidRDefault="00BB3703" w:rsidP="00BB3703">
      <w:pPr>
        <w:pStyle w:val="BodyText"/>
        <w:spacing w:before="120"/>
      </w:pPr>
      <w:r w:rsidRPr="00357F43">
        <w:t xml:space="preserve">The PHA may also establish an exception payment standard up to 140 percent of the published FMR or SAFMR only to be applied if required as a reasonable accommodation for a family that includes a person with a disability. Any unit approved under an exception payment standard must still meet reasonable rent requirements. </w:t>
      </w:r>
      <w:r>
        <w:t xml:space="preserve">The </w:t>
      </w:r>
      <w:r w:rsidRPr="00357F43">
        <w:t xml:space="preserve">PHA may use a payment standard that is greater than </w:t>
      </w:r>
      <w:r w:rsidRPr="00357F43">
        <w:lastRenderedPageBreak/>
        <w:t>140 percent of FMR as a reasonable accommodation for a person with a disability, but only with HUD approval.</w:t>
      </w:r>
    </w:p>
    <w:p w:rsidR="004E13A5" w:rsidRDefault="004E13A5" w:rsidP="00BF2931">
      <w:pPr>
        <w:pStyle w:val="BodyText"/>
        <w:spacing w:before="120"/>
        <w:sectPr w:rsidR="004E13A5">
          <w:footerReference w:type="default" r:id="rId91"/>
          <w:pgSz w:w="12240" w:h="15840"/>
          <w:pgMar w:top="1360" w:right="1380" w:bottom="280" w:left="1340" w:header="0" w:footer="0" w:gutter="0"/>
          <w:cols w:space="720"/>
        </w:sectPr>
      </w:pPr>
    </w:p>
    <w:p w:rsidR="004E13A5" w:rsidRDefault="00681463">
      <w:pPr>
        <w:pStyle w:val="Heading4"/>
        <w:spacing w:before="79"/>
      </w:pPr>
      <w:r>
        <w:lastRenderedPageBreak/>
        <w:t>Voucher Issuance</w:t>
      </w:r>
      <w:r w:rsidR="00BB3703" w:rsidRPr="002257FF">
        <w:rPr>
          <w:b w:val="0"/>
          <w:bCs w:val="0"/>
        </w:rPr>
        <w:t>[FR Notice 8/13/24]</w:t>
      </w:r>
    </w:p>
    <w:p w:rsidR="004E13A5" w:rsidRDefault="00681463">
      <w:pPr>
        <w:pStyle w:val="BodyText"/>
        <w:ind w:right="109"/>
      </w:pPr>
      <w:r>
        <w:t>Unlike the standard HCV program which requires an initial voucher term of at least 60 days, VASH vouchers must have an initial search term of at least 120 days.</w:t>
      </w:r>
      <w:r w:rsidR="00BB3703" w:rsidRPr="00357F43">
        <w:t xml:space="preserve"> This applies both to the initial search term and moves. </w:t>
      </w:r>
      <w:r>
        <w:t xml:space="preserve"> PHA policies on extensions as outlined in Section 5-II.E. will apply.</w:t>
      </w:r>
    </w:p>
    <w:p w:rsidR="004E13A5" w:rsidRDefault="00681463">
      <w:pPr>
        <w:pStyle w:val="BodyText"/>
        <w:ind w:left="820"/>
      </w:pPr>
      <w:r>
        <w:rPr>
          <w:u w:val="single"/>
        </w:rPr>
        <w:t>PHA Policy</w:t>
      </w:r>
    </w:p>
    <w:p w:rsidR="004E13A5" w:rsidRDefault="00681463">
      <w:pPr>
        <w:pStyle w:val="BodyText"/>
        <w:ind w:left="820"/>
      </w:pPr>
      <w:r>
        <w:t>All VASH vouchers will have an initial term of 120 calendar days.</w:t>
      </w:r>
    </w:p>
    <w:p w:rsidR="004E13A5" w:rsidRDefault="00681463">
      <w:pPr>
        <w:pStyle w:val="BodyText"/>
        <w:spacing w:line="343" w:lineRule="auto"/>
        <w:ind w:left="820" w:right="293"/>
      </w:pPr>
      <w:r>
        <w:t>The family must submit a Request for Tenancy Approval and proposed lease within the 120-day period unless the PHA grants an extension.</w:t>
      </w:r>
    </w:p>
    <w:p w:rsidR="004E13A5" w:rsidRDefault="004E13A5">
      <w:pPr>
        <w:pStyle w:val="BodyText"/>
        <w:spacing w:before="10"/>
        <w:ind w:left="0"/>
        <w:rPr>
          <w:sz w:val="34"/>
        </w:rPr>
      </w:pPr>
    </w:p>
    <w:p w:rsidR="004E13A5" w:rsidRDefault="00681463">
      <w:pPr>
        <w:pStyle w:val="BodyText"/>
        <w:spacing w:before="0"/>
        <w:ind w:right="561"/>
      </w:pPr>
      <w:r>
        <w:t>The PHA must track issuance of HCVs for families referred by the VAMC or</w:t>
      </w:r>
      <w:r w:rsidR="00BB3703">
        <w:t xml:space="preserve"> </w:t>
      </w:r>
      <w:r>
        <w:t xml:space="preserve">DSP in </w:t>
      </w:r>
      <w:r w:rsidR="00BB3703" w:rsidRPr="00357F43">
        <w:t xml:space="preserve">HUD systems </w:t>
      </w:r>
      <w:r>
        <w:t xml:space="preserve">as required in </w:t>
      </w:r>
      <w:r w:rsidR="00BB3703" w:rsidRPr="00357F43">
        <w:t>FR Notice 8/13/24</w:t>
      </w:r>
    </w:p>
    <w:p w:rsidR="00BB3703" w:rsidRDefault="00BB3703">
      <w:pPr>
        <w:pStyle w:val="BodyText"/>
        <w:spacing w:before="0"/>
        <w:ind w:right="561"/>
      </w:pPr>
    </w:p>
    <w:p w:rsidR="00BB3703" w:rsidRPr="00357F43" w:rsidRDefault="00BB3703" w:rsidP="00BB3703">
      <w:pPr>
        <w:pStyle w:val="BodyText"/>
        <w:spacing w:before="120"/>
        <w:rPr>
          <w:b/>
          <w:bCs/>
        </w:rPr>
      </w:pPr>
      <w:bookmarkStart w:id="437" w:name="_Hlk174537323"/>
      <w:r w:rsidRPr="00357F43">
        <w:rPr>
          <w:b/>
          <w:bCs/>
        </w:rPr>
        <w:t>Special Housing Types [FR Notice 8/13/24]</w:t>
      </w:r>
      <w:bookmarkEnd w:id="437"/>
    </w:p>
    <w:p w:rsidR="00BB3703" w:rsidRPr="00357F43" w:rsidRDefault="00BB3703" w:rsidP="00BB3703">
      <w:pPr>
        <w:pStyle w:val="BodyText"/>
        <w:spacing w:before="120"/>
      </w:pPr>
      <w:r w:rsidRPr="00357F43">
        <w:t xml:space="preserve">The PHA must permit VASH clients to use the following special housing types for tenant-based VASH assistance, regardless of whether these types are permitted in their administrative plan for other families: </w:t>
      </w:r>
    </w:p>
    <w:p w:rsidR="00BB3703" w:rsidRPr="00357F43" w:rsidRDefault="00BB3703" w:rsidP="00BB3703">
      <w:pPr>
        <w:pStyle w:val="BodyText"/>
        <w:widowControl/>
        <w:numPr>
          <w:ilvl w:val="0"/>
          <w:numId w:val="99"/>
        </w:numPr>
        <w:adjustRightInd w:val="0"/>
        <w:spacing w:before="120"/>
        <w:ind w:left="360"/>
      </w:pPr>
      <w:r w:rsidRPr="00357F43">
        <w:t>Single room occupancy (SRO);</w:t>
      </w:r>
    </w:p>
    <w:p w:rsidR="00BB3703" w:rsidRDefault="00BB3703" w:rsidP="00BB3703">
      <w:pPr>
        <w:pStyle w:val="BodyText"/>
        <w:widowControl/>
        <w:numPr>
          <w:ilvl w:val="0"/>
          <w:numId w:val="99"/>
        </w:numPr>
        <w:adjustRightInd w:val="0"/>
        <w:spacing w:before="120"/>
        <w:ind w:left="360"/>
      </w:pPr>
      <w:r w:rsidRPr="00357F43">
        <w:t xml:space="preserve">Congregate housing; </w:t>
      </w:r>
    </w:p>
    <w:p w:rsidR="00BB3703" w:rsidRPr="00357F43" w:rsidRDefault="00BB3703" w:rsidP="00BB3703">
      <w:pPr>
        <w:pStyle w:val="BodyText"/>
        <w:widowControl/>
        <w:numPr>
          <w:ilvl w:val="0"/>
          <w:numId w:val="99"/>
        </w:numPr>
        <w:adjustRightInd w:val="0"/>
        <w:spacing w:before="120"/>
        <w:ind w:left="360"/>
      </w:pPr>
      <w:r>
        <w:t>G</w:t>
      </w:r>
      <w:r w:rsidRPr="00357F43">
        <w:t xml:space="preserve">roup home; </w:t>
      </w:r>
    </w:p>
    <w:p w:rsidR="00BB3703" w:rsidRDefault="00BB3703" w:rsidP="00BB3703">
      <w:pPr>
        <w:pStyle w:val="BodyText"/>
        <w:widowControl/>
        <w:numPr>
          <w:ilvl w:val="0"/>
          <w:numId w:val="99"/>
        </w:numPr>
        <w:adjustRightInd w:val="0"/>
        <w:spacing w:before="120"/>
        <w:ind w:left="360"/>
      </w:pPr>
      <w:r w:rsidRPr="00357F43">
        <w:t xml:space="preserve">Shared housing; and </w:t>
      </w:r>
    </w:p>
    <w:p w:rsidR="00BB3703" w:rsidRPr="00357F43" w:rsidRDefault="00BB3703" w:rsidP="00BB3703">
      <w:pPr>
        <w:pStyle w:val="BodyText"/>
        <w:widowControl/>
        <w:numPr>
          <w:ilvl w:val="0"/>
          <w:numId w:val="99"/>
        </w:numPr>
        <w:adjustRightInd w:val="0"/>
        <w:spacing w:before="120"/>
        <w:ind w:left="360"/>
      </w:pPr>
      <w:r>
        <w:t>C</w:t>
      </w:r>
      <w:r w:rsidRPr="00357F43">
        <w:t>ooperative housing.</w:t>
      </w:r>
    </w:p>
    <w:p w:rsidR="00BB3703" w:rsidRDefault="00BB3703">
      <w:pPr>
        <w:pStyle w:val="BodyText"/>
        <w:spacing w:before="0"/>
        <w:ind w:right="561"/>
      </w:pPr>
    </w:p>
    <w:p w:rsidR="004E13A5" w:rsidRDefault="00681463">
      <w:pPr>
        <w:pStyle w:val="Heading4"/>
        <w:spacing w:before="119"/>
      </w:pPr>
      <w:r>
        <w:t>Initial Lease Term</w:t>
      </w:r>
      <w:r w:rsidR="00BB3703" w:rsidRPr="002257FF">
        <w:rPr>
          <w:b w:val="0"/>
          <w:bCs w:val="0"/>
        </w:rPr>
        <w:t>[FR Notice 8/13/24]</w:t>
      </w:r>
    </w:p>
    <w:p w:rsidR="004E13A5" w:rsidRDefault="00681463">
      <w:pPr>
        <w:pStyle w:val="BodyText"/>
        <w:ind w:right="215"/>
      </w:pPr>
      <w:r>
        <w:t>Unlike in the standard the HCV program, VASH voucher holders may enter into an initial lease that is for less than 12 months. Accordingly, PHA policy in Section 9-I.E., Term of Assisted Tenancy, does not apply.</w:t>
      </w:r>
    </w:p>
    <w:p w:rsidR="004E13A5" w:rsidRDefault="00681463">
      <w:pPr>
        <w:pStyle w:val="Heading4"/>
        <w:spacing w:before="119"/>
      </w:pPr>
      <w:r>
        <w:t>Ineligible Housing [</w:t>
      </w:r>
      <w:r w:rsidR="00701551" w:rsidRPr="00357F43">
        <w:rPr>
          <w:b w:val="0"/>
          <w:bCs w:val="0"/>
        </w:rPr>
        <w:t>[FR Notice 8/13/24]</w:t>
      </w:r>
    </w:p>
    <w:p w:rsidR="004E13A5" w:rsidRDefault="00681463">
      <w:pPr>
        <w:pStyle w:val="BodyText"/>
        <w:ind w:right="94"/>
      </w:pPr>
      <w:r>
        <w:t>Unlike in the standard HCV program, VASH families are permitted to live on the grounds of a VA facility in units developed to house homeless veterans. This applies to both tenant-based assistance and PBV. Therefore, 24 CFR 982.352(a)(5) and 983.53(a)(2), which prohibit units on the physical grounds of a medical, mental, or similar public or private institution, do not apply to VASH for this purpose only. Accordingly, PHA policy in 9-I.D., Ineligible Units, does not apply for this purpose only.</w:t>
      </w:r>
    </w:p>
    <w:p w:rsidR="004E13A5" w:rsidRDefault="002C4221">
      <w:pPr>
        <w:pStyle w:val="Heading4"/>
        <w:spacing w:before="119"/>
      </w:pPr>
      <w:r>
        <w:t>NSPIRE</w:t>
      </w:r>
      <w:r w:rsidR="00681463">
        <w:t xml:space="preserve"> Pre-Inspections</w:t>
      </w:r>
    </w:p>
    <w:p w:rsidR="004E13A5" w:rsidRDefault="00681463">
      <w:pPr>
        <w:pStyle w:val="BodyText"/>
        <w:ind w:right="115"/>
      </w:pPr>
      <w:r>
        <w:t xml:space="preserve">To expedite the leasing process, PHAs may pre-inspect available units that veterans may be interested in leasing in order to maintain a pool of eligible units. If a VASH family selects a unit that passed an </w:t>
      </w:r>
      <w:r w:rsidR="002C4221">
        <w:t>NSPIRE</w:t>
      </w:r>
      <w:r>
        <w:t xml:space="preserve"> inspection (without intervening occupancy) within 45 days of the date of the Request for Tenancy Approval (Form HUD-52517), the unit may be approved if it meets all other conditions under 24 CFR 982.305. However, the veteran must be free to select their unit and cannot be steered to these units.</w:t>
      </w:r>
      <w:r w:rsidR="00295DFF" w:rsidRPr="00295DFF">
        <w:t xml:space="preserve"> </w:t>
      </w:r>
      <w:r w:rsidR="00295DFF" w:rsidRPr="00357F43">
        <w:t>All regulatory requirements pertaining to housing quality standards found at 24 CFR 5.703 apply to HUD-VASH.</w:t>
      </w:r>
    </w:p>
    <w:p w:rsidR="004E13A5" w:rsidRDefault="00681463">
      <w:pPr>
        <w:pStyle w:val="BodyText"/>
        <w:ind w:left="820"/>
      </w:pPr>
      <w:r>
        <w:rPr>
          <w:u w:val="single"/>
        </w:rPr>
        <w:lastRenderedPageBreak/>
        <w:t>PHA Policy</w:t>
      </w:r>
    </w:p>
    <w:p w:rsidR="004E13A5" w:rsidRDefault="00681463">
      <w:pPr>
        <w:pStyle w:val="BodyText"/>
        <w:ind w:left="820" w:right="55"/>
      </w:pPr>
      <w:r>
        <w:t xml:space="preserve">To expedite the leasing process, the PHA may pre-inspect available units that veterans may be interested in leasing to maintain a pool of eligible units. If a VASH family selects a unit that passed a </w:t>
      </w:r>
      <w:r w:rsidR="002C4221">
        <w:t>NSPIRE</w:t>
      </w:r>
      <w:r>
        <w:t xml:space="preserve"> pre-inspection (without intervening occupancy) within 45 days of the date of the RTA, the unit may be approved provided that it meets all other conditions under 24 CFR 982.305. The veteran will be free to select their unit.</w:t>
      </w:r>
    </w:p>
    <w:p w:rsidR="004E13A5" w:rsidRDefault="00681463">
      <w:pPr>
        <w:pStyle w:val="BodyText"/>
        <w:ind w:left="820" w:right="108"/>
      </w:pPr>
      <w:r>
        <w:t>When a pre-inspected unit is not selected, the PHA will make every effort to fast-track the inspection process, including adjusting the normal inspection schedule for both initial and any required reinspections.</w:t>
      </w:r>
    </w:p>
    <w:p w:rsidR="004E13A5" w:rsidRDefault="004E13A5">
      <w:pPr>
        <w:sectPr w:rsidR="004E13A5">
          <w:footerReference w:type="default" r:id="rId92"/>
          <w:pgSz w:w="12240" w:h="15840"/>
          <w:pgMar w:top="1360" w:right="1380" w:bottom="280" w:left="1340" w:header="0" w:footer="0" w:gutter="0"/>
          <w:cols w:space="720"/>
        </w:sectPr>
      </w:pPr>
    </w:p>
    <w:p w:rsidR="004E13A5" w:rsidRDefault="00681463">
      <w:pPr>
        <w:pStyle w:val="Heading4"/>
        <w:spacing w:before="79"/>
      </w:pPr>
      <w:r>
        <w:lastRenderedPageBreak/>
        <w:t xml:space="preserve">19-I.F. PORTABILITY </w:t>
      </w:r>
      <w:r w:rsidR="00AD6ACF">
        <w:rPr>
          <w:b w:val="0"/>
          <w:bCs w:val="0"/>
        </w:rPr>
        <w:t>[</w:t>
      </w:r>
      <w:r w:rsidR="00AD6ACF" w:rsidRPr="00680CDB">
        <w:rPr>
          <w:b w:val="0"/>
          <w:bCs w:val="0"/>
        </w:rPr>
        <w:t>Notice PIH 2011-53</w:t>
      </w:r>
      <w:r w:rsidR="00AD6ACF">
        <w:rPr>
          <w:b w:val="0"/>
          <w:bCs w:val="0"/>
        </w:rPr>
        <w:t xml:space="preserve"> and </w:t>
      </w:r>
      <w:r w:rsidR="00AD6ACF" w:rsidRPr="002257FF">
        <w:rPr>
          <w:b w:val="0"/>
          <w:bCs w:val="0"/>
        </w:rPr>
        <w:t>FR</w:t>
      </w:r>
      <w:r w:rsidR="00AD6ACF">
        <w:rPr>
          <w:b w:val="0"/>
          <w:bCs w:val="0"/>
        </w:rPr>
        <w:t> </w:t>
      </w:r>
      <w:r w:rsidR="00AD6ACF" w:rsidRPr="002257FF">
        <w:rPr>
          <w:b w:val="0"/>
          <w:bCs w:val="0"/>
        </w:rPr>
        <w:t>Notice</w:t>
      </w:r>
      <w:r w:rsidR="00AD6ACF">
        <w:rPr>
          <w:b w:val="0"/>
          <w:bCs w:val="0"/>
        </w:rPr>
        <w:t> </w:t>
      </w:r>
      <w:r w:rsidR="00AD6ACF" w:rsidRPr="002257FF">
        <w:rPr>
          <w:b w:val="0"/>
          <w:bCs w:val="0"/>
        </w:rPr>
        <w:t>8/13/24</w:t>
      </w:r>
      <w:r w:rsidR="00AD6ACF" w:rsidRPr="00680CDB">
        <w:rPr>
          <w:b w:val="0"/>
          <w:bCs w:val="0"/>
        </w:rPr>
        <w:t>]</w:t>
      </w:r>
    </w:p>
    <w:p w:rsidR="004E13A5" w:rsidRDefault="00681463">
      <w:pPr>
        <w:spacing w:before="119"/>
        <w:ind w:left="100"/>
        <w:rPr>
          <w:b/>
          <w:sz w:val="24"/>
        </w:rPr>
      </w:pPr>
      <w:r>
        <w:rPr>
          <w:b/>
          <w:sz w:val="24"/>
        </w:rPr>
        <w:t>General Requirements</w:t>
      </w:r>
    </w:p>
    <w:p w:rsidR="004E13A5" w:rsidRDefault="00681463">
      <w:pPr>
        <w:pStyle w:val="BodyText"/>
        <w:ind w:right="203"/>
      </w:pPr>
      <w:r>
        <w:t>Portability policies under VASH depend on whether the family wants to move within or outside of the initial VA facility’s catchment area (the area in which the VAMC or DSP operates). In all cases, the initial VA facility must be consulted prior to the move and provide written confirmation that case management will continue to be provided in the family’s new location.</w:t>
      </w:r>
    </w:p>
    <w:p w:rsidR="004E13A5" w:rsidRDefault="00681463">
      <w:pPr>
        <w:pStyle w:val="BodyText"/>
        <w:spacing w:before="0"/>
        <w:ind w:right="262"/>
      </w:pPr>
      <w:r>
        <w:t>VASH participant families may only reside in jurisdictions that are accessible to case management services, as determined by case managers at the partnering VAMC orDSP.</w:t>
      </w:r>
    </w:p>
    <w:p w:rsidR="004E13A5" w:rsidRDefault="00681463" w:rsidP="00AD6ACF">
      <w:pPr>
        <w:pStyle w:val="BodyText"/>
        <w:spacing w:before="120"/>
        <w:ind w:right="109"/>
      </w:pPr>
      <w:r>
        <w:t>Under VASH, applicant families may move under portability even if the family did not have legal residency in the jurisdiction of the initial PHA when they applied. As a result, PHA policies in Section 10-II.B. about nonresident applicants do not apply.</w:t>
      </w:r>
      <w:r w:rsidR="00AD6ACF" w:rsidRPr="00E61D2C">
        <w:t xml:space="preserve"> </w:t>
      </w:r>
      <w:r w:rsidR="00AD6ACF" w:rsidRPr="00D51B15">
        <w:t>A family that moves under the portability procedures must not be subject to rescreening by the receiving PHA.</w:t>
      </w:r>
      <w:r>
        <w:t>If the family no longer requires case management, there are no portability restrictions. Normal portability rules apply.</w:t>
      </w:r>
    </w:p>
    <w:p w:rsidR="004E13A5" w:rsidRDefault="00681463">
      <w:pPr>
        <w:pStyle w:val="Heading4"/>
        <w:spacing w:before="120"/>
      </w:pPr>
      <w:r>
        <w:t>Portability within the Initial VAMC or DSP’s Catchment Area</w:t>
      </w:r>
    </w:p>
    <w:p w:rsidR="004E13A5" w:rsidRDefault="00681463">
      <w:pPr>
        <w:pStyle w:val="BodyText"/>
        <w:spacing w:before="120"/>
        <w:ind w:right="216"/>
      </w:pPr>
      <w:r>
        <w:t>A VASH family can move within the VAMC’s catchment area as long as case management can still be provided, as determined by the VA. If the initial PHA’s partnering VAMC will still provide the case management services, the receiving PHA must process the move in accordance with portability procedures:</w:t>
      </w:r>
    </w:p>
    <w:p w:rsidR="004E13A5" w:rsidRDefault="00681463">
      <w:pPr>
        <w:pStyle w:val="ListParagraph"/>
        <w:numPr>
          <w:ilvl w:val="0"/>
          <w:numId w:val="93"/>
        </w:numPr>
        <w:tabs>
          <w:tab w:val="left" w:pos="460"/>
          <w:tab w:val="left" w:pos="461"/>
        </w:tabs>
        <w:ind w:right="104"/>
        <w:rPr>
          <w:rFonts w:ascii="Symbol"/>
          <w:sz w:val="24"/>
        </w:rPr>
      </w:pPr>
      <w:r>
        <w:rPr>
          <w:sz w:val="24"/>
        </w:rPr>
        <w:t>If the receiving PHA has been awarded VASH vouchers, it can choose to either bill the initial PHA or absorb the family if it has a VASH voucher available to do</w:t>
      </w:r>
      <w:r>
        <w:rPr>
          <w:spacing w:val="-13"/>
          <w:sz w:val="24"/>
        </w:rPr>
        <w:t xml:space="preserve"> </w:t>
      </w:r>
      <w:r>
        <w:rPr>
          <w:sz w:val="24"/>
        </w:rPr>
        <w:t>so.</w:t>
      </w:r>
    </w:p>
    <w:p w:rsidR="004E13A5" w:rsidRDefault="00681463">
      <w:pPr>
        <w:pStyle w:val="ListParagraph"/>
        <w:numPr>
          <w:ilvl w:val="1"/>
          <w:numId w:val="93"/>
        </w:numPr>
        <w:tabs>
          <w:tab w:val="left" w:pos="820"/>
          <w:tab w:val="left" w:pos="821"/>
        </w:tabs>
        <w:spacing w:before="118"/>
        <w:ind w:right="176"/>
        <w:rPr>
          <w:sz w:val="24"/>
        </w:rPr>
      </w:pPr>
      <w:r>
        <w:rPr>
          <w:sz w:val="24"/>
        </w:rPr>
        <w:t>If the PHA absorbs the family, the VAMC or DSP providing the initial case</w:t>
      </w:r>
      <w:r>
        <w:rPr>
          <w:spacing w:val="-17"/>
          <w:sz w:val="24"/>
        </w:rPr>
        <w:t xml:space="preserve"> </w:t>
      </w:r>
      <w:r>
        <w:rPr>
          <w:sz w:val="24"/>
        </w:rPr>
        <w:t>management must agree to the absorption and the transfer of case</w:t>
      </w:r>
      <w:r>
        <w:rPr>
          <w:spacing w:val="-13"/>
          <w:sz w:val="24"/>
        </w:rPr>
        <w:t xml:space="preserve"> </w:t>
      </w:r>
      <w:r>
        <w:rPr>
          <w:sz w:val="24"/>
        </w:rPr>
        <w:t>management.</w:t>
      </w:r>
    </w:p>
    <w:p w:rsidR="004E13A5" w:rsidRDefault="00681463">
      <w:pPr>
        <w:pStyle w:val="ListParagraph"/>
        <w:numPr>
          <w:ilvl w:val="0"/>
          <w:numId w:val="93"/>
        </w:numPr>
        <w:tabs>
          <w:tab w:val="left" w:pos="460"/>
          <w:tab w:val="left" w:pos="461"/>
        </w:tabs>
        <w:ind w:right="1158"/>
        <w:rPr>
          <w:rFonts w:ascii="Symbol"/>
          <w:sz w:val="24"/>
        </w:rPr>
      </w:pPr>
      <w:r>
        <w:rPr>
          <w:sz w:val="24"/>
        </w:rPr>
        <w:t>If the receiving PHA does not administer a VASH program, it must always bill the initial</w:t>
      </w:r>
      <w:r>
        <w:rPr>
          <w:spacing w:val="-3"/>
          <w:sz w:val="24"/>
        </w:rPr>
        <w:t xml:space="preserve"> </w:t>
      </w:r>
      <w:r>
        <w:rPr>
          <w:sz w:val="24"/>
        </w:rPr>
        <w:t>PHA.</w:t>
      </w:r>
    </w:p>
    <w:p w:rsidR="004E13A5" w:rsidRDefault="00681463">
      <w:pPr>
        <w:pStyle w:val="Heading4"/>
        <w:spacing w:before="119"/>
      </w:pPr>
      <w:r>
        <w:t>Portability Outside of the Initial VAMC or DSP’s Catchment Area</w:t>
      </w:r>
    </w:p>
    <w:p w:rsidR="004E13A5" w:rsidRDefault="00681463">
      <w:pPr>
        <w:pStyle w:val="BodyText"/>
        <w:ind w:right="182"/>
      </w:pPr>
      <w:r>
        <w:t>If a family wants to move to another jurisdiction where it will not be possible for the initial PHA’s partnering VAMC or DSP to provide case management services, the initial VAMC or DSP must first determine that the VASH family could be served by another VAMC or DSP that is participating in the VASH program, and the receiving PHA has an available VASH voucher.</w:t>
      </w:r>
    </w:p>
    <w:p w:rsidR="004E13A5" w:rsidRDefault="00681463">
      <w:pPr>
        <w:pStyle w:val="BodyText"/>
        <w:ind w:right="56"/>
      </w:pPr>
      <w:r>
        <w:t>In these cases, the family must be absorbed by the receiving PHA either as a new admission or as a portability move-in, as applicable. Upon absorption, the initial PHA’s VASH voucher will be available to lease to a new VASH-eligible family, and the absorbed family will count toward the number of VASH slots awarded to the receiving PHA.</w:t>
      </w:r>
    </w:p>
    <w:p w:rsidR="004E13A5" w:rsidRDefault="00681463">
      <w:pPr>
        <w:pStyle w:val="Heading4"/>
        <w:spacing w:before="120"/>
      </w:pPr>
      <w:r>
        <w:t>Portability Outside of the Initial VAMC or DSP’s Catchment Area under VAWA</w:t>
      </w:r>
    </w:p>
    <w:p w:rsidR="004E13A5" w:rsidRDefault="00681463">
      <w:pPr>
        <w:pStyle w:val="BodyText"/>
        <w:spacing w:before="120"/>
        <w:ind w:right="143"/>
      </w:pPr>
      <w:r>
        <w:t>Veterans who request to port beyond the catchment area of the VAMC or DSP where they are receiving case management to protect the health or safety of a person who is or has been the victim of domestic violence, dating violence, sexual assault, or stalking, and who reasonably believes they are threatened with imminent harm from further violence by remaining in the unit may port prior to receiving approval from the receiving VAMC or DSP. The initial PHA must follow its emergency transfer plan (see Exhibit 16-3). PHAs may require verbal self-certification</w:t>
      </w:r>
    </w:p>
    <w:p w:rsidR="004E13A5" w:rsidRDefault="004E13A5">
      <w:pPr>
        <w:sectPr w:rsidR="004E13A5">
          <w:footerReference w:type="default" r:id="rId93"/>
          <w:pgSz w:w="12240" w:h="15840"/>
          <w:pgMar w:top="1360" w:right="1340" w:bottom="280" w:left="1340" w:header="0" w:footer="0" w:gutter="0"/>
          <w:cols w:space="720"/>
        </w:sectPr>
      </w:pPr>
    </w:p>
    <w:p w:rsidR="004E13A5" w:rsidRDefault="00681463">
      <w:pPr>
        <w:pStyle w:val="BodyText"/>
        <w:spacing w:before="79"/>
        <w:ind w:right="90"/>
      </w:pPr>
      <w:r>
        <w:lastRenderedPageBreak/>
        <w:t>or a written request from a participant seeing a move beyond the catchment area of the VAMC or DSP.</w:t>
      </w:r>
    </w:p>
    <w:p w:rsidR="004E13A5" w:rsidRDefault="00681463">
      <w:pPr>
        <w:pStyle w:val="BodyText"/>
        <w:ind w:right="249"/>
      </w:pPr>
      <w:r>
        <w:t>The verbal self-certification or written request must include either a statement expressing why the participant reasonably believes that there is a threat of imminent harm from further violence if they were to remain in the same unit or a statement that the tenant was a sexual assault victim and that the sexual assault occurred on the premises during the 90-day period preceding the participants request for the move.</w:t>
      </w:r>
    </w:p>
    <w:p w:rsidR="004E13A5" w:rsidRDefault="00681463">
      <w:pPr>
        <w:pStyle w:val="BodyText"/>
      </w:pPr>
      <w:r>
        <w:t>The participant must still port to a PHA that has a VASH program. If the receiving PHA does not have a VASH voucher available to lease, they may bill the initial PHA until a VASH voucher is available, at which point the porting veteran must be absorbed into the receiving PHA’s program.</w:t>
      </w:r>
    </w:p>
    <w:p w:rsidR="004E13A5" w:rsidRDefault="004E13A5">
      <w:pPr>
        <w:pStyle w:val="BodyText"/>
        <w:spacing w:before="0"/>
        <w:ind w:left="0"/>
        <w:rPr>
          <w:sz w:val="26"/>
        </w:rPr>
      </w:pPr>
    </w:p>
    <w:p w:rsidR="004E13A5" w:rsidRDefault="004E13A5">
      <w:pPr>
        <w:pStyle w:val="BodyText"/>
        <w:spacing w:before="3"/>
        <w:ind w:left="0"/>
        <w:rPr>
          <w:sz w:val="29"/>
        </w:rPr>
      </w:pPr>
    </w:p>
    <w:p w:rsidR="004E13A5" w:rsidRDefault="00681463">
      <w:pPr>
        <w:pStyle w:val="Heading4"/>
      </w:pPr>
      <w:r>
        <w:t xml:space="preserve">19-I.G. TERMINATION OF ASSISTANCE </w:t>
      </w:r>
      <w:r w:rsidR="00AD6ACF" w:rsidRPr="002257FF">
        <w:rPr>
          <w:b w:val="0"/>
          <w:bCs w:val="0"/>
        </w:rPr>
        <w:t>FR Notice 8/13/24</w:t>
      </w:r>
      <w:r w:rsidR="00AD6ACF">
        <w:rPr>
          <w:b w:val="0"/>
          <w:bCs w:val="0"/>
        </w:rPr>
        <w:t>]</w:t>
      </w:r>
    </w:p>
    <w:p w:rsidR="004E13A5" w:rsidRDefault="00AD6ACF">
      <w:pPr>
        <w:pStyle w:val="BodyText"/>
      </w:pPr>
      <w:r w:rsidRPr="00F6525C">
        <w:t>Prior</w:t>
      </w:r>
      <w:r>
        <w:t xml:space="preserve"> </w:t>
      </w:r>
      <w:r w:rsidR="00681463">
        <w:t>rior to terminating VASH participants, HUD strongly encourages PHAs to exercise their discretion under 24 CFR 982.552(c)(2) as outlined in Section 12-II.D. of this policy and consider all relevant circumstances of the specific case. This includes granting reasonable accommodations for persons with disabilities, as well as considering the role of the case manager and the impact that ongoing case management services can have on mitigating the conditions that led to the potential termination.</w:t>
      </w:r>
    </w:p>
    <w:p w:rsidR="00AD6ACF" w:rsidRDefault="00681463" w:rsidP="00AD6ACF">
      <w:pPr>
        <w:pStyle w:val="BodyText"/>
        <w:spacing w:before="120"/>
      </w:pPr>
      <w:r>
        <w:t>VASH participant families may not be terminated after admission for a circumstance or activities that occurred prior to admission and were known to the PHA but could not be considered at the time of admission due to VASH program requirements. The PHA may terminate the family’s assistance only for program violations that occur after the family’s admission to the program.</w:t>
      </w:r>
      <w:r w:rsidR="00AD6ACF" w:rsidRPr="00F6525C">
        <w:t>There are two alternative requirements for termination of assistance for VASH participants.</w:t>
      </w:r>
      <w:r w:rsidR="00AD6ACF" w:rsidRPr="00E61D2C">
        <w:t xml:space="preserve">  </w:t>
      </w:r>
    </w:p>
    <w:p w:rsidR="00AD6ACF" w:rsidRDefault="00AD6ACF" w:rsidP="00AD6ACF">
      <w:pPr>
        <w:pStyle w:val="BodyText"/>
        <w:ind w:right="103"/>
      </w:pPr>
    </w:p>
    <w:p w:rsidR="004E13A5" w:rsidRPr="00BA59C9" w:rsidRDefault="00681463" w:rsidP="00BF2931">
      <w:pPr>
        <w:pStyle w:val="BodyText"/>
        <w:ind w:right="103"/>
      </w:pPr>
      <w:r w:rsidRPr="00BF2931">
        <w:rPr>
          <w:b/>
        </w:rPr>
        <w:t>Cessation of Case Management</w:t>
      </w:r>
    </w:p>
    <w:p w:rsidR="004E13A5" w:rsidRDefault="00681463">
      <w:pPr>
        <w:pStyle w:val="BodyText"/>
        <w:ind w:right="136"/>
      </w:pPr>
      <w:r>
        <w:t>As a condition of receiving HCV rental assistance, a HUD-VASH-eligible family must receive case management services from the VAMC or</w:t>
      </w:r>
      <w:r w:rsidR="00AD6ACF">
        <w:t xml:space="preserve"> </w:t>
      </w:r>
      <w:r>
        <w:t xml:space="preserve">DSP. A VASH participant family’s assistance must be terminated for failure to participate, without good cause, in case management as verified by the VAMC or </w:t>
      </w:r>
      <w:r w:rsidR="00AD6ACF">
        <w:t xml:space="preserve">DSP. </w:t>
      </w:r>
      <w:r w:rsidR="00AD6ACF" w:rsidRPr="00F6525C">
        <w:t>However, the PHA may offer the family continued assistance through one of its regular vouchers or a PBV unit not exclusively made available for HUD-VASH.</w:t>
      </w:r>
    </w:p>
    <w:p w:rsidR="004E13A5" w:rsidRDefault="00681463">
      <w:pPr>
        <w:pStyle w:val="BodyText"/>
      </w:pPr>
      <w:r>
        <w:t xml:space="preserve">However, a VAMC or DSPdetermination that the participant family no longer requires case management is not grounds for termination of voucher or PBV assistance . In such a case, at its option, the PHA may offer the family continued assistance through one of its regular vouchers. </w:t>
      </w:r>
      <w:r w:rsidR="00AD6ACF" w:rsidRPr="00F6525C">
        <w:t>The decision to transfer assistance to a regular voucher must consider veteran preference and must be communicated to the VA prior to occurring. If the PHA has no voucher to offer, the family will retain its VASH voucher, or PBV unit, until such time as the PHA has an available voucher (or PBV unit not exclusively made available for VASH) for the family.</w:t>
      </w:r>
      <w:r w:rsidR="00AD6ACF" w:rsidRPr="00E61D2C">
        <w:t xml:space="preserve">  </w:t>
      </w:r>
      <w:r>
        <w:t>If the PHA has no voucher to offer, the family will retain its VASH voucher or PBV unit until such time as the PHA has an available voucher for the family.</w:t>
      </w:r>
    </w:p>
    <w:p w:rsidR="00AD6ACF" w:rsidRDefault="00AD6ACF">
      <w:pPr>
        <w:pStyle w:val="BodyText"/>
      </w:pPr>
    </w:p>
    <w:p w:rsidR="00AD6ACF" w:rsidRPr="00F6525C" w:rsidRDefault="00AD6ACF" w:rsidP="00AD6ACF">
      <w:pPr>
        <w:pStyle w:val="BodyText"/>
        <w:spacing w:before="120"/>
        <w:rPr>
          <w:b/>
          <w:bCs/>
        </w:rPr>
      </w:pPr>
      <w:bookmarkStart w:id="438" w:name="_Hlk174537744"/>
      <w:r w:rsidRPr="00F6525C">
        <w:rPr>
          <w:b/>
          <w:bCs/>
        </w:rPr>
        <w:t>Serious Violation of the Lease</w:t>
      </w:r>
      <w:bookmarkEnd w:id="438"/>
    </w:p>
    <w:p w:rsidR="00AD6ACF" w:rsidRDefault="00AD6ACF" w:rsidP="00AD6ACF">
      <w:pPr>
        <w:pStyle w:val="BodyText"/>
        <w:spacing w:before="120"/>
      </w:pPr>
      <w:r w:rsidRPr="00F6525C">
        <w:t xml:space="preserve">The regulation at 24 CFR 982.552(b)(2) states that the PHA must terminate program assistance for a family evicted from housing assisted under the program for serious violation of the lease. </w:t>
      </w:r>
      <w:bookmarkStart w:id="439" w:name="_Hlk174537869"/>
      <w:r w:rsidRPr="00F6525C">
        <w:t xml:space="preserve">HUD waived this provision, and establishing the alternative requirement that the PHA may </w:t>
      </w:r>
      <w:r w:rsidRPr="00F6525C">
        <w:lastRenderedPageBreak/>
        <w:t>terminate program assistance in this case.</w:t>
      </w:r>
      <w:bookmarkEnd w:id="439"/>
      <w:r w:rsidRPr="00F6525C">
        <w:t xml:space="preserve"> Prior to terminating VASH participants for this reason, HUD strongly encourages PHAs to exercise their discretion under 24 CFR 982.552(c)(2) and consider all relevant circumstances of the specific case, as well as including the role of the case manager and the impact that ongoing case management services can have on mitigating the conditions that led to the potential termination, prior to determining whether to terminate assistance.</w:t>
      </w:r>
    </w:p>
    <w:p w:rsidR="00AD6ACF" w:rsidRDefault="00AD6ACF">
      <w:pPr>
        <w:pStyle w:val="BodyText"/>
      </w:pPr>
    </w:p>
    <w:p w:rsidR="004E13A5" w:rsidRDefault="00681463">
      <w:pPr>
        <w:pStyle w:val="Heading4"/>
        <w:spacing w:before="120"/>
      </w:pPr>
      <w:r>
        <w:t xml:space="preserve">VAWA </w:t>
      </w:r>
      <w:r w:rsidR="00AD6ACF" w:rsidRPr="002257FF">
        <w:rPr>
          <w:b w:val="0"/>
          <w:bCs w:val="0"/>
        </w:rPr>
        <w:t>[FR Notice 8/13/24]</w:t>
      </w:r>
    </w:p>
    <w:p w:rsidR="004E13A5" w:rsidRDefault="00681463">
      <w:pPr>
        <w:pStyle w:val="BodyText"/>
        <w:ind w:right="97"/>
      </w:pPr>
      <w:r>
        <w:t>When a veteran’s family member is receiving protection under VAWA because the veteran is the perpetrator of domestic violence, dating violence, sexual assault, or stalking, the victim must continue to be assisted. Upon termination of the perpetrator’s VASH assistance, the victim must be given a regular HCV if one is available, and the perpetrator’s VASH voucher must be used to serve another eligible veteran family. If a regular HCV is not available, the perpetrator must be terminated from assistance and the victim will continue to use the VASH voucher.</w:t>
      </w:r>
    </w:p>
    <w:p w:rsidR="004E13A5" w:rsidRDefault="004E13A5">
      <w:pPr>
        <w:sectPr w:rsidR="004E13A5">
          <w:footerReference w:type="default" r:id="rId94"/>
          <w:pgSz w:w="12240" w:h="15840"/>
          <w:pgMar w:top="1360" w:right="1340" w:bottom="280" w:left="1340" w:header="0" w:footer="0" w:gutter="0"/>
          <w:cols w:space="720"/>
        </w:sect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0"/>
        <w:ind w:left="0"/>
        <w:rPr>
          <w:sz w:val="20"/>
        </w:rPr>
      </w:pPr>
    </w:p>
    <w:p w:rsidR="004E13A5" w:rsidRDefault="004E13A5">
      <w:pPr>
        <w:pStyle w:val="BodyText"/>
        <w:spacing w:before="7"/>
        <w:ind w:left="0"/>
        <w:rPr>
          <w:sz w:val="16"/>
        </w:rPr>
      </w:pPr>
    </w:p>
    <w:p w:rsidR="004E13A5" w:rsidRDefault="00681463">
      <w:pPr>
        <w:pStyle w:val="Heading4"/>
        <w:spacing w:before="90"/>
      </w:pPr>
      <w:r>
        <w:t>19-I.H. PROJECT-BASING VASH VOUCHERS</w:t>
      </w:r>
    </w:p>
    <w:p w:rsidR="004E13A5" w:rsidRDefault="00681463">
      <w:pPr>
        <w:spacing w:before="119"/>
        <w:ind w:left="100"/>
        <w:rPr>
          <w:b/>
          <w:sz w:val="24"/>
        </w:rPr>
      </w:pPr>
      <w:r>
        <w:rPr>
          <w:b/>
          <w:sz w:val="24"/>
        </w:rPr>
        <w:t xml:space="preserve">General Requirements [Notice PIH 2017-21 and </w:t>
      </w:r>
      <w:r w:rsidR="00AD6ACF" w:rsidRPr="002257FF">
        <w:rPr>
          <w:b/>
          <w:bCs/>
        </w:rPr>
        <w:t>FR Notice 8/13/24</w:t>
      </w:r>
      <w:r w:rsidR="00AD6ACF">
        <w:rPr>
          <w:b/>
          <w:bCs/>
        </w:rPr>
        <w:t>]</w:t>
      </w:r>
    </w:p>
    <w:p w:rsidR="004E13A5" w:rsidRDefault="00681463">
      <w:pPr>
        <w:pStyle w:val="BodyText"/>
        <w:ind w:right="56"/>
      </w:pPr>
      <w:r>
        <w:t>PHAs are authorized to project-base their tenant-based VASH vouchers without additional HUD review or approval in accordance with Notice PIH 2017-21 and all PBV program requirements provided that the VAMC will continue to make supportive services available. In addition, since 2010, HUD has awarded VASH vouchers specifically for project-based assistance in the form of PBV HUD-VASH set-aside vouchers. While these vouchers are excluded from the PBV program cap as long as they remain under PBV HAP contract at the designated project, all other VASH vouchers are subject to the PBV program percentage limitation discussed in Section 17-I.A. Note that VASH supportive services only need to be provided to VASH families receiving PBV assistance in the project, not all families receiving PBV assistance in the project. If a VASH family does not require or no longer requires case management, the unit continues to count as an excepted PBV unit as long as the family resides in the unit.</w:t>
      </w:r>
      <w:r w:rsidR="00AD6ACF" w:rsidRPr="00AD6ACF">
        <w:t xml:space="preserve"> </w:t>
      </w:r>
      <w:r w:rsidR="00AD6ACF" w:rsidRPr="00F6525C">
        <w:t>In the description of units in Exhibit A of the HAP contract, PHAs must indicate the number of units that will be exclusively made available to VASH families. The PHA must refer only VASH families to PBV units exclusively made available to VASH families and to PBV units funded through a VASH PBV set-aside award.</w:t>
      </w:r>
    </w:p>
    <w:p w:rsidR="004E13A5" w:rsidRDefault="00681463">
      <w:pPr>
        <w:pStyle w:val="BodyText"/>
        <w:ind w:right="161"/>
      </w:pPr>
      <w:r>
        <w:t>If the PHA project-bases VASH vouchers, the PHA must consult with the partnering VAMC or DSP to ensure approval of the project or projects. PHAs may project-base VASH vouchers in projects alongside other PBV units and may execute a single HAP contract covering both the VASH PBVs and the other PBVs. The PHA must refer only VASH families to PBV units exclusively made available to VASH families and to PBV units funded through a HUD set-aside award.</w:t>
      </w:r>
    </w:p>
    <w:p w:rsidR="004E13A5" w:rsidRDefault="00681463">
      <w:pPr>
        <w:pStyle w:val="BodyText"/>
        <w:ind w:right="262"/>
      </w:pPr>
      <w:r>
        <w:t>If a VASH family is referred to the PHA and there is an available PBV unit that is not exclusively made available to VASH families, the PHA may offer to refer the family to the owner if allowable under the selection policy for that project, and the owner and PHA may amend the HAP contract to designate the PBV unit as a VASH PBV unit.</w:t>
      </w:r>
    </w:p>
    <w:p w:rsidR="004E13A5" w:rsidRDefault="00681463">
      <w:pPr>
        <w:pStyle w:val="BodyText"/>
        <w:ind w:right="129"/>
      </w:pPr>
      <w:r>
        <w:t>The PHA and owner may agree to amend a PBV HAP contract to redesignate a regular PBV unit as a unit specifically designated for VASH families so long as the PHA first consults with the VAMC or DSP. Additionally, the PHA and owner may agree to amend a PBV HAP contract to redesignate a unit specifically designated for VASH families as a regular PBV unit, so long as the unit is not funded through a VASH PBV set-aside award and is eligible for regular PBV (i.e., the unit is not on the grounds of a medical facility and the unit is eligible under the PHA’s program and project caps).</w:t>
      </w:r>
    </w:p>
    <w:p w:rsidR="00AD6ACF" w:rsidRPr="00F6525C" w:rsidRDefault="00681463" w:rsidP="00AD6ACF">
      <w:pPr>
        <w:pStyle w:val="BodyText"/>
        <w:spacing w:before="120"/>
        <w:rPr>
          <w:b/>
        </w:rPr>
      </w:pPr>
      <w:r>
        <w:t>. Policies for VASH PBV units will generally follow PHA policies for the standard PBV program as listed in Chapter 17, with the exception of the policies listed below.</w:t>
      </w:r>
      <w:bookmarkStart w:id="440" w:name="_Hlk174538006"/>
      <w:r w:rsidR="00AD6ACF" w:rsidRPr="00F6525C">
        <w:rPr>
          <w:b/>
        </w:rPr>
        <w:t>Ineligible Units</w:t>
      </w:r>
    </w:p>
    <w:bookmarkEnd w:id="440"/>
    <w:p w:rsidR="00AD6ACF" w:rsidRPr="00F6525C" w:rsidRDefault="00AD6ACF" w:rsidP="00AD6ACF">
      <w:pPr>
        <w:pStyle w:val="BodyText"/>
        <w:spacing w:before="120"/>
        <w:rPr>
          <w:bCs/>
        </w:rPr>
      </w:pPr>
      <w:r w:rsidRPr="00F6525C">
        <w:rPr>
          <w:bCs/>
        </w:rPr>
        <w:t>Unlike in the regular PBV program, the PHA may opt to select an occupied unit or admit a family to a unit if such unit is made exclusively available to VASH families if the PBV project is either on the grounds of a VA facility or there are VASH supportive services provided on-site at the project.</w:t>
      </w:r>
    </w:p>
    <w:p w:rsidR="00AD6ACF" w:rsidRPr="00A22E4E" w:rsidRDefault="00AD6ACF" w:rsidP="00AD6ACF">
      <w:pPr>
        <w:pStyle w:val="BodyText"/>
        <w:spacing w:before="120"/>
        <w:rPr>
          <w:b/>
          <w:bCs/>
        </w:rPr>
      </w:pPr>
      <w:r>
        <w:rPr>
          <w:b/>
          <w:bCs/>
          <w:highlight w:val="yellow"/>
        </w:rPr>
        <w:br w:type="page"/>
      </w:r>
      <w:bookmarkStart w:id="441" w:name="_Hlk174538075"/>
      <w:r w:rsidRPr="00A22E4E">
        <w:rPr>
          <w:b/>
          <w:bCs/>
        </w:rPr>
        <w:lastRenderedPageBreak/>
        <w:t>Termination of Assistance</w:t>
      </w:r>
      <w:bookmarkEnd w:id="441"/>
    </w:p>
    <w:p w:rsidR="00AD6ACF" w:rsidRPr="00F6525C" w:rsidRDefault="00AD6ACF" w:rsidP="00AD6ACF">
      <w:pPr>
        <w:pStyle w:val="BodyText"/>
        <w:spacing w:before="120"/>
      </w:pPr>
      <w:r w:rsidRPr="00F6525C">
        <w:t>A VASH family’s PBV assistance must be terminated for failure to participate in case management when required by the VA.</w:t>
      </w:r>
      <w:r w:rsidRPr="00A22E4E">
        <w:t xml:space="preserve"> </w:t>
      </w:r>
      <w:r w:rsidRPr="00F6525C">
        <w:t>However, the PHA may allow the veteran</w:t>
      </w:r>
      <w:r w:rsidRPr="00A22E4E">
        <w:t xml:space="preserve"> family</w:t>
      </w:r>
      <w:r w:rsidRPr="00F6525C">
        <w:t xml:space="preserve"> to receive a regular (non-VASH) tenant-based voucher or PBV unit instead of the family</w:t>
      </w:r>
      <w:r>
        <w:t>’</w:t>
      </w:r>
      <w:r w:rsidRPr="00F6525C">
        <w:t xml:space="preserve">s assistance being terminated. In this case, the PHA may: </w:t>
      </w:r>
    </w:p>
    <w:p w:rsidR="00AD6ACF" w:rsidRPr="00F6525C" w:rsidRDefault="00AD6ACF" w:rsidP="00AD6ACF">
      <w:pPr>
        <w:pStyle w:val="BodyText"/>
        <w:widowControl/>
        <w:numPr>
          <w:ilvl w:val="0"/>
          <w:numId w:val="100"/>
        </w:numPr>
        <w:adjustRightInd w:val="0"/>
        <w:spacing w:before="120"/>
        <w:ind w:left="360"/>
      </w:pPr>
      <w:r w:rsidRPr="00F6525C">
        <w:t xml:space="preserve">Substitute </w:t>
      </w:r>
      <w:r>
        <w:t>t</w:t>
      </w:r>
      <w:r w:rsidRPr="00F6525C">
        <w:t>he family</w:t>
      </w:r>
      <w:r>
        <w:t>’</w:t>
      </w:r>
      <w:r w:rsidRPr="00F6525C">
        <w:t xml:space="preserve">s unit on the PBV HAP contract for another unit (the PHA may, in conjunction with such substitution, add the original unit to the PBV HAP contract with a non-VASH voucher if it is possible to do so; </w:t>
      </w:r>
    </w:p>
    <w:p w:rsidR="00AD6ACF" w:rsidRPr="00F6525C" w:rsidRDefault="00AD6ACF" w:rsidP="00AD6ACF">
      <w:pPr>
        <w:pStyle w:val="BodyText"/>
        <w:widowControl/>
        <w:numPr>
          <w:ilvl w:val="0"/>
          <w:numId w:val="100"/>
        </w:numPr>
        <w:adjustRightInd w:val="0"/>
        <w:spacing w:before="120"/>
        <w:ind w:left="360"/>
      </w:pPr>
      <w:r w:rsidRPr="00F6525C">
        <w:t xml:space="preserve">Remove the unit from the PBV HAP contract so the family may remain with tenant-based assistance, if the family and the owner agree to use the tenant-based voucher in the unit; or </w:t>
      </w:r>
    </w:p>
    <w:p w:rsidR="00AD6ACF" w:rsidRPr="00F6525C" w:rsidRDefault="00AD6ACF" w:rsidP="00AD6ACF">
      <w:pPr>
        <w:pStyle w:val="BodyText"/>
        <w:widowControl/>
        <w:numPr>
          <w:ilvl w:val="0"/>
          <w:numId w:val="100"/>
        </w:numPr>
        <w:adjustRightInd w:val="0"/>
        <w:spacing w:before="120"/>
        <w:ind w:left="360"/>
      </w:pPr>
      <w:r w:rsidRPr="00F6525C">
        <w:t>Change the unit’s status in the PBV HAP contract from a unit exclusively made available for VASH to a regular PBV unit, if doing so is allowable under program rules.</w:t>
      </w:r>
    </w:p>
    <w:p w:rsidR="00AD6ACF" w:rsidRPr="00F6525C" w:rsidRDefault="00AD6ACF" w:rsidP="00AD6ACF">
      <w:pPr>
        <w:pStyle w:val="BodyText"/>
        <w:spacing w:before="120"/>
      </w:pPr>
      <w:r w:rsidRPr="00F6525C">
        <w:t>If the PHA will not allow the veteran to receive a regular (non-VASH) tenant-based voucher or PBV unit instead of the family</w:t>
      </w:r>
      <w:r>
        <w:t>’</w:t>
      </w:r>
      <w:r w:rsidRPr="00F6525C">
        <w:t>s assistance being terminated, then upon notification by the VA of the family’s failure to participate in VA-required case management, the PHA must provide the family a reasonable period of time (as established by the PHA) to vacate the unit.</w:t>
      </w:r>
    </w:p>
    <w:p w:rsidR="00AD6ACF" w:rsidRPr="00A22E4E" w:rsidRDefault="00AD6ACF" w:rsidP="00AD6ACF">
      <w:pPr>
        <w:pStyle w:val="BodyText"/>
        <w:spacing w:before="120"/>
        <w:ind w:left="720"/>
      </w:pPr>
      <w:r w:rsidRPr="00A22E4E">
        <w:t>PHA Policy</w:t>
      </w:r>
    </w:p>
    <w:p w:rsidR="00AD6ACF" w:rsidRPr="00A22E4E" w:rsidRDefault="00AD6ACF" w:rsidP="00AD6ACF">
      <w:pPr>
        <w:pStyle w:val="BodyText"/>
        <w:spacing w:before="120"/>
        <w:ind w:left="720"/>
      </w:pPr>
      <w:r w:rsidRPr="00A22E4E">
        <w:t>If the family fails to participate in case management when required by the VA, the PHA will terminate the family’s assistance. The family will have 120 days to vacate the unit. The PHA will terminate assistance to the family at the earlier of (1) the time the family vacates or (2) the expiration of the 120-day period. If the family fails to vacate the unit within the established time, the owner may evict the family. If the owner does not evict the family, the PHA will remove the unit from the HAP contract or amend the HAP contract to substitute a different unit in the project if the project is partially assisted. The PHA may add the removed unit back onto the HAP contract after the ineligible family vacates the property.</w:t>
      </w:r>
    </w:p>
    <w:p w:rsidR="00AD6ACF" w:rsidRPr="00A22E4E" w:rsidRDefault="00AD6ACF" w:rsidP="00AD6ACF">
      <w:pPr>
        <w:pStyle w:val="BodyText"/>
        <w:spacing w:before="120"/>
        <w:rPr>
          <w:b/>
          <w:bCs/>
        </w:rPr>
      </w:pPr>
      <w:r w:rsidRPr="00A22E4E">
        <w:rPr>
          <w:b/>
          <w:bCs/>
        </w:rPr>
        <w:t>Moves</w:t>
      </w:r>
    </w:p>
    <w:p w:rsidR="00AD6ACF" w:rsidRPr="00A22E4E" w:rsidRDefault="00AD6ACF" w:rsidP="00AD6ACF">
      <w:pPr>
        <w:pStyle w:val="BodyText"/>
        <w:spacing w:before="120"/>
      </w:pPr>
      <w:r w:rsidRPr="00A22E4E">
        <w:t xml:space="preserve"> If a VASH family is eligible to move from its PBV unit after a year of PBV assistance, the PHA will generally follow policies in Chapter 17. However, if there is no VASH tenant-based voucher available at the time the family requests to move, the PHA’s actions depend on whether the family still requires case management.</w:t>
      </w:r>
    </w:p>
    <w:p w:rsidR="00AD6ACF" w:rsidRPr="00A22E4E" w:rsidRDefault="00AD6ACF" w:rsidP="00AD6ACF">
      <w:pPr>
        <w:pStyle w:val="BodyText"/>
        <w:widowControl/>
        <w:numPr>
          <w:ilvl w:val="0"/>
          <w:numId w:val="101"/>
        </w:numPr>
        <w:adjustRightInd w:val="0"/>
        <w:spacing w:before="120"/>
        <w:ind w:left="360"/>
      </w:pPr>
      <w:r w:rsidRPr="00A22E4E">
        <w:t>The PHA may require a family that still requires case management to wait for a VASH tenant-based voucher for a period not to exceed 180 days. If a HUD-VASH tenant-based voucher is still not available after 180 days, the family must be allowed to move using its VASH voucher as tenant-based assistance. Alternatively, the PHA may allow the family to move using its VASH voucher as tenant-based assistance without having to meet this 180-day waiting period. In either case, the PHA may either amend the PBV HAP contract to replace the assistance in the PBV unit with one of its regular vouchers if the unit is eligible for a regular PBV or the PHA and owner may agree to temporarily remove the unit from the HAP contract.</w:t>
      </w:r>
    </w:p>
    <w:p w:rsidR="00AD6ACF" w:rsidRPr="00A22E4E" w:rsidRDefault="00AD6ACF" w:rsidP="00AD6ACF">
      <w:pPr>
        <w:pStyle w:val="BodyText"/>
        <w:widowControl/>
        <w:numPr>
          <w:ilvl w:val="0"/>
          <w:numId w:val="101"/>
        </w:numPr>
        <w:adjustRightInd w:val="0"/>
        <w:spacing w:before="120"/>
        <w:ind w:left="360"/>
      </w:pPr>
      <w:r>
        <w:br w:type="page"/>
      </w:r>
      <w:r w:rsidRPr="00A22E4E">
        <w:lastRenderedPageBreak/>
        <w:t>If a VASH veteran has been determined to no longer require case management, the PHA must allow the family to move with the first available tenant-based voucher. If no VASH voucher is immediately available, the PHA may not require the family to wait for a VASH voucher to become available.</w:t>
      </w:r>
    </w:p>
    <w:p w:rsidR="00AD6ACF" w:rsidRPr="00511A31" w:rsidRDefault="00AD6ACF" w:rsidP="00AD6ACF">
      <w:pPr>
        <w:pStyle w:val="BodyText"/>
        <w:spacing w:before="120"/>
        <w:rPr>
          <w:b/>
          <w:bCs/>
        </w:rPr>
      </w:pPr>
      <w:bookmarkStart w:id="442" w:name="_Hlk174539036"/>
      <w:r w:rsidRPr="00511A31">
        <w:rPr>
          <w:b/>
          <w:bCs/>
        </w:rPr>
        <w:t>Wrong-Sized or Accessible Units</w:t>
      </w:r>
      <w:bookmarkEnd w:id="442"/>
    </w:p>
    <w:p w:rsidR="00AD6ACF" w:rsidRPr="00511A31" w:rsidRDefault="00AD6ACF" w:rsidP="00AD6ACF">
      <w:pPr>
        <w:pStyle w:val="BodyText"/>
        <w:spacing w:before="120"/>
      </w:pPr>
      <w:r w:rsidRPr="00511A31">
        <w:t>If the PHA determines that a VASH family is occupying a wrong-size PBV unit or a PBV unit with accessibility features that the family does not require and the PBV unit is needed by a family that requires the accessibility features, the PHA must notify the family and the owner within 30 days of the PHA’s determination. The PHA’s offer of continued housing assistance (that must be made within 60 days of the PHA’s determination) must be in the form of either a VASH tenant-based voucher or another VASH PBV unit. If no VASH assistance is available for the PHA to offer within 60 days of the PHA’s determination, the PHA must remove the wrong-sized or accessible unit from the HAP contract to make VASH voucher assistance available to the family.</w:t>
      </w:r>
    </w:p>
    <w:p w:rsidR="00AD6ACF" w:rsidRPr="00511A31" w:rsidRDefault="00AD6ACF" w:rsidP="00AD6ACF">
      <w:pPr>
        <w:pStyle w:val="BodyText"/>
        <w:spacing w:before="120"/>
        <w:rPr>
          <w:b/>
          <w:bCs/>
        </w:rPr>
      </w:pPr>
      <w:bookmarkStart w:id="443" w:name="_Hlk174539047"/>
      <w:r w:rsidRPr="00511A31">
        <w:rPr>
          <w:b/>
          <w:bCs/>
        </w:rPr>
        <w:t>Contract Terminations</w:t>
      </w:r>
      <w:bookmarkEnd w:id="443"/>
    </w:p>
    <w:p w:rsidR="00AD6ACF" w:rsidRDefault="00AD6ACF" w:rsidP="00AD6ACF">
      <w:pPr>
        <w:pStyle w:val="BodyText"/>
        <w:spacing w:before="120"/>
      </w:pPr>
      <w:r w:rsidRPr="00511A31">
        <w:t>The regulation at 24 CFR 983.206(b), which covers the required provision of tenant-based assistance and requires that the family may elect to use its tenant-based assistance to remain in the same project when a PBV HAP contract terminates or expires, does not apply to families issued a HUD-VASH tenant-based voucher under this circumstance. The PHA may use another voucher to add the unit removed under this alternative requirement to the HAP contract after the family vacates the property, in accordance with 24 CFR 983.207(b).</w:t>
      </w:r>
    </w:p>
    <w:p w:rsidR="00AD6ACF" w:rsidRPr="009E155F" w:rsidRDefault="00AD6ACF" w:rsidP="00AD6ACF">
      <w:pPr>
        <w:pStyle w:val="BodyText"/>
        <w:spacing w:before="120"/>
        <w:rPr>
          <w:b/>
          <w:bCs/>
        </w:rPr>
      </w:pPr>
      <w:bookmarkStart w:id="444" w:name="_Hlk174539054"/>
      <w:r w:rsidRPr="009E155F">
        <w:rPr>
          <w:b/>
          <w:bCs/>
        </w:rPr>
        <w:t>Rents</w:t>
      </w:r>
    </w:p>
    <w:bookmarkEnd w:id="444"/>
    <w:p w:rsidR="00AD6ACF" w:rsidRDefault="00AD6ACF" w:rsidP="00AD6ACF">
      <w:pPr>
        <w:pStyle w:val="BodyText"/>
        <w:spacing w:before="120"/>
      </w:pPr>
      <w:r w:rsidRPr="009E155F">
        <w:t>Contract rents may not be different based on whether the unit is a VASH PBV unit or a non-VASH PBV unit. In determining the rent to owner for the PBV project, if the cap on the amount of rent to owner under 24 CFR 983.301(b)(1) is lower for non-HUD-VASH units than it is for the HUD-VASH units (e.g., the PHA has established a HUD-VASH exception payment standard and there is either no exception payment standard or a lower exception payment standard for the regular HCV program for the area in question), that lower cap is applicable when setting the rent to owner for the PBV units in the project, including the  HUD-VASH units.</w:t>
      </w:r>
    </w:p>
    <w:p w:rsidR="00AD6ACF" w:rsidRPr="00103BCB" w:rsidRDefault="00AD6ACF" w:rsidP="00AD6ACF">
      <w:pPr>
        <w:pStyle w:val="BodyText"/>
        <w:spacing w:before="120"/>
        <w:rPr>
          <w:b/>
          <w:bCs/>
        </w:rPr>
      </w:pPr>
      <w:bookmarkStart w:id="445" w:name="_Hlk174539060"/>
      <w:r w:rsidRPr="00103BCB">
        <w:rPr>
          <w:b/>
          <w:bCs/>
        </w:rPr>
        <w:t>Removing Units from the HAP Contract for Ineligible Families</w:t>
      </w:r>
    </w:p>
    <w:bookmarkEnd w:id="445"/>
    <w:p w:rsidR="00AD6ACF" w:rsidRPr="00103BCB" w:rsidRDefault="00AD6ACF" w:rsidP="00AD6ACF">
      <w:pPr>
        <w:pStyle w:val="BodyText"/>
        <w:spacing w:before="120"/>
      </w:pPr>
      <w:r w:rsidRPr="00103BCB">
        <w:t>The PHA and owner may also agree to temporarily remove a unit from the HAP contract in cases where a HUDVASH eligible veteran has been identified by the VA as appropriate for a VASH PBV unit, but the veteran is not income eligible to receive voucher assistance or may not be selected for the PBV unit because the family’s TTP exceeds the gross rent of the unit. Although the family would not be a program participant in the housing portion of the VASH program in such a case, the family would still benefit from the project’s location on the grounds of a VA facility or from the VASH supportive services on-site at the project, while the VASH voucher would be available to assist another VASH family. The PHA and owner may agree to add a VASH voucher back onto the PBV HAP contract if the family’</w:t>
      </w:r>
      <w:r>
        <w:t>s</w:t>
      </w:r>
      <w:r w:rsidRPr="00103BCB">
        <w:t xml:space="preserve"> income subsequently decreased to the point that there would be a HAP or when the family vacates the unit.</w:t>
      </w:r>
    </w:p>
    <w:p w:rsidR="00AD6ACF" w:rsidRPr="00A85BBD" w:rsidRDefault="00AD6ACF" w:rsidP="00AD6ACF">
      <w:pPr>
        <w:pStyle w:val="BodyText"/>
        <w:spacing w:before="120"/>
        <w:rPr>
          <w:b/>
          <w:bCs/>
        </w:rPr>
      </w:pPr>
      <w:bookmarkStart w:id="446" w:name="_Hlk174539066"/>
      <w:r>
        <w:rPr>
          <w:b/>
          <w:bCs/>
          <w:highlight w:val="yellow"/>
        </w:rPr>
        <w:br w:type="page"/>
      </w:r>
      <w:r w:rsidRPr="00A85BBD">
        <w:rPr>
          <w:b/>
          <w:bCs/>
        </w:rPr>
        <w:lastRenderedPageBreak/>
        <w:t>Zero HAP Families</w:t>
      </w:r>
    </w:p>
    <w:bookmarkEnd w:id="446"/>
    <w:p w:rsidR="00AD6ACF" w:rsidRPr="00A85BBD" w:rsidRDefault="00AD6ACF" w:rsidP="00AD6ACF">
      <w:pPr>
        <w:pStyle w:val="BodyText"/>
        <w:spacing w:before="120"/>
      </w:pPr>
      <w:r w:rsidRPr="00A85BBD">
        <w:t>Under normal PBV requirements, the PHA may select an occupied unit to be included under a PBV HAP contract only if the unit’s occupants are eligible for assistance under 24 CFR 982.201, and the TTP for the family is less than the gross rent for the unit. Furthermore, in selecting a family for an available PBV unit, typically the PHA must determine the TTP for the family is less than the gross rent, meaning that the unit will be eligible for a monthly HAP. However, if  the PBV project is either on the grounds of a VA facility or there are HUD-VASH supportive services provided onsite at the project, the PHA may opt to select a unit occupied by a zero HAP VASH eligible family or admit a zero HAP VASH family to a unit if such unit is made exclusively available to VASH families. Until such time that the VASH family’s TTP falls below the gross rent, the family is responsible for paying the entire rent to owner in addition to being responsible for paying all tenant-supplied utilities. During any period that the family’s TTP falls below the gross rent, normal PBV requirements apply.</w:t>
      </w:r>
    </w:p>
    <w:p w:rsidR="00AD6ACF" w:rsidRPr="00A85BBD" w:rsidRDefault="00AD6ACF" w:rsidP="00AD6ACF">
      <w:pPr>
        <w:pStyle w:val="BodyText"/>
        <w:spacing w:before="120"/>
      </w:pPr>
      <w:r w:rsidRPr="00A85BBD">
        <w:t>Further, under normally applicable rules, units occupied by families whose incomes have increased during their tenancy resulting in their TTP equaling the gross rent (zero HAP) must be removed from the HAP contract 180 days following the last housing assistance payment to the owner on the family’s behalf. These regulations do not apply to zero HAP families admitted to the PBV project under this waiver and alternative requirement because there is no last housing assistance payment that would trigger the unit removal date of 180 days. As an alternative requirement, PHAs have the option of removing the unit in which the zero HAP family resides from the HAP contract, but no earlier than 180 days from the start of the family PBV tenancy. If the PHA exercises this option, the family may not be required to move from the unit as a consequence and continues to receive the VASH supportive services. If the project is fully assisted, the PHA may reinstate the unit removed to the HAP contract after the family either vacates the unit or their income decreases to the point that there would be a HAP. If the project is partially assisted, the PHA may substitute a different unit for the unit removed from the HAP contact when the first eligible substitute unit becomes available. Alternatively, the PHA may choose to simply leave the unit on the HAP contract while the zero HAP family continues to reside there.</w:t>
      </w:r>
    </w:p>
    <w:p w:rsidR="00AD6ACF" w:rsidRPr="00A85BBD" w:rsidRDefault="00AD6ACF" w:rsidP="00AD6ACF">
      <w:pPr>
        <w:pStyle w:val="BodyText"/>
        <w:spacing w:before="120"/>
        <w:rPr>
          <w:b/>
          <w:bCs/>
        </w:rPr>
      </w:pPr>
      <w:bookmarkStart w:id="447" w:name="_Hlk174539073"/>
      <w:r w:rsidRPr="00A85BBD">
        <w:rPr>
          <w:b/>
          <w:bCs/>
        </w:rPr>
        <w:t>Proposal/Project Selection</w:t>
      </w:r>
    </w:p>
    <w:bookmarkEnd w:id="447"/>
    <w:p w:rsidR="00AD6ACF" w:rsidRPr="00136D70" w:rsidRDefault="00AD6ACF" w:rsidP="00AD6ACF">
      <w:pPr>
        <w:pStyle w:val="BodyText"/>
        <w:spacing w:before="120"/>
      </w:pPr>
      <w:r w:rsidRPr="00A85BBD">
        <w:t>PBV proposal and/or project selection for VASH must follow all regular proposal and/or project selection regulations, with one exception. HUD permits noncompetitive selection of one or more PBV projects with units made exclusively available to VASH families on the site of a VA facility. Note that the method of project selection must comply with all other requirements under 24 CFR 983.51, including that the PHA must notify the public of its intent to noncompetitively select one or more projects for PBV assistance through its 5-Year Plan and to ensure any project selection is consistent with the PHA administrative plan.</w:t>
      </w:r>
    </w:p>
    <w:p w:rsidR="00AD6ACF" w:rsidRDefault="00AD6ACF">
      <w:pPr>
        <w:pStyle w:val="BodyText"/>
        <w:ind w:right="262"/>
      </w:pPr>
    </w:p>
    <w:p w:rsidR="00AD6ACF" w:rsidRDefault="00AD6ACF" w:rsidP="00AD6ACF">
      <w:pPr>
        <w:pStyle w:val="BodyText"/>
        <w:ind w:right="262"/>
      </w:pPr>
    </w:p>
    <w:p w:rsidR="004E13A5" w:rsidRDefault="00681463" w:rsidP="00BF2931">
      <w:pPr>
        <w:pStyle w:val="BodyText"/>
        <w:ind w:right="262"/>
      </w:pPr>
      <w:r w:rsidRPr="00BF2931">
        <w:rPr>
          <w:b/>
        </w:rPr>
        <w:t>Failure to Participate in Case Management</w:t>
      </w:r>
      <w:r>
        <w:t xml:space="preserve"> </w:t>
      </w:r>
      <w:r w:rsidR="00AD6ACF" w:rsidRPr="002257FF">
        <w:rPr>
          <w:b/>
          <w:bCs/>
        </w:rPr>
        <w:t>[FR Notice 8/13/24]</w:t>
      </w:r>
    </w:p>
    <w:p w:rsidR="004E13A5" w:rsidRDefault="00681463">
      <w:pPr>
        <w:pStyle w:val="BodyText"/>
        <w:spacing w:before="120"/>
        <w:ind w:right="162"/>
      </w:pPr>
      <w:r>
        <w:t>Upon notification by the VAMC or DSP of the family’s failure to participate, without good cause, in case management, the PHA must provide the family a reasonable time period to vacate the unit. The PHA must terminate assistance to the family at the earlier of either the time the family vacates or the expiration of the reasonable time period given to vacate.</w:t>
      </w:r>
    </w:p>
    <w:p w:rsidR="004E13A5" w:rsidRDefault="004E13A5">
      <w:pPr>
        <w:sectPr w:rsidR="004E13A5">
          <w:footerReference w:type="default" r:id="rId95"/>
          <w:pgSz w:w="12240" w:h="15840"/>
          <w:pgMar w:top="1500" w:right="1340" w:bottom="280" w:left="1340" w:header="0" w:footer="0" w:gutter="0"/>
          <w:cols w:space="720"/>
        </w:sectPr>
      </w:pPr>
    </w:p>
    <w:p w:rsidR="004E13A5" w:rsidRDefault="00681463">
      <w:pPr>
        <w:pStyle w:val="BodyText"/>
        <w:spacing w:before="79"/>
        <w:ind w:left="820"/>
      </w:pPr>
      <w:r>
        <w:rPr>
          <w:u w:val="single"/>
        </w:rPr>
        <w:lastRenderedPageBreak/>
        <w:t>PHA Policy</w:t>
      </w:r>
    </w:p>
    <w:p w:rsidR="004E13A5" w:rsidRDefault="00681463">
      <w:pPr>
        <w:pStyle w:val="BodyText"/>
        <w:ind w:left="820" w:right="189"/>
      </w:pPr>
      <w:r>
        <w:t>Upon notification by the VAMC or DSP that a VASH PBV family has failed to participate in case management without good cause, the PHA will provide written notice of termination of assistance to the family and the owner within 10 business days. The family will be given 60 days from the date of the notice to move out of the unit.</w:t>
      </w:r>
    </w:p>
    <w:p w:rsidR="004E13A5" w:rsidRDefault="00681463">
      <w:pPr>
        <w:pStyle w:val="BodyText"/>
        <w:ind w:left="820" w:right="424"/>
        <w:jc w:val="both"/>
      </w:pPr>
      <w:r>
        <w:t>The PHA may make exceptions to this 60-day period if needed for reasons beyond the family’s control such as death, serious illness, or other medical emergency of a family member.</w:t>
      </w:r>
    </w:p>
    <w:p w:rsidR="004E13A5" w:rsidRDefault="00681463">
      <w:pPr>
        <w:pStyle w:val="BodyText"/>
        <w:ind w:right="149"/>
      </w:pPr>
      <w:r>
        <w:t>If the family fails to vacate the unit within the established time, the owner may evict the family. If the owner does not evict the family, the PHA must remove the unit from the HAP contract or amend the HAP contract to substitute a different unit in the project if the project is partially assisted. The PHA may add the removed unit to the HAP contract after the ineligible family vacates the property.</w:t>
      </w:r>
    </w:p>
    <w:p w:rsidR="004E13A5" w:rsidRDefault="004E13A5">
      <w:pPr>
        <w:pStyle w:val="BodyText"/>
        <w:spacing w:before="0"/>
        <w:ind w:left="0"/>
        <w:rPr>
          <w:sz w:val="26"/>
        </w:rPr>
      </w:pPr>
    </w:p>
    <w:p w:rsidR="004E13A5" w:rsidRDefault="00681463">
      <w:pPr>
        <w:pStyle w:val="Heading4"/>
        <w:spacing w:before="216"/>
      </w:pPr>
      <w:r>
        <w:t xml:space="preserve">Moves [HUD-VASH Q&amp;As , </w:t>
      </w:r>
      <w:r w:rsidR="00AD6ACF" w:rsidRPr="002257FF">
        <w:rPr>
          <w:b w:val="0"/>
          <w:bCs w:val="0"/>
        </w:rPr>
        <w:t>FR Notice 8/13/24]</w:t>
      </w:r>
    </w:p>
    <w:p w:rsidR="004E13A5" w:rsidRDefault="00681463">
      <w:pPr>
        <w:pStyle w:val="BodyText"/>
      </w:pPr>
      <w:r>
        <w:t>When a VASH PBV family is eligible to move from its PBV unit in accordance with Section 17-</w:t>
      </w:r>
    </w:p>
    <w:p w:rsidR="004E13A5" w:rsidRDefault="00681463">
      <w:pPr>
        <w:pStyle w:val="BodyText"/>
        <w:spacing w:before="0"/>
        <w:ind w:right="869"/>
      </w:pPr>
      <w:r>
        <w:t>VIII.C. of this policy, but there is no other comparable tenant-based rental assistance, the following procedures must be implemented:</w:t>
      </w:r>
    </w:p>
    <w:p w:rsidR="004E13A5" w:rsidRDefault="00681463">
      <w:pPr>
        <w:pStyle w:val="ListParagraph"/>
        <w:numPr>
          <w:ilvl w:val="0"/>
          <w:numId w:val="93"/>
        </w:numPr>
        <w:tabs>
          <w:tab w:val="left" w:pos="460"/>
          <w:tab w:val="left" w:pos="461"/>
        </w:tabs>
        <w:spacing w:before="120"/>
        <w:ind w:right="123"/>
        <w:rPr>
          <w:rFonts w:ascii="Symbol"/>
          <w:sz w:val="24"/>
        </w:rPr>
      </w:pPr>
      <w:r>
        <w:rPr>
          <w:sz w:val="24"/>
        </w:rPr>
        <w:t>If a VASH tenant-based voucher is not available at the time the family wants (and is</w:t>
      </w:r>
      <w:r>
        <w:rPr>
          <w:spacing w:val="-18"/>
          <w:sz w:val="24"/>
        </w:rPr>
        <w:t xml:space="preserve"> </w:t>
      </w:r>
      <w:r>
        <w:rPr>
          <w:sz w:val="24"/>
        </w:rPr>
        <w:t>eligible) to move, the PHA may require a family who still requires case management to wait for a VASH tenant-based voucher for a period not to exceed 180</w:t>
      </w:r>
      <w:r>
        <w:rPr>
          <w:spacing w:val="-12"/>
          <w:sz w:val="24"/>
        </w:rPr>
        <w:t xml:space="preserve"> </w:t>
      </w:r>
      <w:r>
        <w:rPr>
          <w:sz w:val="24"/>
        </w:rPr>
        <w:t>days;</w:t>
      </w:r>
    </w:p>
    <w:p w:rsidR="004E13A5" w:rsidRDefault="00681463">
      <w:pPr>
        <w:pStyle w:val="ListParagraph"/>
        <w:numPr>
          <w:ilvl w:val="0"/>
          <w:numId w:val="93"/>
        </w:numPr>
        <w:tabs>
          <w:tab w:val="left" w:pos="460"/>
          <w:tab w:val="left" w:pos="461"/>
        </w:tabs>
        <w:ind w:right="145"/>
        <w:rPr>
          <w:rFonts w:ascii="Symbol"/>
          <w:sz w:val="24"/>
        </w:rPr>
      </w:pPr>
      <w:r>
        <w:rPr>
          <w:sz w:val="24"/>
        </w:rPr>
        <w:t>If a VASH tenant-based voucher is still not available after that period, the family must be allowed to move with its VASH voucher . Alternatively, the PHA may allow the family to move with its VASH voucher without having to meet this 180-day period. In either case, the PHA is required to replace the assistance in the PBV unit with one of its regular vouchers, unless the PHA and owner agree to temporarily remove the unit from the HAP contract;</w:t>
      </w:r>
      <w:r>
        <w:rPr>
          <w:spacing w:val="-14"/>
          <w:sz w:val="24"/>
        </w:rPr>
        <w:t xml:space="preserve"> </w:t>
      </w:r>
      <w:r>
        <w:rPr>
          <w:sz w:val="24"/>
        </w:rPr>
        <w:t>and</w:t>
      </w:r>
    </w:p>
    <w:p w:rsidR="004E13A5" w:rsidRDefault="00681463">
      <w:pPr>
        <w:pStyle w:val="ListParagraph"/>
        <w:numPr>
          <w:ilvl w:val="0"/>
          <w:numId w:val="93"/>
        </w:numPr>
        <w:tabs>
          <w:tab w:val="left" w:pos="460"/>
          <w:tab w:val="left" w:pos="461"/>
        </w:tabs>
        <w:ind w:right="121"/>
        <w:rPr>
          <w:rFonts w:ascii="Symbol"/>
          <w:sz w:val="24"/>
        </w:rPr>
      </w:pPr>
      <w:r>
        <w:rPr>
          <w:sz w:val="24"/>
        </w:rPr>
        <w:t>If a VASH veteran is determined to no longer require case management, the PHA must</w:t>
      </w:r>
      <w:r>
        <w:rPr>
          <w:spacing w:val="-15"/>
          <w:sz w:val="24"/>
        </w:rPr>
        <w:t xml:space="preserve"> </w:t>
      </w:r>
      <w:r>
        <w:rPr>
          <w:sz w:val="24"/>
        </w:rPr>
        <w:t>allow the family to move with the first available tenant-based voucher if not VASH voucher is immediately available and cannot require the family to wait for a VASH voucher to become available.</w:t>
      </w:r>
    </w:p>
    <w:p w:rsidR="004E13A5" w:rsidRDefault="004E13A5">
      <w:pPr>
        <w:pStyle w:val="BodyText"/>
        <w:spacing w:before="0"/>
        <w:ind w:left="0"/>
        <w:rPr>
          <w:sz w:val="13"/>
        </w:rPr>
      </w:pPr>
    </w:p>
    <w:p w:rsidR="004E13A5" w:rsidRDefault="00681463">
      <w:pPr>
        <w:pStyle w:val="Heading4"/>
        <w:spacing w:before="90"/>
        <w:ind w:left="2106"/>
      </w:pPr>
      <w:r>
        <w:t>PART II: MAINSTREAM VOUCHER PROGRAM</w:t>
      </w:r>
    </w:p>
    <w:p w:rsidR="004E13A5" w:rsidRDefault="004E13A5">
      <w:pPr>
        <w:pStyle w:val="BodyText"/>
        <w:spacing w:before="9"/>
        <w:ind w:left="0"/>
        <w:rPr>
          <w:b/>
          <w:sz w:val="20"/>
        </w:rPr>
      </w:pPr>
    </w:p>
    <w:p w:rsidR="004E13A5" w:rsidRDefault="00681463">
      <w:pPr>
        <w:ind w:left="100"/>
        <w:rPr>
          <w:b/>
          <w:sz w:val="24"/>
        </w:rPr>
      </w:pPr>
      <w:r>
        <w:rPr>
          <w:b/>
          <w:sz w:val="24"/>
        </w:rPr>
        <w:t>19-II.A. PROGRAM OVERVIEW [Notice PIH 2020-01]</w:t>
      </w:r>
    </w:p>
    <w:p w:rsidR="004E13A5" w:rsidRDefault="00681463">
      <w:pPr>
        <w:pStyle w:val="BodyText"/>
        <w:spacing w:before="120"/>
        <w:ind w:right="95"/>
      </w:pPr>
      <w:r>
        <w:t>Mainstream vouchers assist non-elderly persons with disabilities and their families in the form of either project-based or tenant-based voucher assistance.</w:t>
      </w:r>
    </w:p>
    <w:p w:rsidR="004E13A5" w:rsidRDefault="00681463">
      <w:pPr>
        <w:pStyle w:val="BodyText"/>
        <w:spacing w:before="124" w:line="242" w:lineRule="auto"/>
        <w:ind w:right="62"/>
      </w:pPr>
      <w:r>
        <w:t>Aside from separate funding appropriations and serving a specific population, Mainstream vouchers follow the same program requirements as standard vouchers. The PHA does not have special authority to treat families that receive a Mainstream voucher differently from other applicants and participants. For example, the PHA cannot apply different payment standards, establish conditions for allowing portability, or apply different screening criteria to Mainstream families.</w:t>
      </w:r>
    </w:p>
    <w:p w:rsidR="004E13A5" w:rsidRDefault="004E13A5">
      <w:pPr>
        <w:spacing w:line="242" w:lineRule="auto"/>
        <w:sectPr w:rsidR="004E13A5">
          <w:footerReference w:type="default" r:id="rId96"/>
          <w:pgSz w:w="12240" w:h="15840"/>
          <w:pgMar w:top="1360" w:right="1360" w:bottom="280" w:left="1340" w:header="0" w:footer="0" w:gutter="0"/>
          <w:cols w:space="720"/>
        </w:sectPr>
      </w:pPr>
    </w:p>
    <w:p w:rsidR="004E13A5" w:rsidRDefault="00681463">
      <w:pPr>
        <w:pStyle w:val="BodyText"/>
        <w:spacing w:before="79"/>
      </w:pPr>
      <w:r>
        <w:lastRenderedPageBreak/>
        <w:t>The Mainstream voucher program, (previously referred to as the Mainstream 5-Year program or the Section 811 voucher program) was originally authorized under the National Affordable Housing Act of 1990. Mainstream vouchers operated separately from the regular HCV program until the passage of the Frank Melville Supportive Housing Investment Act of 2010. Funding for Mainstream voucher renewals and administrative fees was first made available in 2012. In 2017 and 2019, incremental vouchers were made available for the first time since the Melville Act (in addition to renewals and administrative fees), and PHAs were invited to apply for a competitive award of Mainstream vouchers under the FY17 and FY19 NOFAs. In 2020, Notice PIH 2020-22 provided an opportunity for any PHA administering an HCV program to apply for Mainstream vouchers noncompetitively, while Notice PIH 2020-09 authorized an increase in Mainstream voucher units and budget authority for those PHAs already awarded Mainstream vouchers under the FY17 and FY19 NOFAs.</w:t>
      </w:r>
    </w:p>
    <w:p w:rsidR="004E13A5" w:rsidRDefault="00681463">
      <w:pPr>
        <w:pStyle w:val="BodyText"/>
        <w:spacing w:before="125" w:line="242" w:lineRule="auto"/>
        <w:ind w:right="294"/>
        <w:jc w:val="both"/>
      </w:pPr>
      <w:r>
        <w:t>Funds for Mainstream vouchers may be recaptured and reallocated if the PHA does not comply with all program requirements or fails to maintain a utilization rate of 80 percent for the PHA’s Mainstream vouchers.</w:t>
      </w:r>
    </w:p>
    <w:p w:rsidR="00DB75DD" w:rsidRPr="00E12DEE" w:rsidRDefault="00DB75DD" w:rsidP="00DB75DD">
      <w:pPr>
        <w:pStyle w:val="Body"/>
        <w:keepNext w:val="0"/>
        <w:spacing w:before="120" w:after="0"/>
      </w:pPr>
      <w:r w:rsidRPr="001D68B2">
        <w:t>The Consolidated Appropriations Act, 2024 (Public Law 118-42</w:t>
      </w:r>
      <w:r>
        <w:t xml:space="preserve">) </w:t>
      </w:r>
      <w:r w:rsidRPr="001D68B2">
        <w:t xml:space="preserve">authorized HUD to establish waivers and alternative requirements for Mainstream Vouchers related to the administration of waiting lists, local preferences, and the initial term and extensions of tenant-based vouchers.  HUD is not permitted to waive requirements related to tenant rights and protections, rent setting, fair housing, nondiscrimination, labor standards, and the environment. </w:t>
      </w:r>
      <w:r>
        <w:t>Prior to this, Mainstream vouchers follow the same program requirements as standard vouchers.</w:t>
      </w:r>
    </w:p>
    <w:p w:rsidR="00DB75DD" w:rsidRDefault="00DB75DD">
      <w:pPr>
        <w:pStyle w:val="BodyText"/>
        <w:spacing w:before="125" w:line="242" w:lineRule="auto"/>
        <w:ind w:right="294"/>
        <w:jc w:val="both"/>
      </w:pPr>
    </w:p>
    <w:p w:rsidR="004E13A5" w:rsidRDefault="004E13A5">
      <w:pPr>
        <w:pStyle w:val="BodyText"/>
        <w:spacing w:before="7"/>
        <w:ind w:left="0"/>
        <w:rPr>
          <w:sz w:val="20"/>
        </w:rPr>
      </w:pPr>
    </w:p>
    <w:p w:rsidR="004E13A5" w:rsidRDefault="00681463">
      <w:pPr>
        <w:ind w:left="100"/>
        <w:rPr>
          <w:b/>
          <w:sz w:val="23"/>
        </w:rPr>
      </w:pPr>
      <w:r>
        <w:rPr>
          <w:b/>
          <w:sz w:val="23"/>
        </w:rPr>
        <w:t>19-II.B. ELIGIBLE POPULATION [Notice PIH 2020-01 and Notice PIH 2020-22]</w:t>
      </w:r>
    </w:p>
    <w:p w:rsidR="004E13A5" w:rsidRDefault="00681463">
      <w:pPr>
        <w:pStyle w:val="BodyText"/>
      </w:pPr>
      <w:r>
        <w:t>All Mainstream vouchers must be used to serve non-elderly persons with disabilities and their families, defined as any family that includes a person with disabilities who is at least 18 years old and not yet 62 years old as of the effective date of the initial HAP contract. The eligible disabled household member does not need to be the head of household.</w:t>
      </w:r>
    </w:p>
    <w:p w:rsidR="004E13A5" w:rsidRDefault="00681463">
      <w:pPr>
        <w:pStyle w:val="BodyText"/>
        <w:ind w:right="275"/>
      </w:pPr>
      <w:r>
        <w:t>The definition of person with disabilities for purposes of Mainstream vouchers is the statutory definition under section 3(b)(3)(E) of the 1937 Act, which is the same as is used for allowances and deductions in the HCV program and is provided in Exhibit 3-1 of this policy.</w:t>
      </w:r>
    </w:p>
    <w:p w:rsidR="004E13A5" w:rsidRDefault="00681463">
      <w:pPr>
        <w:pStyle w:val="BodyText"/>
        <w:spacing w:before="120"/>
        <w:ind w:right="122"/>
      </w:pPr>
      <w:r>
        <w:t>Existing families receiving Mainstream vouchers, where the eligible family member is now age 62 or older, will not “age out” of the program as long as the family was eligible on the day it was first assisted under a HAP contract.</w:t>
      </w:r>
    </w:p>
    <w:p w:rsidR="004E13A5" w:rsidRDefault="00681463">
      <w:pPr>
        <w:pStyle w:val="BodyText"/>
        <w:spacing w:before="125" w:line="242" w:lineRule="auto"/>
        <w:ind w:right="262"/>
      </w:pPr>
      <w:r>
        <w:t>The PHA may not implement eligibility screening criteria for Mainstream vouchers that is different from that of the regular HCV program.</w:t>
      </w:r>
    </w:p>
    <w:p w:rsidR="00DB75DD" w:rsidRDefault="00DB75DD">
      <w:pPr>
        <w:pStyle w:val="BodyText"/>
        <w:spacing w:before="125" w:line="242" w:lineRule="auto"/>
        <w:ind w:right="262"/>
      </w:pPr>
    </w:p>
    <w:p w:rsidR="004E13A5" w:rsidRDefault="004E13A5">
      <w:pPr>
        <w:pStyle w:val="BodyText"/>
        <w:spacing w:before="7"/>
        <w:ind w:left="0"/>
        <w:rPr>
          <w:sz w:val="20"/>
        </w:rPr>
      </w:pPr>
    </w:p>
    <w:p w:rsidR="004E13A5" w:rsidRDefault="00681463">
      <w:pPr>
        <w:pStyle w:val="Heading4"/>
      </w:pPr>
      <w:r>
        <w:t>19-II.C. PARTNERSHIP AND SUPPORTIVE SERVICES [Notice PIH 2020-01]</w:t>
      </w:r>
    </w:p>
    <w:p w:rsidR="004E13A5" w:rsidRDefault="00681463">
      <w:pPr>
        <w:pStyle w:val="BodyText"/>
        <w:ind w:right="262"/>
      </w:pPr>
      <w:r>
        <w:t>PHAs are encouraged but not required to establish formal and informal partnerships with a variety of organizations that assist persons with disabilities to help ensure eligible participants find and maintain stable housing.</w:t>
      </w:r>
    </w:p>
    <w:p w:rsidR="004E13A5" w:rsidRDefault="00681463">
      <w:pPr>
        <w:pStyle w:val="BodyText"/>
        <w:ind w:left="820"/>
      </w:pPr>
      <w:r>
        <w:rPr>
          <w:u w:val="single"/>
        </w:rPr>
        <w:t>PHA Policy</w:t>
      </w:r>
    </w:p>
    <w:p w:rsidR="004E13A5" w:rsidRDefault="00681463">
      <w:pPr>
        <w:pStyle w:val="BodyText"/>
        <w:spacing w:before="120"/>
        <w:ind w:left="820"/>
      </w:pPr>
      <w:r>
        <w:t>The PHA is not required to have partnerships for the Mainstream program it administers.</w:t>
      </w:r>
    </w:p>
    <w:p w:rsidR="004E13A5" w:rsidRDefault="004E13A5">
      <w:pPr>
        <w:sectPr w:rsidR="004E13A5">
          <w:footerReference w:type="default" r:id="rId97"/>
          <w:pgSz w:w="12240" w:h="15840"/>
          <w:pgMar w:top="1360" w:right="1340" w:bottom="280" w:left="1340" w:header="0" w:footer="0" w:gutter="0"/>
          <w:cols w:space="720"/>
        </w:sectPr>
      </w:pPr>
    </w:p>
    <w:p w:rsidR="004E13A5" w:rsidRDefault="00681463">
      <w:pPr>
        <w:pStyle w:val="Heading4"/>
        <w:spacing w:before="79"/>
      </w:pPr>
      <w:r>
        <w:lastRenderedPageBreak/>
        <w:t>19-II.D. WAITING LIST ADMINISTRATION</w:t>
      </w:r>
    </w:p>
    <w:p w:rsidR="004E13A5" w:rsidRDefault="00681463">
      <w:pPr>
        <w:spacing w:before="124" w:line="242" w:lineRule="auto"/>
        <w:ind w:left="100" w:right="127"/>
        <w:rPr>
          <w:b/>
          <w:sz w:val="24"/>
        </w:rPr>
      </w:pPr>
      <w:r>
        <w:rPr>
          <w:b/>
          <w:sz w:val="24"/>
        </w:rPr>
        <w:t>General Waiting List Requirements [Notice PIH 2020-01 and Mainstream Voucher Basics Webinar, 10/15/20]</w:t>
      </w:r>
    </w:p>
    <w:p w:rsidR="004E13A5" w:rsidRDefault="00681463">
      <w:pPr>
        <w:pStyle w:val="BodyText"/>
        <w:spacing w:before="117"/>
        <w:ind w:right="148"/>
      </w:pPr>
      <w:r>
        <w:t>PHAs must not have a separate waiting list for Mainstream voucher assistance since the PHA is required by the regulations to maintain one waiting list for tenant-based assistance [24 CFR 982.204(f)]. All PHA policies on opening, closing, and updating the waiting list, as well as waiting list preferences in Chapter 4, apply to the Mainstream program.</w:t>
      </w:r>
    </w:p>
    <w:p w:rsidR="004E13A5" w:rsidRDefault="00681463">
      <w:pPr>
        <w:pStyle w:val="BodyText"/>
        <w:spacing w:before="120"/>
        <w:ind w:right="194"/>
      </w:pPr>
      <w:r>
        <w:t>When the PHA is awarded Mainstream vouchers, these vouchers must be used for new admissions to the PHA’s program from the waiting list. The PHA must lease these vouchers by pulling the first Mainstream-eligible family from its tenant-based waiting list. PHAs are not permitted to reassign existing participants to the program in order to make regular tenant-based vouchers available. Further, the PHA may not skip over Mainstream-eligible families on the waiting list because the PHA is serving the required number of Mainstream families.</w:t>
      </w:r>
    </w:p>
    <w:p w:rsidR="004E13A5" w:rsidRDefault="00681463">
      <w:pPr>
        <w:pStyle w:val="BodyText"/>
        <w:spacing w:before="120"/>
        <w:ind w:right="409"/>
      </w:pPr>
      <w:r>
        <w:t>Upon turnover, vouchers must be provided to Mainstream-eligible families. If a Mainstream turnover voucher becomes available, the PHA must determine if the families at the top of the waiting list qualify under program requirements.</w:t>
      </w:r>
    </w:p>
    <w:p w:rsidR="004E13A5" w:rsidRDefault="00681463">
      <w:pPr>
        <w:pStyle w:val="Heading4"/>
        <w:spacing w:before="124" w:line="244" w:lineRule="auto"/>
        <w:ind w:right="95"/>
      </w:pPr>
      <w:r>
        <w:t>Admission Preferences [Notice PIH 2020-01; FY17 Mainstream NOFA; FY19 Mainstream NOFA]</w:t>
      </w:r>
    </w:p>
    <w:p w:rsidR="004E13A5" w:rsidRDefault="00681463">
      <w:pPr>
        <w:pStyle w:val="BodyText"/>
        <w:spacing w:before="114"/>
      </w:pPr>
      <w:r>
        <w:t>If the PHA claimed points for a preference in a NOFA application for Mainstream vouchers, the PHA must adopt a preference for at least one of the targeted groups identified in the NOFA.</w:t>
      </w:r>
    </w:p>
    <w:p w:rsidR="004E13A5" w:rsidRDefault="00681463">
      <w:pPr>
        <w:pStyle w:val="BodyText"/>
        <w:spacing w:before="120"/>
        <w:ind w:left="820"/>
      </w:pPr>
      <w:r>
        <w:rPr>
          <w:u w:val="single"/>
        </w:rPr>
        <w:t>PHA Policy</w:t>
      </w:r>
    </w:p>
    <w:p w:rsidR="004E13A5" w:rsidRDefault="00681463">
      <w:pPr>
        <w:pStyle w:val="BodyText"/>
        <w:spacing w:before="117"/>
        <w:ind w:left="820"/>
      </w:pPr>
      <w:r>
        <w:t>The PHA does not have a preference for a targeted group as part of an application for Mainstream vouchers.</w:t>
      </w:r>
    </w:p>
    <w:p w:rsidR="004E13A5" w:rsidRDefault="004E13A5">
      <w:pPr>
        <w:pStyle w:val="BodyText"/>
        <w:spacing w:before="9"/>
        <w:ind w:left="0"/>
        <w:rPr>
          <w:sz w:val="20"/>
        </w:rPr>
      </w:pPr>
    </w:p>
    <w:p w:rsidR="00D6272E" w:rsidRDefault="00D6272E">
      <w:pPr>
        <w:pStyle w:val="BodyText"/>
        <w:spacing w:before="9"/>
        <w:ind w:left="0"/>
        <w:rPr>
          <w:b/>
          <w:bCs/>
        </w:rPr>
      </w:pPr>
      <w:r>
        <w:rPr>
          <w:b/>
          <w:bCs/>
        </w:rPr>
        <w:t>19-</w:t>
      </w:r>
      <w:r w:rsidRPr="00D6272E">
        <w:t xml:space="preserve"> </w:t>
      </w:r>
      <w:r>
        <w:t xml:space="preserve">II.E. </w:t>
      </w:r>
      <w:r>
        <w:rPr>
          <w:b/>
          <w:bCs/>
        </w:rPr>
        <w:t>VOUCHER ISSUANCE</w:t>
      </w:r>
    </w:p>
    <w:p w:rsidR="00D6272E" w:rsidRDefault="00D6272E">
      <w:pPr>
        <w:pStyle w:val="BodyText"/>
        <w:spacing w:before="9"/>
        <w:ind w:left="0"/>
        <w:rPr>
          <w:b/>
          <w:bCs/>
        </w:rPr>
      </w:pPr>
    </w:p>
    <w:p w:rsidR="00D6272E" w:rsidRDefault="00D6272E" w:rsidP="00D6272E">
      <w:pPr>
        <w:tabs>
          <w:tab w:val="left" w:pos="1800"/>
        </w:tabs>
        <w:adjustRightInd w:val="0"/>
        <w:spacing w:before="120"/>
        <w:rPr>
          <w:b/>
        </w:rPr>
      </w:pPr>
      <w:r>
        <w:rPr>
          <w:b/>
        </w:rPr>
        <w:t>Initial Search Term [Notice PIH 2024-30]</w:t>
      </w:r>
    </w:p>
    <w:p w:rsidR="00D6272E" w:rsidRDefault="00D6272E">
      <w:pPr>
        <w:pStyle w:val="BodyText"/>
        <w:spacing w:before="9"/>
        <w:ind w:left="0"/>
        <w:rPr>
          <w:b/>
          <w:bCs/>
        </w:rPr>
      </w:pPr>
    </w:p>
    <w:p w:rsidR="00D6272E" w:rsidRDefault="00D6272E" w:rsidP="00D6272E">
      <w:pPr>
        <w:pStyle w:val="BodyText"/>
        <w:spacing w:before="120"/>
      </w:pPr>
      <w:r w:rsidRPr="009E23DB">
        <w:t xml:space="preserve">For Mainstream </w:t>
      </w:r>
      <w:r w:rsidRPr="001D68B2">
        <w:t>vouchers</w:t>
      </w:r>
      <w:r w:rsidRPr="009E23DB">
        <w:t>, HUD waived 24 CFR 982.303(a), which requires an initial search term of at least 60 days</w:t>
      </w:r>
      <w:r>
        <w:t xml:space="preserve">, </w:t>
      </w:r>
      <w:r w:rsidRPr="009E23DB">
        <w:t>and establish</w:t>
      </w:r>
      <w:r>
        <w:t xml:space="preserve">ed </w:t>
      </w:r>
      <w:r w:rsidRPr="009E23DB">
        <w:t xml:space="preserve">an alternative requirement that the initial search term for a Mainstream </w:t>
      </w:r>
      <w:r>
        <w:t>v</w:t>
      </w:r>
      <w:r w:rsidRPr="009E23DB">
        <w:t>oucher be at least 120 days. The initial 120-day term also applies when a family chooses to move to a new unit with continued assistance inside or outside the PHA’s jurisdiction</w:t>
      </w:r>
      <w:r>
        <w:t xml:space="preserve">. </w:t>
      </w:r>
      <w:r w:rsidRPr="009E23DB">
        <w:t xml:space="preserve">When issuing a Mainstream </w:t>
      </w:r>
      <w:r>
        <w:t>v</w:t>
      </w:r>
      <w:r w:rsidRPr="009E23DB">
        <w:t xml:space="preserve">oucher, </w:t>
      </w:r>
      <w:r>
        <w:t xml:space="preserve">the </w:t>
      </w:r>
      <w:r w:rsidRPr="009E23DB">
        <w:t>PHA also must provide a current listing of available accessible units known to the PHA and, if necessary, otherwise assist the family in identifying an accessible unit.</w:t>
      </w:r>
    </w:p>
    <w:p w:rsidR="00D6272E" w:rsidRPr="009E23DB" w:rsidRDefault="00D6272E" w:rsidP="00D6272E">
      <w:pPr>
        <w:pStyle w:val="BodyText"/>
        <w:spacing w:before="120"/>
        <w:ind w:left="720"/>
        <w:rPr>
          <w:u w:val="single"/>
        </w:rPr>
      </w:pPr>
      <w:r w:rsidRPr="009E23DB">
        <w:rPr>
          <w:u w:val="single"/>
        </w:rPr>
        <w:t>PHA Policy</w:t>
      </w:r>
    </w:p>
    <w:p w:rsidR="00D6272E" w:rsidRDefault="00D6272E" w:rsidP="00D6272E">
      <w:pPr>
        <w:pStyle w:val="BodyText"/>
        <w:spacing w:before="120"/>
        <w:ind w:left="720"/>
        <w:rPr>
          <w:bCs/>
          <w:iCs/>
        </w:rPr>
      </w:pPr>
      <w:r w:rsidRPr="00694380">
        <w:rPr>
          <w:bCs/>
          <w:iCs/>
        </w:rPr>
        <w:t>The initial voucher term for all Mainstream vouchers, including those issued when a family wishes to exercise portability, will be 120 days.</w:t>
      </w:r>
    </w:p>
    <w:p w:rsidR="00D6272E" w:rsidRDefault="00D6272E">
      <w:pPr>
        <w:pStyle w:val="BodyText"/>
        <w:spacing w:before="9"/>
        <w:ind w:left="0"/>
        <w:rPr>
          <w:b/>
          <w:bCs/>
        </w:rPr>
      </w:pPr>
    </w:p>
    <w:p w:rsidR="00D6272E" w:rsidRPr="009E23DB" w:rsidRDefault="00D6272E" w:rsidP="00D6272E">
      <w:pPr>
        <w:pStyle w:val="BodyText"/>
        <w:spacing w:before="120"/>
      </w:pPr>
      <w:bookmarkStart w:id="448" w:name="_Hlk175230591"/>
      <w:r w:rsidRPr="009E23DB">
        <w:rPr>
          <w:b/>
          <w:iCs/>
        </w:rPr>
        <w:t>Voucher Extension</w:t>
      </w:r>
      <w:r>
        <w:rPr>
          <w:bCs/>
          <w:iCs/>
        </w:rPr>
        <w:t xml:space="preserve"> </w:t>
      </w:r>
      <w:r>
        <w:rPr>
          <w:b/>
        </w:rPr>
        <w:t>[Notice PIH 2024-30]</w:t>
      </w:r>
    </w:p>
    <w:bookmarkEnd w:id="448"/>
    <w:p w:rsidR="00D6272E" w:rsidRDefault="00D6272E" w:rsidP="00D6272E">
      <w:pPr>
        <w:pStyle w:val="BodyText"/>
        <w:spacing w:before="120"/>
      </w:pPr>
      <w:r w:rsidRPr="004D4124">
        <w:t xml:space="preserve">The PHA’s administrative plan must describe </w:t>
      </w:r>
      <w:r>
        <w:t xml:space="preserve">the PHA’s </w:t>
      </w:r>
      <w:r w:rsidRPr="004D4124">
        <w:t xml:space="preserve">policies for granting extensions </w:t>
      </w:r>
      <w:r>
        <w:t xml:space="preserve">to </w:t>
      </w:r>
      <w:r w:rsidRPr="004D4124">
        <w:t xml:space="preserve">the initial 120-day </w:t>
      </w:r>
      <w:r>
        <w:t xml:space="preserve">voucher </w:t>
      </w:r>
      <w:r w:rsidRPr="004D4124">
        <w:t>term and provide clear instructions to families on the procedures for requesting an extension.</w:t>
      </w:r>
      <w:r>
        <w:t xml:space="preserve"> </w:t>
      </w:r>
      <w:r w:rsidRPr="004D4124">
        <w:t xml:space="preserve">If a family requires additional time, </w:t>
      </w:r>
      <w:r>
        <w:t>the PHA is</w:t>
      </w:r>
      <w:r w:rsidRPr="004D4124">
        <w:t xml:space="preserve"> required to provide an extension as a reasonable accommodation</w:t>
      </w:r>
      <w:r>
        <w:t>.</w:t>
      </w:r>
    </w:p>
    <w:p w:rsidR="00D6272E" w:rsidRDefault="00D6272E">
      <w:pPr>
        <w:pStyle w:val="BodyText"/>
        <w:spacing w:before="9"/>
        <w:ind w:left="0"/>
        <w:rPr>
          <w:b/>
          <w:bCs/>
        </w:rPr>
      </w:pPr>
    </w:p>
    <w:p w:rsidR="00D6272E" w:rsidRPr="00E0064B" w:rsidRDefault="00D6272E" w:rsidP="00D6272E">
      <w:pPr>
        <w:pStyle w:val="BodyText"/>
        <w:spacing w:before="120"/>
        <w:ind w:left="720"/>
        <w:rPr>
          <w:u w:val="single"/>
        </w:rPr>
      </w:pPr>
      <w:r w:rsidRPr="00E0064B">
        <w:rPr>
          <w:u w:val="single"/>
        </w:rPr>
        <w:lastRenderedPageBreak/>
        <w:t>PHA Policy</w:t>
      </w:r>
    </w:p>
    <w:p w:rsidR="00D6272E" w:rsidRPr="00E0064B" w:rsidRDefault="00D6272E" w:rsidP="00D6272E">
      <w:pPr>
        <w:pStyle w:val="BodyText"/>
        <w:spacing w:before="120"/>
        <w:ind w:left="720"/>
      </w:pPr>
      <w:bookmarkStart w:id="449" w:name="_Hlk175213089"/>
      <w:r>
        <w:rPr>
          <w:bCs/>
          <w:iCs/>
        </w:rPr>
        <w:t>At least 30 days prior to the expiration of the initial term of the voucher, the PHA will contact the family to remind them of the expiration date of their voucher, the process for requesting an extension, and to inquire if the family needs assistance with their housing search. Depending on the family’s preferred method of communication, the PHA may contact the family via telephone, text message, email, or other accessible communication method.</w:t>
      </w:r>
      <w:r w:rsidRPr="00211C36">
        <w:t xml:space="preserve"> </w:t>
      </w:r>
      <w:r>
        <w:t>The PHA</w:t>
      </w:r>
      <w:r w:rsidRPr="004D4124">
        <w:t xml:space="preserve"> </w:t>
      </w:r>
      <w:r>
        <w:t>will</w:t>
      </w:r>
      <w:r w:rsidRPr="004D4124">
        <w:t xml:space="preserve"> ensure effective communication with persons with disabilities, including those with vision, hearing, speech, intellectual or other developmental disabilities, or any other communication-related disabilities.</w:t>
      </w:r>
    </w:p>
    <w:p w:rsidR="00D6272E" w:rsidRDefault="00D6272E" w:rsidP="00D6272E">
      <w:pPr>
        <w:pStyle w:val="BodyText"/>
        <w:spacing w:before="120"/>
        <w:ind w:left="720"/>
        <w:rPr>
          <w:bCs/>
          <w:iCs/>
        </w:rPr>
      </w:pPr>
      <w:r>
        <w:rPr>
          <w:bCs/>
          <w:iCs/>
        </w:rPr>
        <w:t>Families may request an extension, either orally or in writing, at any time prior to the expiration of the family’s voucher. All requests for extensions will automatically be granted without the requirement for the family to provide documentation. The initial extension period will be for 90 days. If the family requires additional extensions beyond 90 days, the family may request additional extensions, either orally or in writing, at any time prior to the expiration of the extended voucher term. All subsequent extensions will also be for a period of 90 days and will not require the family to meet certain circumstances or provide documentation. Each time the family requests an extension, the PHA will inquire if the family needs assistance with their housing search and will provide a current listing of available accessible units known to the PHA.</w:t>
      </w:r>
    </w:p>
    <w:bookmarkEnd w:id="449"/>
    <w:p w:rsidR="00D6272E" w:rsidRDefault="00D6272E">
      <w:pPr>
        <w:pStyle w:val="BodyText"/>
        <w:spacing w:before="9"/>
        <w:ind w:left="0"/>
        <w:rPr>
          <w:b/>
          <w:bCs/>
        </w:rPr>
      </w:pPr>
    </w:p>
    <w:p w:rsidR="00D6272E" w:rsidRDefault="00D6272E">
      <w:pPr>
        <w:pStyle w:val="BodyText"/>
        <w:spacing w:before="9"/>
        <w:ind w:left="0"/>
        <w:rPr>
          <w:sz w:val="20"/>
        </w:rPr>
      </w:pPr>
    </w:p>
    <w:p w:rsidR="00D6272E" w:rsidRDefault="00D6272E">
      <w:pPr>
        <w:pStyle w:val="BodyText"/>
        <w:spacing w:before="9"/>
        <w:ind w:left="0"/>
        <w:rPr>
          <w:sz w:val="20"/>
        </w:rPr>
      </w:pPr>
    </w:p>
    <w:p w:rsidR="004E13A5" w:rsidRDefault="00681463">
      <w:pPr>
        <w:pStyle w:val="Heading4"/>
        <w:ind w:right="246"/>
      </w:pPr>
      <w:r>
        <w:t>19-II.</w:t>
      </w:r>
      <w:r w:rsidR="00D6272E">
        <w:t>F</w:t>
      </w:r>
      <w:r>
        <w:t>. PORTABILITY [Notice PIH 2020-01 and Mainstream Voucher Basics Webinar, 10/15/20]</w:t>
      </w:r>
    </w:p>
    <w:p w:rsidR="004E13A5" w:rsidRDefault="00681463">
      <w:pPr>
        <w:pStyle w:val="BodyText"/>
      </w:pPr>
      <w:r>
        <w:t>Mainstream voucher participants are eligible for portability under standard portability rules and all PHA policies regarding portability in Chapter 10, Part II apply to Mainstream families.</w:t>
      </w:r>
    </w:p>
    <w:p w:rsidR="004E13A5" w:rsidRDefault="00681463">
      <w:pPr>
        <w:pStyle w:val="BodyText"/>
      </w:pPr>
      <w:r>
        <w:t>The following special considerations for Mainstream vouchers apply under portability:</w:t>
      </w:r>
    </w:p>
    <w:p w:rsidR="004E13A5" w:rsidRDefault="00681463">
      <w:pPr>
        <w:pStyle w:val="ListParagraph"/>
        <w:numPr>
          <w:ilvl w:val="0"/>
          <w:numId w:val="93"/>
        </w:numPr>
        <w:tabs>
          <w:tab w:val="left" w:pos="460"/>
          <w:tab w:val="left" w:pos="461"/>
        </w:tabs>
        <w:ind w:right="619"/>
        <w:rPr>
          <w:rFonts w:ascii="Symbol"/>
          <w:sz w:val="24"/>
        </w:rPr>
      </w:pPr>
      <w:r>
        <w:rPr>
          <w:sz w:val="24"/>
        </w:rPr>
        <w:t>If the receiving PHA has a Mainstream voucher available, the participant may remain</w:t>
      </w:r>
      <w:r>
        <w:rPr>
          <w:spacing w:val="-18"/>
          <w:sz w:val="24"/>
        </w:rPr>
        <w:t xml:space="preserve"> </w:t>
      </w:r>
      <w:r>
        <w:rPr>
          <w:sz w:val="24"/>
        </w:rPr>
        <w:t>a Mainstream</w:t>
      </w:r>
      <w:r>
        <w:rPr>
          <w:spacing w:val="-6"/>
          <w:sz w:val="24"/>
        </w:rPr>
        <w:t xml:space="preserve"> </w:t>
      </w:r>
      <w:r>
        <w:rPr>
          <w:sz w:val="24"/>
        </w:rPr>
        <w:t>participant.</w:t>
      </w:r>
    </w:p>
    <w:p w:rsidR="004E13A5" w:rsidRDefault="00681463">
      <w:pPr>
        <w:pStyle w:val="ListParagraph"/>
        <w:numPr>
          <w:ilvl w:val="1"/>
          <w:numId w:val="93"/>
        </w:numPr>
        <w:tabs>
          <w:tab w:val="left" w:pos="820"/>
          <w:tab w:val="left" w:pos="821"/>
        </w:tabs>
        <w:ind w:right="631"/>
        <w:rPr>
          <w:sz w:val="24"/>
        </w:rPr>
      </w:pPr>
      <w:r>
        <w:rPr>
          <w:sz w:val="24"/>
        </w:rPr>
        <w:t>If the receiving PHA chooses to bill the initial PHA, then the voucher will remain</w:t>
      </w:r>
      <w:r>
        <w:rPr>
          <w:spacing w:val="-19"/>
          <w:sz w:val="24"/>
        </w:rPr>
        <w:t xml:space="preserve"> </w:t>
      </w:r>
      <w:r>
        <w:rPr>
          <w:sz w:val="24"/>
        </w:rPr>
        <w:t>a Mainstream</w:t>
      </w:r>
      <w:r>
        <w:rPr>
          <w:spacing w:val="-4"/>
          <w:sz w:val="24"/>
        </w:rPr>
        <w:t xml:space="preserve"> </w:t>
      </w:r>
      <w:r>
        <w:rPr>
          <w:sz w:val="24"/>
        </w:rPr>
        <w:t>voucher.</w:t>
      </w:r>
    </w:p>
    <w:p w:rsidR="004E13A5" w:rsidRDefault="00681463">
      <w:pPr>
        <w:pStyle w:val="ListParagraph"/>
        <w:numPr>
          <w:ilvl w:val="1"/>
          <w:numId w:val="93"/>
        </w:numPr>
        <w:tabs>
          <w:tab w:val="left" w:pos="820"/>
          <w:tab w:val="left" w:pos="821"/>
        </w:tabs>
        <w:ind w:right="452"/>
        <w:rPr>
          <w:sz w:val="24"/>
        </w:rPr>
      </w:pPr>
      <w:r>
        <w:rPr>
          <w:sz w:val="24"/>
        </w:rPr>
        <w:t>If the receiving PHA chooses to absorb the voucher, the voucher will be considered</w:t>
      </w:r>
      <w:r>
        <w:rPr>
          <w:spacing w:val="-17"/>
          <w:sz w:val="24"/>
        </w:rPr>
        <w:t xml:space="preserve"> </w:t>
      </w:r>
      <w:r>
        <w:rPr>
          <w:sz w:val="24"/>
        </w:rPr>
        <w:t>a regular voucher, or a Mainstream voucher if the receiving PHA has a Mainstream voucher available, and the Mainstream voucher at the initial PHA will be freed up to lease to another Mainstream-eligible</w:t>
      </w:r>
      <w:r>
        <w:rPr>
          <w:spacing w:val="-13"/>
          <w:sz w:val="24"/>
        </w:rPr>
        <w:t xml:space="preserve"> </w:t>
      </w:r>
      <w:r>
        <w:rPr>
          <w:sz w:val="24"/>
        </w:rPr>
        <w:t>family.</w:t>
      </w:r>
    </w:p>
    <w:p w:rsidR="004E13A5" w:rsidRDefault="00681463">
      <w:pPr>
        <w:pStyle w:val="ListParagraph"/>
        <w:numPr>
          <w:ilvl w:val="0"/>
          <w:numId w:val="93"/>
        </w:numPr>
        <w:tabs>
          <w:tab w:val="left" w:pos="460"/>
          <w:tab w:val="left" w:pos="461"/>
        </w:tabs>
        <w:ind w:right="507"/>
        <w:rPr>
          <w:rFonts w:ascii="Symbol"/>
          <w:sz w:val="24"/>
        </w:rPr>
      </w:pPr>
      <w:r>
        <w:rPr>
          <w:sz w:val="24"/>
        </w:rPr>
        <w:t>If the receiving PHA does not have a Mainstream voucher available, the participant may receive a regular</w:t>
      </w:r>
      <w:r>
        <w:rPr>
          <w:spacing w:val="-7"/>
          <w:sz w:val="24"/>
        </w:rPr>
        <w:t xml:space="preserve"> </w:t>
      </w:r>
      <w:r>
        <w:rPr>
          <w:sz w:val="24"/>
        </w:rPr>
        <w:t>voucher.</w:t>
      </w:r>
    </w:p>
    <w:p w:rsidR="004E13A5" w:rsidRDefault="004E13A5">
      <w:pPr>
        <w:rPr>
          <w:rFonts w:ascii="Symbol"/>
          <w:sz w:val="24"/>
        </w:rPr>
        <w:sectPr w:rsidR="004E13A5">
          <w:footerReference w:type="default" r:id="rId98"/>
          <w:pgSz w:w="12240" w:h="15840"/>
          <w:pgMar w:top="1360" w:right="1440" w:bottom="280" w:left="1340" w:header="0" w:footer="0" w:gutter="0"/>
          <w:cols w:space="720"/>
        </w:sectPr>
      </w:pPr>
    </w:p>
    <w:p w:rsidR="004E13A5" w:rsidRDefault="004E13A5">
      <w:pPr>
        <w:pStyle w:val="BodyText"/>
        <w:spacing w:before="0"/>
        <w:ind w:left="0"/>
        <w:rPr>
          <w:sz w:val="20"/>
        </w:rPr>
      </w:pPr>
    </w:p>
    <w:p w:rsidR="004E13A5" w:rsidRDefault="00681463">
      <w:pPr>
        <w:pStyle w:val="Heading4"/>
        <w:spacing w:before="225"/>
        <w:ind w:right="262"/>
      </w:pPr>
      <w:r>
        <w:t>19-II.F. PROJECT-BASING MAINSTREAM VOUCHERS [FY19 Mainstream Voucher NOFA Q&amp;A]</w:t>
      </w:r>
    </w:p>
    <w:p w:rsidR="004E13A5" w:rsidRDefault="00681463">
      <w:pPr>
        <w:pStyle w:val="BodyText"/>
        <w:ind w:right="110"/>
      </w:pPr>
      <w:r>
        <w:t>The PHA may project-base Mainstream vouchers in accordance with all applicable PBV regulations and PHA policies in Chapter 17. PHAs are responsible for ensuring that, in addition to complying with project-based voucher program requirements, the project complies with all applicable federal nondiscrimination and civil rights statutes and requirements. This includes,</w:t>
      </w:r>
      <w:r>
        <w:rPr>
          <w:spacing w:val="-17"/>
        </w:rPr>
        <w:t xml:space="preserve"> </w:t>
      </w:r>
      <w:r>
        <w:t>but is not limited to, Section 504 of the Rehabilitation Act (Section 504), Titles II or III of the Americans with Disabilities (ADA), and the Fair Housing Act and their implementing regulations at 24 CFR Part 8; 28 CFR Parts 35 and 36; and 24 CFR Part 100. Mainstream vouchers are subject to the PBV program percentage limitation discussed in Section</w:t>
      </w:r>
      <w:r>
        <w:rPr>
          <w:spacing w:val="-16"/>
        </w:rPr>
        <w:t xml:space="preserve"> </w:t>
      </w:r>
      <w:r>
        <w:t>17-I.A.</w:t>
      </w:r>
    </w:p>
    <w:p w:rsidR="004E13A5" w:rsidRDefault="004E13A5">
      <w:pPr>
        <w:sectPr w:rsidR="004E13A5">
          <w:footerReference w:type="default" r:id="rId99"/>
          <w:pgSz w:w="12240" w:h="15840"/>
          <w:pgMar w:top="1500" w:right="1340" w:bottom="280" w:left="1340" w:header="0" w:footer="0" w:gutter="0"/>
          <w:cols w:space="720"/>
        </w:sectPr>
      </w:pPr>
    </w:p>
    <w:p w:rsidR="004E13A5" w:rsidRDefault="00681463">
      <w:pPr>
        <w:spacing w:before="179"/>
        <w:ind w:left="1541" w:right="1505"/>
        <w:jc w:val="center"/>
        <w:rPr>
          <w:b/>
          <w:i/>
          <w:sz w:val="32"/>
        </w:rPr>
      </w:pPr>
      <w:r>
        <w:rPr>
          <w:b/>
          <w:i/>
          <w:sz w:val="32"/>
        </w:rPr>
        <w:lastRenderedPageBreak/>
        <w:t>GLOSSARY</w:t>
      </w:r>
    </w:p>
    <w:p w:rsidR="004E13A5" w:rsidRDefault="003263D1">
      <w:pPr>
        <w:pStyle w:val="ListParagraph"/>
        <w:numPr>
          <w:ilvl w:val="0"/>
          <w:numId w:val="4"/>
        </w:numPr>
        <w:tabs>
          <w:tab w:val="left" w:pos="840"/>
          <w:tab w:val="left" w:pos="841"/>
          <w:tab w:val="left" w:pos="1560"/>
        </w:tabs>
        <w:spacing w:before="125" w:line="390" w:lineRule="atLeast"/>
        <w:ind w:right="116" w:firstLine="0"/>
        <w:rPr>
          <w:sz w:val="24"/>
        </w:rPr>
      </w:pPr>
      <w:r>
        <w:rPr>
          <w:noProof/>
        </w:rPr>
        <mc:AlternateContent>
          <mc:Choice Requires="wps">
            <w:drawing>
              <wp:anchor distT="0" distB="0" distL="114300" distR="114300" simplePos="0" relativeHeight="503040152" behindDoc="1" locked="0" layoutInCell="1" allowOverlap="1">
                <wp:simplePos x="0" y="0"/>
                <wp:positionH relativeFrom="page">
                  <wp:posOffset>914400</wp:posOffset>
                </wp:positionH>
                <wp:positionV relativeFrom="paragraph">
                  <wp:posOffset>318135</wp:posOffset>
                </wp:positionV>
                <wp:extent cx="5920105" cy="0"/>
                <wp:effectExtent l="9525" t="13335" r="13970" b="1524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9BC5D" id="Line 2" o:spid="_x0000_s1026" style="position:absolute;z-index:-276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05pt" to="538.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VEE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" strokeweight="1.2pt">
                <w10:wrap anchorx="page"/>
              </v:line>
            </w:pict>
          </mc:Fallback>
        </mc:AlternateContent>
      </w:r>
      <w:r w:rsidR="00681463">
        <w:rPr>
          <w:b/>
          <w:sz w:val="24"/>
        </w:rPr>
        <w:t>ACRONYMS USED IN THE HOUSING CHOICE VOUCHER (HCV) PROGRAM AAF</w:t>
      </w:r>
      <w:r w:rsidR="00681463">
        <w:rPr>
          <w:b/>
          <w:sz w:val="24"/>
        </w:rPr>
        <w:tab/>
      </w:r>
      <w:r w:rsidR="00681463">
        <w:rPr>
          <w:b/>
          <w:sz w:val="24"/>
        </w:rPr>
        <w:tab/>
      </w:r>
      <w:r w:rsidR="00681463">
        <w:rPr>
          <w:sz w:val="24"/>
        </w:rPr>
        <w:t xml:space="preserve">Annual adjustment factor (published by HUD in the </w:t>
      </w:r>
      <w:r w:rsidR="00681463">
        <w:rPr>
          <w:i/>
          <w:sz w:val="24"/>
        </w:rPr>
        <w:t xml:space="preserve">Federal Register </w:t>
      </w:r>
      <w:r w:rsidR="00681463">
        <w:rPr>
          <w:sz w:val="24"/>
        </w:rPr>
        <w:t>and used</w:t>
      </w:r>
      <w:r w:rsidR="00681463">
        <w:rPr>
          <w:spacing w:val="-10"/>
          <w:sz w:val="24"/>
        </w:rPr>
        <w:t xml:space="preserve"> </w:t>
      </w:r>
      <w:r w:rsidR="00681463">
        <w:rPr>
          <w:sz w:val="24"/>
        </w:rPr>
        <w:t>to</w:t>
      </w:r>
    </w:p>
    <w:p w:rsidR="004E13A5" w:rsidRDefault="00681463">
      <w:pPr>
        <w:pStyle w:val="BodyText"/>
        <w:spacing w:before="0"/>
        <w:ind w:left="559" w:right="3750"/>
        <w:jc w:val="center"/>
      </w:pPr>
      <w:r>
        <w:t>compute annual rent adjustments)</w:t>
      </w:r>
    </w:p>
    <w:p w:rsidR="004E13A5" w:rsidRDefault="00681463">
      <w:pPr>
        <w:pStyle w:val="BodyText"/>
        <w:tabs>
          <w:tab w:val="left" w:pos="1560"/>
        </w:tabs>
        <w:spacing w:before="120"/>
        <w:ind w:left="120"/>
      </w:pPr>
      <w:r>
        <w:rPr>
          <w:b/>
        </w:rPr>
        <w:t>ACC</w:t>
      </w:r>
      <w:r>
        <w:rPr>
          <w:b/>
        </w:rPr>
        <w:tab/>
      </w:r>
      <w:r>
        <w:t>Annual contributions</w:t>
      </w:r>
      <w:r>
        <w:rPr>
          <w:spacing w:val="-4"/>
        </w:rPr>
        <w:t xml:space="preserve"> </w:t>
      </w:r>
      <w:r>
        <w:t>contract</w:t>
      </w:r>
    </w:p>
    <w:p w:rsidR="004E13A5" w:rsidRDefault="00681463">
      <w:pPr>
        <w:pStyle w:val="BodyText"/>
        <w:tabs>
          <w:tab w:val="left" w:pos="1560"/>
        </w:tabs>
        <w:spacing w:line="343" w:lineRule="auto"/>
        <w:ind w:left="120" w:right="4114"/>
      </w:pPr>
      <w:r>
        <w:rPr>
          <w:b/>
        </w:rPr>
        <w:t>ADA</w:t>
      </w:r>
      <w:r>
        <w:rPr>
          <w:b/>
        </w:rPr>
        <w:tab/>
      </w:r>
      <w:r>
        <w:t>Americans with Disabilities Act</w:t>
      </w:r>
      <w:r>
        <w:rPr>
          <w:spacing w:val="-6"/>
        </w:rPr>
        <w:t xml:space="preserve"> </w:t>
      </w:r>
      <w:r>
        <w:t>of</w:t>
      </w:r>
      <w:r>
        <w:rPr>
          <w:spacing w:val="-2"/>
        </w:rPr>
        <w:t xml:space="preserve"> </w:t>
      </w:r>
      <w:r>
        <w:t xml:space="preserve">1990 </w:t>
      </w:r>
      <w:r>
        <w:rPr>
          <w:b/>
        </w:rPr>
        <w:t>AIDS</w:t>
      </w:r>
      <w:r>
        <w:rPr>
          <w:b/>
        </w:rPr>
        <w:tab/>
      </w:r>
      <w:r>
        <w:t>Acquired immune</w:t>
      </w:r>
      <w:r>
        <w:rPr>
          <w:spacing w:val="-2"/>
        </w:rPr>
        <w:t xml:space="preserve"> </w:t>
      </w:r>
      <w:r>
        <w:t>deficiency</w:t>
      </w:r>
      <w:r>
        <w:rPr>
          <w:spacing w:val="-6"/>
        </w:rPr>
        <w:t xml:space="preserve"> </w:t>
      </w:r>
      <w:r>
        <w:t xml:space="preserve">syndrome </w:t>
      </w:r>
      <w:r>
        <w:rPr>
          <w:b/>
        </w:rPr>
        <w:t>BR</w:t>
      </w:r>
      <w:r>
        <w:rPr>
          <w:b/>
        </w:rPr>
        <w:tab/>
      </w:r>
      <w:r>
        <w:t>Bedroom</w:t>
      </w:r>
    </w:p>
    <w:p w:rsidR="004E13A5" w:rsidRDefault="00681463">
      <w:pPr>
        <w:pStyle w:val="BodyText"/>
        <w:tabs>
          <w:tab w:val="left" w:pos="1560"/>
        </w:tabs>
        <w:spacing w:before="5"/>
        <w:ind w:left="120"/>
      </w:pPr>
      <w:r>
        <w:rPr>
          <w:b/>
        </w:rPr>
        <w:t>CDBG</w:t>
      </w:r>
      <w:r>
        <w:rPr>
          <w:b/>
        </w:rPr>
        <w:tab/>
      </w:r>
      <w:r>
        <w:t>Community Development Block Grant</w:t>
      </w:r>
      <w:r>
        <w:rPr>
          <w:spacing w:val="-14"/>
        </w:rPr>
        <w:t xml:space="preserve"> </w:t>
      </w:r>
      <w:r>
        <w:t>(Program)</w:t>
      </w:r>
    </w:p>
    <w:p w:rsidR="004E13A5" w:rsidRDefault="00681463">
      <w:pPr>
        <w:pStyle w:val="BodyText"/>
        <w:tabs>
          <w:tab w:val="left" w:pos="1560"/>
        </w:tabs>
        <w:ind w:left="1560" w:right="350" w:hanging="1440"/>
      </w:pPr>
      <w:r>
        <w:rPr>
          <w:b/>
        </w:rPr>
        <w:t>CFR</w:t>
      </w:r>
      <w:r>
        <w:rPr>
          <w:b/>
        </w:rPr>
        <w:tab/>
      </w:r>
      <w:r>
        <w:t>Code of Federal Regulations (published federal rules that define</w:t>
      </w:r>
      <w:r>
        <w:rPr>
          <w:spacing w:val="-13"/>
        </w:rPr>
        <w:t xml:space="preserve"> </w:t>
      </w:r>
      <w:r>
        <w:t>and</w:t>
      </w:r>
      <w:r>
        <w:rPr>
          <w:spacing w:val="-2"/>
        </w:rPr>
        <w:t xml:space="preserve"> </w:t>
      </w:r>
      <w:r>
        <w:t>implement laws; commonly referred to as “the</w:t>
      </w:r>
      <w:r>
        <w:rPr>
          <w:spacing w:val="-11"/>
        </w:rPr>
        <w:t xml:space="preserve"> </w:t>
      </w:r>
      <w:r>
        <w:t>regulations”)</w:t>
      </w:r>
    </w:p>
    <w:p w:rsidR="004E13A5" w:rsidRDefault="00681463">
      <w:pPr>
        <w:pStyle w:val="BodyText"/>
        <w:tabs>
          <w:tab w:val="left" w:pos="1560"/>
        </w:tabs>
        <w:ind w:left="1560" w:right="660" w:hanging="1440"/>
      </w:pPr>
      <w:r>
        <w:rPr>
          <w:b/>
        </w:rPr>
        <w:t>CPI</w:t>
      </w:r>
      <w:r>
        <w:rPr>
          <w:b/>
        </w:rPr>
        <w:tab/>
      </w:r>
      <w:r>
        <w:t>Consumer price index (published monthly by the Department of Labor</w:t>
      </w:r>
      <w:r>
        <w:rPr>
          <w:spacing w:val="-13"/>
        </w:rPr>
        <w:t xml:space="preserve"> </w:t>
      </w:r>
      <w:r>
        <w:t>as</w:t>
      </w:r>
      <w:r>
        <w:rPr>
          <w:spacing w:val="-1"/>
        </w:rPr>
        <w:t xml:space="preserve"> </w:t>
      </w:r>
      <w:r>
        <w:t>an inflation</w:t>
      </w:r>
      <w:r>
        <w:rPr>
          <w:spacing w:val="-3"/>
        </w:rPr>
        <w:t xml:space="preserve"> </w:t>
      </w:r>
      <w:r>
        <w:t>indicator)</w:t>
      </w:r>
    </w:p>
    <w:p w:rsidR="004E13A5" w:rsidRDefault="00681463">
      <w:pPr>
        <w:pStyle w:val="BodyText"/>
        <w:tabs>
          <w:tab w:val="left" w:pos="1560"/>
        </w:tabs>
        <w:ind w:left="120"/>
      </w:pPr>
      <w:r>
        <w:rPr>
          <w:b/>
        </w:rPr>
        <w:t>EID</w:t>
      </w:r>
      <w:r>
        <w:rPr>
          <w:b/>
        </w:rPr>
        <w:tab/>
      </w:r>
      <w:r>
        <w:t>Earned income</w:t>
      </w:r>
      <w:r>
        <w:rPr>
          <w:spacing w:val="-5"/>
        </w:rPr>
        <w:t xml:space="preserve"> </w:t>
      </w:r>
      <w:r>
        <w:t>disallowance</w:t>
      </w:r>
    </w:p>
    <w:p w:rsidR="004E13A5" w:rsidRDefault="00681463">
      <w:pPr>
        <w:pStyle w:val="BodyText"/>
        <w:tabs>
          <w:tab w:val="left" w:pos="1560"/>
        </w:tabs>
        <w:ind w:left="120"/>
      </w:pPr>
      <w:r>
        <w:rPr>
          <w:b/>
        </w:rPr>
        <w:t>EIV</w:t>
      </w:r>
      <w:r>
        <w:rPr>
          <w:b/>
        </w:rPr>
        <w:tab/>
      </w:r>
      <w:r>
        <w:t>Enterprise Income</w:t>
      </w:r>
      <w:r>
        <w:rPr>
          <w:spacing w:val="-7"/>
        </w:rPr>
        <w:t xml:space="preserve"> </w:t>
      </w:r>
      <w:r>
        <w:t>Verification</w:t>
      </w:r>
    </w:p>
    <w:p w:rsidR="004E13A5" w:rsidRDefault="00681463">
      <w:pPr>
        <w:pStyle w:val="BodyText"/>
        <w:tabs>
          <w:tab w:val="left" w:pos="1560"/>
        </w:tabs>
        <w:ind w:left="120"/>
      </w:pPr>
      <w:r>
        <w:rPr>
          <w:b/>
        </w:rPr>
        <w:t>FDIC</w:t>
      </w:r>
      <w:r>
        <w:rPr>
          <w:b/>
        </w:rPr>
        <w:tab/>
      </w:r>
      <w:r>
        <w:t>Federal Deposit Insurance</w:t>
      </w:r>
      <w:r>
        <w:rPr>
          <w:spacing w:val="-11"/>
        </w:rPr>
        <w:t xml:space="preserve"> </w:t>
      </w:r>
      <w:r>
        <w:t>Corporation</w:t>
      </w:r>
    </w:p>
    <w:p w:rsidR="004E13A5" w:rsidRDefault="00681463">
      <w:pPr>
        <w:pStyle w:val="BodyText"/>
        <w:tabs>
          <w:tab w:val="left" w:pos="1560"/>
        </w:tabs>
        <w:ind w:left="120"/>
      </w:pPr>
      <w:r>
        <w:rPr>
          <w:b/>
        </w:rPr>
        <w:t>FHA</w:t>
      </w:r>
      <w:r>
        <w:rPr>
          <w:b/>
        </w:rPr>
        <w:tab/>
      </w:r>
      <w:r>
        <w:t>Federal Housing Administration (HUD Office of</w:t>
      </w:r>
      <w:r>
        <w:rPr>
          <w:spacing w:val="-13"/>
        </w:rPr>
        <w:t xml:space="preserve"> </w:t>
      </w:r>
      <w:r>
        <w:t>Housing)</w:t>
      </w:r>
    </w:p>
    <w:p w:rsidR="004E13A5" w:rsidRDefault="00681463">
      <w:pPr>
        <w:pStyle w:val="BodyText"/>
        <w:tabs>
          <w:tab w:val="left" w:pos="1560"/>
        </w:tabs>
        <w:ind w:left="120"/>
      </w:pPr>
      <w:r>
        <w:rPr>
          <w:b/>
        </w:rPr>
        <w:t>FHEO</w:t>
      </w:r>
      <w:r>
        <w:rPr>
          <w:b/>
        </w:rPr>
        <w:tab/>
      </w:r>
      <w:r>
        <w:t>Fair Housing and Equal Opportunity (HUD Office</w:t>
      </w:r>
      <w:r>
        <w:rPr>
          <w:spacing w:val="-9"/>
        </w:rPr>
        <w:t xml:space="preserve"> </w:t>
      </w:r>
      <w:r>
        <w:t>of)</w:t>
      </w:r>
    </w:p>
    <w:p w:rsidR="004E13A5" w:rsidRDefault="00681463">
      <w:pPr>
        <w:pStyle w:val="BodyText"/>
        <w:tabs>
          <w:tab w:val="left" w:pos="1560"/>
        </w:tabs>
        <w:spacing w:before="120"/>
        <w:ind w:left="120"/>
      </w:pPr>
      <w:r>
        <w:rPr>
          <w:b/>
        </w:rPr>
        <w:t>FICA</w:t>
      </w:r>
      <w:r>
        <w:rPr>
          <w:b/>
        </w:rPr>
        <w:tab/>
      </w:r>
      <w:r>
        <w:t>Federal Insurance Contributions Act (established Social Security</w:t>
      </w:r>
      <w:r>
        <w:rPr>
          <w:spacing w:val="-16"/>
        </w:rPr>
        <w:t xml:space="preserve"> </w:t>
      </w:r>
      <w:r>
        <w:t>taxes)</w:t>
      </w:r>
    </w:p>
    <w:p w:rsidR="004E13A5" w:rsidRDefault="00681463">
      <w:pPr>
        <w:pStyle w:val="BodyText"/>
        <w:tabs>
          <w:tab w:val="left" w:pos="1560"/>
        </w:tabs>
        <w:spacing w:before="120"/>
        <w:ind w:left="120"/>
      </w:pPr>
      <w:r>
        <w:rPr>
          <w:b/>
        </w:rPr>
        <w:t>FMR</w:t>
      </w:r>
      <w:r>
        <w:rPr>
          <w:b/>
        </w:rPr>
        <w:tab/>
      </w:r>
      <w:r>
        <w:t>Fair market</w:t>
      </w:r>
      <w:r>
        <w:rPr>
          <w:spacing w:val="-6"/>
        </w:rPr>
        <w:t xml:space="preserve"> </w:t>
      </w:r>
      <w:r>
        <w:t>rent</w:t>
      </w:r>
    </w:p>
    <w:p w:rsidR="004E13A5" w:rsidRDefault="00681463">
      <w:pPr>
        <w:pStyle w:val="BodyText"/>
        <w:tabs>
          <w:tab w:val="left" w:pos="1560"/>
        </w:tabs>
        <w:spacing w:before="120"/>
        <w:ind w:left="120"/>
      </w:pPr>
      <w:r>
        <w:rPr>
          <w:b/>
        </w:rPr>
        <w:t>FR</w:t>
      </w:r>
      <w:r>
        <w:rPr>
          <w:b/>
        </w:rPr>
        <w:tab/>
      </w:r>
      <w:r>
        <w:t>Federal</w:t>
      </w:r>
      <w:r>
        <w:rPr>
          <w:spacing w:val="-7"/>
        </w:rPr>
        <w:t xml:space="preserve"> </w:t>
      </w:r>
      <w:r>
        <w:t>Register</w:t>
      </w:r>
    </w:p>
    <w:p w:rsidR="004E13A5" w:rsidRDefault="00681463">
      <w:pPr>
        <w:pStyle w:val="BodyText"/>
        <w:tabs>
          <w:tab w:val="left" w:pos="1560"/>
        </w:tabs>
        <w:spacing w:before="120"/>
        <w:ind w:left="120"/>
      </w:pPr>
      <w:r>
        <w:rPr>
          <w:b/>
        </w:rPr>
        <w:t>FSS</w:t>
      </w:r>
      <w:r>
        <w:rPr>
          <w:b/>
        </w:rPr>
        <w:tab/>
      </w:r>
      <w:r>
        <w:t>Family Self-Sufficiency</w:t>
      </w:r>
      <w:r>
        <w:rPr>
          <w:spacing w:val="-12"/>
        </w:rPr>
        <w:t xml:space="preserve"> </w:t>
      </w:r>
      <w:r>
        <w:t>(Program)</w:t>
      </w:r>
    </w:p>
    <w:p w:rsidR="004E13A5" w:rsidRDefault="00681463">
      <w:pPr>
        <w:tabs>
          <w:tab w:val="left" w:pos="1560"/>
        </w:tabs>
        <w:spacing w:before="120"/>
        <w:ind w:left="120"/>
        <w:rPr>
          <w:sz w:val="24"/>
        </w:rPr>
      </w:pPr>
      <w:r>
        <w:rPr>
          <w:b/>
          <w:sz w:val="24"/>
        </w:rPr>
        <w:t>FY</w:t>
      </w:r>
      <w:r>
        <w:rPr>
          <w:b/>
          <w:sz w:val="24"/>
        </w:rPr>
        <w:tab/>
      </w:r>
      <w:r>
        <w:rPr>
          <w:sz w:val="24"/>
        </w:rPr>
        <w:t>Fiscal</w:t>
      </w:r>
      <w:r>
        <w:rPr>
          <w:spacing w:val="-5"/>
          <w:sz w:val="24"/>
        </w:rPr>
        <w:t xml:space="preserve"> </w:t>
      </w:r>
      <w:r>
        <w:rPr>
          <w:sz w:val="24"/>
        </w:rPr>
        <w:t>year</w:t>
      </w:r>
    </w:p>
    <w:p w:rsidR="004E13A5" w:rsidRDefault="00681463">
      <w:pPr>
        <w:tabs>
          <w:tab w:val="left" w:pos="1560"/>
        </w:tabs>
        <w:spacing w:before="120"/>
        <w:ind w:left="120"/>
        <w:rPr>
          <w:sz w:val="24"/>
        </w:rPr>
      </w:pPr>
      <w:r>
        <w:rPr>
          <w:b/>
          <w:sz w:val="24"/>
        </w:rPr>
        <w:t>FYE</w:t>
      </w:r>
      <w:r>
        <w:rPr>
          <w:b/>
          <w:sz w:val="24"/>
        </w:rPr>
        <w:tab/>
      </w:r>
      <w:r>
        <w:rPr>
          <w:sz w:val="24"/>
        </w:rPr>
        <w:t>Fiscal year</w:t>
      </w:r>
      <w:r>
        <w:rPr>
          <w:spacing w:val="-7"/>
          <w:sz w:val="24"/>
        </w:rPr>
        <w:t xml:space="preserve"> </w:t>
      </w:r>
      <w:r>
        <w:rPr>
          <w:sz w:val="24"/>
        </w:rPr>
        <w:t>end</w:t>
      </w:r>
    </w:p>
    <w:p w:rsidR="004E13A5" w:rsidRDefault="00681463">
      <w:pPr>
        <w:pStyle w:val="BodyText"/>
        <w:tabs>
          <w:tab w:val="left" w:pos="1560"/>
        </w:tabs>
        <w:spacing w:before="120"/>
        <w:ind w:left="120"/>
      </w:pPr>
      <w:r>
        <w:rPr>
          <w:b/>
        </w:rPr>
        <w:t>GAO</w:t>
      </w:r>
      <w:r>
        <w:rPr>
          <w:b/>
        </w:rPr>
        <w:tab/>
      </w:r>
      <w:r>
        <w:t>Government Accountability</w:t>
      </w:r>
      <w:r>
        <w:rPr>
          <w:spacing w:val="-7"/>
        </w:rPr>
        <w:t xml:space="preserve"> </w:t>
      </w:r>
      <w:r>
        <w:t>Office</w:t>
      </w:r>
    </w:p>
    <w:p w:rsidR="004E13A5" w:rsidRDefault="00681463">
      <w:pPr>
        <w:tabs>
          <w:tab w:val="left" w:pos="1560"/>
        </w:tabs>
        <w:spacing w:before="120"/>
        <w:ind w:left="120"/>
        <w:rPr>
          <w:sz w:val="24"/>
        </w:rPr>
      </w:pPr>
      <w:r>
        <w:rPr>
          <w:b/>
          <w:sz w:val="24"/>
        </w:rPr>
        <w:t>GR</w:t>
      </w:r>
      <w:r>
        <w:rPr>
          <w:b/>
          <w:sz w:val="24"/>
        </w:rPr>
        <w:tab/>
      </w:r>
      <w:r>
        <w:rPr>
          <w:sz w:val="24"/>
        </w:rPr>
        <w:t>Gross</w:t>
      </w:r>
      <w:r>
        <w:rPr>
          <w:spacing w:val="-5"/>
          <w:sz w:val="24"/>
        </w:rPr>
        <w:t xml:space="preserve"> </w:t>
      </w:r>
      <w:r>
        <w:rPr>
          <w:sz w:val="24"/>
        </w:rPr>
        <w:t>rent</w:t>
      </w:r>
    </w:p>
    <w:p w:rsidR="004E13A5" w:rsidRDefault="00681463">
      <w:pPr>
        <w:pStyle w:val="BodyText"/>
        <w:tabs>
          <w:tab w:val="left" w:pos="1560"/>
        </w:tabs>
        <w:spacing w:before="120"/>
        <w:ind w:left="120"/>
      </w:pPr>
      <w:r>
        <w:rPr>
          <w:b/>
        </w:rPr>
        <w:t>HA</w:t>
      </w:r>
      <w:r>
        <w:rPr>
          <w:b/>
        </w:rPr>
        <w:tab/>
      </w:r>
      <w:r>
        <w:t>Housing authority or housing</w:t>
      </w:r>
      <w:r>
        <w:rPr>
          <w:spacing w:val="-4"/>
        </w:rPr>
        <w:t xml:space="preserve"> </w:t>
      </w:r>
      <w:r>
        <w:t>agency</w:t>
      </w:r>
    </w:p>
    <w:p w:rsidR="004E13A5" w:rsidRDefault="00681463">
      <w:pPr>
        <w:pStyle w:val="BodyText"/>
        <w:tabs>
          <w:tab w:val="left" w:pos="1560"/>
        </w:tabs>
        <w:ind w:left="120"/>
      </w:pPr>
      <w:r>
        <w:rPr>
          <w:b/>
        </w:rPr>
        <w:t>HAP</w:t>
      </w:r>
      <w:r>
        <w:rPr>
          <w:b/>
        </w:rPr>
        <w:tab/>
      </w:r>
      <w:r>
        <w:t>Housing assistance</w:t>
      </w:r>
      <w:r>
        <w:rPr>
          <w:spacing w:val="-6"/>
        </w:rPr>
        <w:t xml:space="preserve"> </w:t>
      </w:r>
      <w:r>
        <w:t>payment</w:t>
      </w:r>
    </w:p>
    <w:p w:rsidR="004E13A5" w:rsidRDefault="00681463">
      <w:pPr>
        <w:pStyle w:val="BodyText"/>
        <w:tabs>
          <w:tab w:val="left" w:pos="1560"/>
        </w:tabs>
        <w:ind w:left="120"/>
      </w:pPr>
      <w:r>
        <w:rPr>
          <w:b/>
        </w:rPr>
        <w:t>HCV</w:t>
      </w:r>
      <w:r>
        <w:rPr>
          <w:b/>
        </w:rPr>
        <w:tab/>
      </w:r>
      <w:r>
        <w:t>Housing choice</w:t>
      </w:r>
      <w:r>
        <w:rPr>
          <w:spacing w:val="-4"/>
        </w:rPr>
        <w:t xml:space="preserve"> </w:t>
      </w:r>
      <w:r>
        <w:t>voucher</w:t>
      </w:r>
    </w:p>
    <w:p w:rsidR="004E13A5" w:rsidRDefault="002C4221">
      <w:pPr>
        <w:pStyle w:val="BodyText"/>
        <w:tabs>
          <w:tab w:val="left" w:pos="1560"/>
        </w:tabs>
        <w:ind w:left="120"/>
      </w:pPr>
      <w:r>
        <w:rPr>
          <w:b/>
        </w:rPr>
        <w:t>NSPIRE</w:t>
      </w:r>
      <w:r w:rsidR="00681463">
        <w:rPr>
          <w:b/>
        </w:rPr>
        <w:tab/>
      </w:r>
      <w:r w:rsidR="00681463">
        <w:t>Housing quality</w:t>
      </w:r>
      <w:r w:rsidR="00681463">
        <w:rPr>
          <w:spacing w:val="-6"/>
        </w:rPr>
        <w:t xml:space="preserve"> </w:t>
      </w:r>
      <w:r w:rsidR="00681463">
        <w:t>standards</w:t>
      </w:r>
    </w:p>
    <w:p w:rsidR="004E13A5" w:rsidRDefault="00681463">
      <w:pPr>
        <w:pStyle w:val="BodyText"/>
        <w:tabs>
          <w:tab w:val="left" w:pos="1560"/>
        </w:tabs>
        <w:ind w:left="120"/>
      </w:pPr>
      <w:r>
        <w:rPr>
          <w:b/>
        </w:rPr>
        <w:t>HUD</w:t>
      </w:r>
      <w:r>
        <w:rPr>
          <w:b/>
        </w:rPr>
        <w:tab/>
      </w:r>
      <w:r>
        <w:t>Department of Housing and Urban</w:t>
      </w:r>
      <w:r>
        <w:rPr>
          <w:spacing w:val="-8"/>
        </w:rPr>
        <w:t xml:space="preserve"> </w:t>
      </w:r>
      <w:r>
        <w:t>Development</w:t>
      </w:r>
    </w:p>
    <w:p w:rsidR="004E13A5" w:rsidRDefault="00681463">
      <w:pPr>
        <w:pStyle w:val="BodyText"/>
        <w:tabs>
          <w:tab w:val="left" w:pos="1560"/>
        </w:tabs>
        <w:ind w:left="120"/>
      </w:pPr>
      <w:r>
        <w:rPr>
          <w:b/>
        </w:rPr>
        <w:t>HUDCLIPS</w:t>
      </w:r>
      <w:r>
        <w:rPr>
          <w:b/>
        </w:rPr>
        <w:tab/>
      </w:r>
      <w:r>
        <w:t>HUD Client Information and Policy</w:t>
      </w:r>
      <w:r>
        <w:rPr>
          <w:spacing w:val="-9"/>
        </w:rPr>
        <w:t xml:space="preserve"> </w:t>
      </w:r>
      <w:r>
        <w:t>System</w:t>
      </w:r>
    </w:p>
    <w:p w:rsidR="004E13A5" w:rsidRDefault="004E13A5">
      <w:pPr>
        <w:sectPr w:rsidR="004E13A5">
          <w:footerReference w:type="default" r:id="rId100"/>
          <w:pgSz w:w="12240" w:h="15840"/>
          <w:pgMar w:top="1500" w:right="1360" w:bottom="280" w:left="1320" w:header="0" w:footer="0" w:gutter="0"/>
          <w:cols w:space="720"/>
        </w:sectPr>
      </w:pPr>
    </w:p>
    <w:p w:rsidR="004E13A5" w:rsidRDefault="00681463">
      <w:pPr>
        <w:pStyle w:val="BodyText"/>
        <w:tabs>
          <w:tab w:val="left" w:pos="1540"/>
        </w:tabs>
        <w:spacing w:before="79"/>
      </w:pPr>
      <w:r>
        <w:rPr>
          <w:b/>
        </w:rPr>
        <w:lastRenderedPageBreak/>
        <w:t>IPA</w:t>
      </w:r>
      <w:r>
        <w:rPr>
          <w:b/>
        </w:rPr>
        <w:tab/>
      </w:r>
      <w:r>
        <w:t>Independent public</w:t>
      </w:r>
      <w:r>
        <w:rPr>
          <w:spacing w:val="-5"/>
        </w:rPr>
        <w:t xml:space="preserve"> </w:t>
      </w:r>
      <w:r>
        <w:t>accountant</w:t>
      </w:r>
    </w:p>
    <w:p w:rsidR="004E13A5" w:rsidRDefault="00681463">
      <w:pPr>
        <w:pStyle w:val="BodyText"/>
        <w:tabs>
          <w:tab w:val="left" w:pos="1540"/>
        </w:tabs>
      </w:pPr>
      <w:r>
        <w:rPr>
          <w:b/>
        </w:rPr>
        <w:t>IRA</w:t>
      </w:r>
      <w:r>
        <w:rPr>
          <w:b/>
        </w:rPr>
        <w:tab/>
      </w:r>
      <w:r>
        <w:t>Individual retirement</w:t>
      </w:r>
      <w:r>
        <w:rPr>
          <w:spacing w:val="-6"/>
        </w:rPr>
        <w:t xml:space="preserve"> </w:t>
      </w:r>
      <w:r>
        <w:t>account</w:t>
      </w:r>
    </w:p>
    <w:p w:rsidR="004E13A5" w:rsidRDefault="00681463">
      <w:pPr>
        <w:pStyle w:val="BodyText"/>
        <w:tabs>
          <w:tab w:val="left" w:pos="1540"/>
        </w:tabs>
      </w:pPr>
      <w:r>
        <w:rPr>
          <w:b/>
        </w:rPr>
        <w:t>IRS</w:t>
      </w:r>
      <w:r>
        <w:rPr>
          <w:b/>
        </w:rPr>
        <w:tab/>
      </w:r>
      <w:r>
        <w:t>Internal Revenue</w:t>
      </w:r>
      <w:r>
        <w:rPr>
          <w:spacing w:val="-6"/>
        </w:rPr>
        <w:t xml:space="preserve"> </w:t>
      </w:r>
      <w:r>
        <w:t>Service</w:t>
      </w:r>
    </w:p>
    <w:p w:rsidR="004E13A5" w:rsidRDefault="00681463">
      <w:pPr>
        <w:pStyle w:val="BodyText"/>
        <w:tabs>
          <w:tab w:val="left" w:pos="1540"/>
        </w:tabs>
        <w:spacing w:line="343" w:lineRule="auto"/>
        <w:ind w:right="4859"/>
      </w:pPr>
      <w:r>
        <w:rPr>
          <w:b/>
        </w:rPr>
        <w:t>IVT</w:t>
      </w:r>
      <w:r>
        <w:rPr>
          <w:b/>
        </w:rPr>
        <w:tab/>
      </w:r>
      <w:r>
        <w:t>Income</w:t>
      </w:r>
      <w:r>
        <w:rPr>
          <w:spacing w:val="-3"/>
        </w:rPr>
        <w:t xml:space="preserve"> </w:t>
      </w:r>
      <w:r>
        <w:t>Validation</w:t>
      </w:r>
      <w:r>
        <w:rPr>
          <w:spacing w:val="-3"/>
        </w:rPr>
        <w:t xml:space="preserve"> </w:t>
      </w:r>
      <w:r>
        <w:t xml:space="preserve">Tool </w:t>
      </w:r>
      <w:r>
        <w:rPr>
          <w:b/>
        </w:rPr>
        <w:t>JTPA</w:t>
      </w:r>
      <w:r>
        <w:rPr>
          <w:b/>
        </w:rPr>
        <w:tab/>
      </w:r>
      <w:r>
        <w:t>Job Training</w:t>
      </w:r>
      <w:r>
        <w:rPr>
          <w:spacing w:val="-7"/>
        </w:rPr>
        <w:t xml:space="preserve"> </w:t>
      </w:r>
      <w:r>
        <w:t xml:space="preserve">Partnership Act </w:t>
      </w:r>
      <w:r>
        <w:rPr>
          <w:b/>
        </w:rPr>
        <w:t>LBP</w:t>
      </w:r>
      <w:r>
        <w:rPr>
          <w:b/>
        </w:rPr>
        <w:tab/>
      </w:r>
      <w:r>
        <w:t>Lead-based</w:t>
      </w:r>
      <w:r>
        <w:rPr>
          <w:spacing w:val="-5"/>
        </w:rPr>
        <w:t xml:space="preserve"> </w:t>
      </w:r>
      <w:r>
        <w:t>paint</w:t>
      </w:r>
    </w:p>
    <w:p w:rsidR="004E13A5" w:rsidRDefault="00681463">
      <w:pPr>
        <w:pStyle w:val="BodyText"/>
        <w:tabs>
          <w:tab w:val="left" w:pos="1540"/>
        </w:tabs>
        <w:spacing w:before="5"/>
      </w:pPr>
      <w:r>
        <w:rPr>
          <w:b/>
        </w:rPr>
        <w:t>LEP</w:t>
      </w:r>
      <w:r>
        <w:rPr>
          <w:b/>
        </w:rPr>
        <w:tab/>
      </w:r>
      <w:r>
        <w:t>Limited English</w:t>
      </w:r>
      <w:r>
        <w:rPr>
          <w:spacing w:val="-6"/>
        </w:rPr>
        <w:t xml:space="preserve"> </w:t>
      </w:r>
      <w:r>
        <w:t>proficiency</w:t>
      </w:r>
    </w:p>
    <w:p w:rsidR="004E13A5" w:rsidRDefault="00681463">
      <w:pPr>
        <w:pStyle w:val="BodyText"/>
        <w:tabs>
          <w:tab w:val="left" w:pos="1540"/>
        </w:tabs>
      </w:pPr>
      <w:r>
        <w:rPr>
          <w:b/>
        </w:rPr>
        <w:t>MSA</w:t>
      </w:r>
      <w:r>
        <w:rPr>
          <w:b/>
        </w:rPr>
        <w:tab/>
      </w:r>
      <w:r>
        <w:t>Metropolitan statistical area (established by the U.S. Census</w:t>
      </w:r>
      <w:r>
        <w:rPr>
          <w:spacing w:val="-13"/>
        </w:rPr>
        <w:t xml:space="preserve"> </w:t>
      </w:r>
      <w:r>
        <w:t>Bureau)</w:t>
      </w:r>
    </w:p>
    <w:p w:rsidR="004E13A5" w:rsidRDefault="00681463">
      <w:pPr>
        <w:pStyle w:val="BodyText"/>
        <w:tabs>
          <w:tab w:val="left" w:pos="1540"/>
        </w:tabs>
        <w:ind w:left="1540" w:right="673" w:hanging="1440"/>
      </w:pPr>
      <w:r>
        <w:rPr>
          <w:b/>
        </w:rPr>
        <w:t>MTCS</w:t>
      </w:r>
      <w:r>
        <w:rPr>
          <w:b/>
        </w:rPr>
        <w:tab/>
      </w:r>
      <w:r>
        <w:t>Multi-family Tenant Characteristics System (now the</w:t>
      </w:r>
      <w:r>
        <w:rPr>
          <w:spacing w:val="-12"/>
        </w:rPr>
        <w:t xml:space="preserve"> </w:t>
      </w:r>
      <w:r>
        <w:t>Form</w:t>
      </w:r>
      <w:r>
        <w:rPr>
          <w:spacing w:val="-2"/>
        </w:rPr>
        <w:t xml:space="preserve"> </w:t>
      </w:r>
      <w:r>
        <w:t>HUD-50058</w:t>
      </w:r>
      <w:r>
        <w:rPr>
          <w:w w:val="99"/>
        </w:rPr>
        <w:t xml:space="preserve"> </w:t>
      </w:r>
      <w:r>
        <w:t>submodule of the PIC</w:t>
      </w:r>
      <w:r>
        <w:rPr>
          <w:spacing w:val="-6"/>
        </w:rPr>
        <w:t xml:space="preserve"> </w:t>
      </w:r>
      <w:r>
        <w:t>system)</w:t>
      </w:r>
    </w:p>
    <w:p w:rsidR="004E13A5" w:rsidRDefault="00681463">
      <w:pPr>
        <w:tabs>
          <w:tab w:val="left" w:pos="1540"/>
        </w:tabs>
        <w:spacing w:before="119"/>
        <w:ind w:left="100"/>
        <w:rPr>
          <w:sz w:val="24"/>
        </w:rPr>
      </w:pPr>
      <w:r>
        <w:rPr>
          <w:b/>
          <w:sz w:val="24"/>
        </w:rPr>
        <w:t>MTW</w:t>
      </w:r>
      <w:r>
        <w:rPr>
          <w:b/>
          <w:sz w:val="24"/>
        </w:rPr>
        <w:tab/>
      </w:r>
      <w:r>
        <w:rPr>
          <w:sz w:val="24"/>
        </w:rPr>
        <w:t>Moving to</w:t>
      </w:r>
      <w:r>
        <w:rPr>
          <w:spacing w:val="-2"/>
          <w:sz w:val="24"/>
        </w:rPr>
        <w:t xml:space="preserve"> </w:t>
      </w:r>
      <w:r>
        <w:rPr>
          <w:sz w:val="24"/>
        </w:rPr>
        <w:t>Work</w:t>
      </w:r>
    </w:p>
    <w:p w:rsidR="004E13A5" w:rsidRDefault="00681463">
      <w:pPr>
        <w:pStyle w:val="BodyText"/>
        <w:tabs>
          <w:tab w:val="left" w:pos="1540"/>
        </w:tabs>
        <w:spacing w:line="343" w:lineRule="auto"/>
        <w:ind w:right="4243"/>
      </w:pPr>
      <w:r>
        <w:rPr>
          <w:b/>
        </w:rPr>
        <w:t>NOFA</w:t>
      </w:r>
      <w:r>
        <w:rPr>
          <w:b/>
        </w:rPr>
        <w:tab/>
      </w:r>
      <w:r>
        <w:t>Notice of funding</w:t>
      </w:r>
      <w:r>
        <w:rPr>
          <w:spacing w:val="-2"/>
        </w:rPr>
        <w:t xml:space="preserve"> </w:t>
      </w:r>
      <w:r>
        <w:t xml:space="preserve">availability </w:t>
      </w:r>
      <w:r>
        <w:rPr>
          <w:b/>
        </w:rPr>
        <w:t>OGC</w:t>
      </w:r>
      <w:r>
        <w:rPr>
          <w:b/>
        </w:rPr>
        <w:tab/>
      </w:r>
      <w:r>
        <w:t>HUD's Office of</w:t>
      </w:r>
      <w:r>
        <w:rPr>
          <w:spacing w:val="-7"/>
        </w:rPr>
        <w:t xml:space="preserve"> </w:t>
      </w:r>
      <w:r>
        <w:t>General</w:t>
      </w:r>
      <w:r>
        <w:rPr>
          <w:spacing w:val="-1"/>
        </w:rPr>
        <w:t xml:space="preserve"> </w:t>
      </w:r>
      <w:r>
        <w:t xml:space="preserve">Counsel </w:t>
      </w:r>
      <w:r>
        <w:rPr>
          <w:b/>
        </w:rPr>
        <w:t>OIG</w:t>
      </w:r>
      <w:r>
        <w:rPr>
          <w:b/>
        </w:rPr>
        <w:tab/>
      </w:r>
      <w:r>
        <w:t>HUD’s Office of</w:t>
      </w:r>
      <w:r>
        <w:rPr>
          <w:spacing w:val="-7"/>
        </w:rPr>
        <w:t xml:space="preserve"> </w:t>
      </w:r>
      <w:r>
        <w:t>Inspector</w:t>
      </w:r>
      <w:r>
        <w:rPr>
          <w:spacing w:val="-3"/>
        </w:rPr>
        <w:t xml:space="preserve"> </w:t>
      </w:r>
      <w:r>
        <w:t xml:space="preserve">General </w:t>
      </w:r>
      <w:r>
        <w:rPr>
          <w:b/>
        </w:rPr>
        <w:t>OMB</w:t>
      </w:r>
      <w:r>
        <w:rPr>
          <w:b/>
        </w:rPr>
        <w:tab/>
      </w:r>
      <w:r>
        <w:t>Office of Management</w:t>
      </w:r>
      <w:r>
        <w:rPr>
          <w:spacing w:val="-6"/>
        </w:rPr>
        <w:t xml:space="preserve"> </w:t>
      </w:r>
      <w:r>
        <w:t>and</w:t>
      </w:r>
      <w:r>
        <w:rPr>
          <w:spacing w:val="-2"/>
        </w:rPr>
        <w:t xml:space="preserve"> </w:t>
      </w:r>
      <w:r>
        <w:t>Budget</w:t>
      </w:r>
      <w:r>
        <w:rPr>
          <w:spacing w:val="-1"/>
        </w:rPr>
        <w:t xml:space="preserve"> </w:t>
      </w:r>
      <w:r>
        <w:rPr>
          <w:b/>
        </w:rPr>
        <w:t>PASS</w:t>
      </w:r>
      <w:r>
        <w:rPr>
          <w:b/>
        </w:rPr>
        <w:tab/>
      </w:r>
      <w:r>
        <w:t>Plan to Achieve</w:t>
      </w:r>
      <w:r>
        <w:rPr>
          <w:spacing w:val="-5"/>
        </w:rPr>
        <w:t xml:space="preserve"> </w:t>
      </w:r>
      <w:r>
        <w:t>Self-Support</w:t>
      </w:r>
    </w:p>
    <w:p w:rsidR="004E13A5" w:rsidRDefault="00681463">
      <w:pPr>
        <w:pStyle w:val="BodyText"/>
        <w:tabs>
          <w:tab w:val="left" w:pos="1540"/>
        </w:tabs>
        <w:spacing w:before="5"/>
      </w:pPr>
      <w:r>
        <w:rPr>
          <w:b/>
        </w:rPr>
        <w:t>PHA</w:t>
      </w:r>
      <w:r>
        <w:rPr>
          <w:b/>
        </w:rPr>
        <w:tab/>
      </w:r>
      <w:r>
        <w:t>Public housing</w:t>
      </w:r>
      <w:r>
        <w:rPr>
          <w:spacing w:val="-5"/>
        </w:rPr>
        <w:t xml:space="preserve"> </w:t>
      </w:r>
      <w:r>
        <w:t>agency</w:t>
      </w:r>
    </w:p>
    <w:p w:rsidR="004E13A5" w:rsidRDefault="00681463">
      <w:pPr>
        <w:pStyle w:val="BodyText"/>
        <w:tabs>
          <w:tab w:val="left" w:pos="1540"/>
        </w:tabs>
      </w:pPr>
      <w:r>
        <w:rPr>
          <w:b/>
        </w:rPr>
        <w:t>PIC</w:t>
      </w:r>
      <w:r>
        <w:rPr>
          <w:b/>
        </w:rPr>
        <w:tab/>
      </w:r>
      <w:r>
        <w:t>PIH Information</w:t>
      </w:r>
      <w:r>
        <w:rPr>
          <w:spacing w:val="-9"/>
        </w:rPr>
        <w:t xml:space="preserve"> </w:t>
      </w:r>
      <w:r>
        <w:t>Center</w:t>
      </w:r>
    </w:p>
    <w:p w:rsidR="004E13A5" w:rsidRDefault="00681463">
      <w:pPr>
        <w:pStyle w:val="BodyText"/>
        <w:tabs>
          <w:tab w:val="left" w:pos="1540"/>
        </w:tabs>
        <w:spacing w:before="120"/>
      </w:pPr>
      <w:r>
        <w:rPr>
          <w:b/>
        </w:rPr>
        <w:t>PIH</w:t>
      </w:r>
      <w:r>
        <w:rPr>
          <w:b/>
        </w:rPr>
        <w:tab/>
      </w:r>
      <w:r>
        <w:t>(HUD Office of) Public and Indian</w:t>
      </w:r>
      <w:r>
        <w:rPr>
          <w:spacing w:val="-10"/>
        </w:rPr>
        <w:t xml:space="preserve"> </w:t>
      </w:r>
      <w:r>
        <w:t>Housing</w:t>
      </w:r>
    </w:p>
    <w:p w:rsidR="004E13A5" w:rsidRDefault="00681463">
      <w:pPr>
        <w:pStyle w:val="BodyText"/>
        <w:tabs>
          <w:tab w:val="left" w:pos="1540"/>
        </w:tabs>
        <w:spacing w:before="120"/>
      </w:pPr>
      <w:r>
        <w:rPr>
          <w:b/>
        </w:rPr>
        <w:t>PS</w:t>
      </w:r>
      <w:r>
        <w:rPr>
          <w:b/>
        </w:rPr>
        <w:tab/>
      </w:r>
      <w:r>
        <w:t>Payment</w:t>
      </w:r>
      <w:r>
        <w:rPr>
          <w:spacing w:val="-5"/>
        </w:rPr>
        <w:t xml:space="preserve"> </w:t>
      </w:r>
      <w:r>
        <w:t>standard</w:t>
      </w:r>
    </w:p>
    <w:p w:rsidR="004E13A5" w:rsidRDefault="00681463">
      <w:pPr>
        <w:pStyle w:val="BodyText"/>
        <w:tabs>
          <w:tab w:val="left" w:pos="1540"/>
        </w:tabs>
        <w:spacing w:before="120"/>
      </w:pPr>
      <w:r>
        <w:rPr>
          <w:b/>
        </w:rPr>
        <w:t>QC</w:t>
      </w:r>
      <w:r>
        <w:rPr>
          <w:b/>
        </w:rPr>
        <w:tab/>
      </w:r>
      <w:r>
        <w:t>Quality</w:t>
      </w:r>
      <w:r>
        <w:rPr>
          <w:spacing w:val="-7"/>
        </w:rPr>
        <w:t xml:space="preserve"> </w:t>
      </w:r>
      <w:r>
        <w:t>control</w:t>
      </w:r>
    </w:p>
    <w:p w:rsidR="004E13A5" w:rsidRDefault="00681463">
      <w:pPr>
        <w:pStyle w:val="BodyText"/>
        <w:tabs>
          <w:tab w:val="left" w:pos="1540"/>
        </w:tabs>
        <w:spacing w:before="120"/>
      </w:pPr>
      <w:r>
        <w:rPr>
          <w:b/>
        </w:rPr>
        <w:t>REAC</w:t>
      </w:r>
      <w:r>
        <w:rPr>
          <w:b/>
        </w:rPr>
        <w:tab/>
      </w:r>
      <w:r>
        <w:t>(HUD) Real Estate Assessment</w:t>
      </w:r>
      <w:r>
        <w:rPr>
          <w:spacing w:val="-6"/>
        </w:rPr>
        <w:t xml:space="preserve"> </w:t>
      </w:r>
      <w:r>
        <w:t>Center</w:t>
      </w:r>
    </w:p>
    <w:p w:rsidR="004E13A5" w:rsidRDefault="00681463">
      <w:pPr>
        <w:pStyle w:val="BodyText"/>
        <w:tabs>
          <w:tab w:val="left" w:pos="1540"/>
        </w:tabs>
        <w:spacing w:before="120"/>
      </w:pPr>
      <w:r>
        <w:rPr>
          <w:b/>
        </w:rPr>
        <w:t>RFP</w:t>
      </w:r>
      <w:r>
        <w:rPr>
          <w:b/>
        </w:rPr>
        <w:tab/>
      </w:r>
      <w:r>
        <w:t>Request for</w:t>
      </w:r>
      <w:r>
        <w:rPr>
          <w:spacing w:val="-6"/>
        </w:rPr>
        <w:t xml:space="preserve"> </w:t>
      </w:r>
      <w:r>
        <w:t>proposals</w:t>
      </w:r>
    </w:p>
    <w:p w:rsidR="004E13A5" w:rsidRDefault="00681463">
      <w:pPr>
        <w:pStyle w:val="BodyText"/>
        <w:tabs>
          <w:tab w:val="left" w:pos="1540"/>
        </w:tabs>
        <w:spacing w:before="120"/>
      </w:pPr>
      <w:r>
        <w:rPr>
          <w:b/>
        </w:rPr>
        <w:t>RFTA</w:t>
      </w:r>
      <w:r>
        <w:rPr>
          <w:b/>
        </w:rPr>
        <w:tab/>
      </w:r>
      <w:r>
        <w:t>Request for tenancy</w:t>
      </w:r>
      <w:r>
        <w:rPr>
          <w:spacing w:val="-7"/>
        </w:rPr>
        <w:t xml:space="preserve"> </w:t>
      </w:r>
      <w:r>
        <w:t>approval</w:t>
      </w:r>
    </w:p>
    <w:p w:rsidR="004E13A5" w:rsidRDefault="00681463">
      <w:pPr>
        <w:pStyle w:val="BodyText"/>
        <w:tabs>
          <w:tab w:val="left" w:pos="1540"/>
        </w:tabs>
        <w:spacing w:before="120"/>
        <w:ind w:left="1540" w:right="101" w:hanging="1440"/>
      </w:pPr>
      <w:r>
        <w:rPr>
          <w:b/>
        </w:rPr>
        <w:t>RIGI</w:t>
      </w:r>
      <w:r>
        <w:rPr>
          <w:b/>
        </w:rPr>
        <w:tab/>
      </w:r>
      <w:r>
        <w:t>Regional inspector general for investigation (handles fraud and</w:t>
      </w:r>
      <w:r>
        <w:rPr>
          <w:spacing w:val="-11"/>
        </w:rPr>
        <w:t xml:space="preserve"> </w:t>
      </w:r>
      <w:r>
        <w:t>program</w:t>
      </w:r>
      <w:r>
        <w:rPr>
          <w:spacing w:val="-2"/>
        </w:rPr>
        <w:t xml:space="preserve"> </w:t>
      </w:r>
      <w:r>
        <w:t>abuse</w:t>
      </w:r>
      <w:r>
        <w:rPr>
          <w:w w:val="99"/>
        </w:rPr>
        <w:t xml:space="preserve"> </w:t>
      </w:r>
      <w:r>
        <w:t>matters for HUD at the regional office</w:t>
      </w:r>
      <w:r>
        <w:rPr>
          <w:spacing w:val="-12"/>
        </w:rPr>
        <w:t xml:space="preserve"> </w:t>
      </w:r>
      <w:r>
        <w:t>level)</w:t>
      </w:r>
    </w:p>
    <w:p w:rsidR="004E13A5" w:rsidRDefault="00681463">
      <w:pPr>
        <w:pStyle w:val="BodyText"/>
        <w:tabs>
          <w:tab w:val="left" w:pos="1540"/>
        </w:tabs>
        <w:spacing w:before="120"/>
      </w:pPr>
      <w:r>
        <w:rPr>
          <w:b/>
        </w:rPr>
        <w:t>SEMAP</w:t>
      </w:r>
      <w:r>
        <w:rPr>
          <w:b/>
        </w:rPr>
        <w:tab/>
      </w:r>
      <w:r>
        <w:t>Section 8 Management Assessment</w:t>
      </w:r>
      <w:r>
        <w:rPr>
          <w:spacing w:val="-10"/>
        </w:rPr>
        <w:t xml:space="preserve"> </w:t>
      </w:r>
      <w:r>
        <w:t>Program</w:t>
      </w:r>
    </w:p>
    <w:p w:rsidR="004E13A5" w:rsidRDefault="00681463">
      <w:pPr>
        <w:pStyle w:val="BodyText"/>
        <w:tabs>
          <w:tab w:val="left" w:pos="1540"/>
        </w:tabs>
        <w:spacing w:before="120"/>
      </w:pPr>
      <w:r>
        <w:rPr>
          <w:b/>
        </w:rPr>
        <w:t>SRO</w:t>
      </w:r>
      <w:r>
        <w:rPr>
          <w:b/>
        </w:rPr>
        <w:tab/>
      </w:r>
      <w:r>
        <w:t>Single room</w:t>
      </w:r>
      <w:r>
        <w:rPr>
          <w:spacing w:val="-3"/>
        </w:rPr>
        <w:t xml:space="preserve"> </w:t>
      </w:r>
      <w:r>
        <w:t>occupancy</w:t>
      </w:r>
    </w:p>
    <w:p w:rsidR="004E13A5" w:rsidRDefault="00681463">
      <w:pPr>
        <w:pStyle w:val="BodyText"/>
        <w:tabs>
          <w:tab w:val="left" w:pos="1540"/>
        </w:tabs>
      </w:pPr>
      <w:r>
        <w:rPr>
          <w:b/>
        </w:rPr>
        <w:t>SSA</w:t>
      </w:r>
      <w:r>
        <w:rPr>
          <w:b/>
        </w:rPr>
        <w:tab/>
      </w:r>
      <w:r>
        <w:t>Social Security</w:t>
      </w:r>
      <w:r>
        <w:rPr>
          <w:spacing w:val="-7"/>
        </w:rPr>
        <w:t xml:space="preserve"> </w:t>
      </w:r>
      <w:r>
        <w:t>Administration</w:t>
      </w:r>
    </w:p>
    <w:p w:rsidR="004E13A5" w:rsidRDefault="00681463">
      <w:pPr>
        <w:pStyle w:val="BodyText"/>
        <w:tabs>
          <w:tab w:val="left" w:pos="1540"/>
        </w:tabs>
      </w:pPr>
      <w:r>
        <w:rPr>
          <w:b/>
        </w:rPr>
        <w:t>SSI</w:t>
      </w:r>
      <w:r>
        <w:rPr>
          <w:b/>
        </w:rPr>
        <w:tab/>
      </w:r>
      <w:r>
        <w:t>Supplemental security</w:t>
      </w:r>
      <w:r>
        <w:rPr>
          <w:spacing w:val="-5"/>
        </w:rPr>
        <w:t xml:space="preserve"> </w:t>
      </w:r>
      <w:r>
        <w:t>income</w:t>
      </w:r>
    </w:p>
    <w:p w:rsidR="004E13A5" w:rsidRDefault="00681463">
      <w:pPr>
        <w:pStyle w:val="BodyText"/>
        <w:tabs>
          <w:tab w:val="left" w:pos="1540"/>
        </w:tabs>
      </w:pPr>
      <w:r>
        <w:rPr>
          <w:b/>
        </w:rPr>
        <w:t>SWICA</w:t>
      </w:r>
      <w:r>
        <w:rPr>
          <w:b/>
        </w:rPr>
        <w:tab/>
      </w:r>
      <w:r>
        <w:t>State wage information collection</w:t>
      </w:r>
      <w:r>
        <w:rPr>
          <w:spacing w:val="-6"/>
        </w:rPr>
        <w:t xml:space="preserve"> </w:t>
      </w:r>
      <w:r>
        <w:t>agency</w:t>
      </w:r>
    </w:p>
    <w:p w:rsidR="004E13A5" w:rsidRDefault="004E13A5">
      <w:pPr>
        <w:sectPr w:rsidR="004E13A5">
          <w:footerReference w:type="default" r:id="rId101"/>
          <w:pgSz w:w="12240" w:h="15840"/>
          <w:pgMar w:top="1480" w:right="1720" w:bottom="280" w:left="1340" w:header="0" w:footer="0" w:gutter="0"/>
          <w:cols w:space="720"/>
        </w:sectPr>
      </w:pPr>
    </w:p>
    <w:p w:rsidR="004E13A5" w:rsidRDefault="00681463">
      <w:pPr>
        <w:pStyle w:val="BodyText"/>
        <w:tabs>
          <w:tab w:val="left" w:pos="1540"/>
        </w:tabs>
        <w:spacing w:before="79"/>
      </w:pPr>
      <w:r>
        <w:rPr>
          <w:b/>
        </w:rPr>
        <w:lastRenderedPageBreak/>
        <w:t>TANF</w:t>
      </w:r>
      <w:r>
        <w:rPr>
          <w:b/>
        </w:rPr>
        <w:tab/>
      </w:r>
      <w:r>
        <w:t>Temporary assistance for needy</w:t>
      </w:r>
      <w:r>
        <w:rPr>
          <w:spacing w:val="-13"/>
        </w:rPr>
        <w:t xml:space="preserve"> </w:t>
      </w:r>
      <w:r>
        <w:t>families</w:t>
      </w:r>
    </w:p>
    <w:p w:rsidR="004E13A5" w:rsidRDefault="00681463">
      <w:pPr>
        <w:pStyle w:val="BodyText"/>
        <w:tabs>
          <w:tab w:val="left" w:pos="1540"/>
        </w:tabs>
      </w:pPr>
      <w:r>
        <w:rPr>
          <w:b/>
        </w:rPr>
        <w:t>TPV</w:t>
      </w:r>
      <w:r>
        <w:rPr>
          <w:b/>
        </w:rPr>
        <w:tab/>
      </w:r>
      <w:r>
        <w:t>Tenant protection</w:t>
      </w:r>
      <w:r>
        <w:rPr>
          <w:spacing w:val="-4"/>
        </w:rPr>
        <w:t xml:space="preserve"> </w:t>
      </w:r>
      <w:r>
        <w:t>vouchers</w:t>
      </w:r>
    </w:p>
    <w:p w:rsidR="004E13A5" w:rsidRDefault="00681463">
      <w:pPr>
        <w:tabs>
          <w:tab w:val="left" w:pos="1540"/>
        </w:tabs>
        <w:spacing w:before="119"/>
        <w:ind w:left="100"/>
        <w:rPr>
          <w:sz w:val="24"/>
        </w:rPr>
      </w:pPr>
      <w:r>
        <w:rPr>
          <w:b/>
          <w:sz w:val="24"/>
        </w:rPr>
        <w:t>TR</w:t>
      </w:r>
      <w:r>
        <w:rPr>
          <w:b/>
          <w:sz w:val="24"/>
        </w:rPr>
        <w:tab/>
      </w:r>
      <w:r>
        <w:rPr>
          <w:sz w:val="24"/>
        </w:rPr>
        <w:t>Tenant</w:t>
      </w:r>
      <w:r>
        <w:rPr>
          <w:spacing w:val="-5"/>
          <w:sz w:val="24"/>
        </w:rPr>
        <w:t xml:space="preserve"> </w:t>
      </w:r>
      <w:r>
        <w:rPr>
          <w:sz w:val="24"/>
        </w:rPr>
        <w:t>rent</w:t>
      </w:r>
    </w:p>
    <w:p w:rsidR="004E13A5" w:rsidRDefault="00681463">
      <w:pPr>
        <w:pStyle w:val="BodyText"/>
        <w:tabs>
          <w:tab w:val="left" w:pos="1540"/>
        </w:tabs>
      </w:pPr>
      <w:r>
        <w:rPr>
          <w:b/>
        </w:rPr>
        <w:t>TTP</w:t>
      </w:r>
      <w:r>
        <w:rPr>
          <w:b/>
        </w:rPr>
        <w:tab/>
      </w:r>
      <w:r>
        <w:t>Total tenant</w:t>
      </w:r>
      <w:r>
        <w:rPr>
          <w:spacing w:val="-4"/>
        </w:rPr>
        <w:t xml:space="preserve"> </w:t>
      </w:r>
      <w:r>
        <w:t>payment</w:t>
      </w:r>
    </w:p>
    <w:p w:rsidR="004E13A5" w:rsidRDefault="00681463">
      <w:pPr>
        <w:pStyle w:val="BodyText"/>
        <w:tabs>
          <w:tab w:val="left" w:pos="1540"/>
        </w:tabs>
      </w:pPr>
      <w:r>
        <w:rPr>
          <w:b/>
        </w:rPr>
        <w:t>UA</w:t>
      </w:r>
      <w:r>
        <w:rPr>
          <w:b/>
        </w:rPr>
        <w:tab/>
      </w:r>
      <w:r>
        <w:t>Utility</w:t>
      </w:r>
      <w:r>
        <w:rPr>
          <w:spacing w:val="-6"/>
        </w:rPr>
        <w:t xml:space="preserve"> </w:t>
      </w:r>
      <w:r>
        <w:t>allowance</w:t>
      </w:r>
    </w:p>
    <w:p w:rsidR="004E13A5" w:rsidRDefault="00681463">
      <w:pPr>
        <w:pStyle w:val="BodyText"/>
        <w:tabs>
          <w:tab w:val="left" w:pos="1540"/>
        </w:tabs>
      </w:pPr>
      <w:r>
        <w:rPr>
          <w:b/>
        </w:rPr>
        <w:t>UFAS</w:t>
      </w:r>
      <w:r>
        <w:rPr>
          <w:b/>
        </w:rPr>
        <w:tab/>
      </w:r>
      <w:r>
        <w:t>Uniform Federal Accessibility</w:t>
      </w:r>
      <w:r>
        <w:rPr>
          <w:spacing w:val="-8"/>
        </w:rPr>
        <w:t xml:space="preserve"> </w:t>
      </w:r>
      <w:r>
        <w:t>Standards</w:t>
      </w:r>
    </w:p>
    <w:p w:rsidR="004E13A5" w:rsidRDefault="00681463">
      <w:pPr>
        <w:pStyle w:val="BodyText"/>
        <w:tabs>
          <w:tab w:val="left" w:pos="1540"/>
        </w:tabs>
      </w:pPr>
      <w:r>
        <w:rPr>
          <w:b/>
        </w:rPr>
        <w:t>UIV</w:t>
      </w:r>
      <w:r>
        <w:rPr>
          <w:b/>
        </w:rPr>
        <w:tab/>
      </w:r>
      <w:r>
        <w:t>Upfront income</w:t>
      </w:r>
      <w:r>
        <w:rPr>
          <w:spacing w:val="-4"/>
        </w:rPr>
        <w:t xml:space="preserve"> </w:t>
      </w:r>
      <w:r>
        <w:t>verification</w:t>
      </w:r>
    </w:p>
    <w:p w:rsidR="004E13A5" w:rsidRDefault="00681463">
      <w:pPr>
        <w:pStyle w:val="BodyText"/>
        <w:tabs>
          <w:tab w:val="left" w:pos="1540"/>
        </w:tabs>
      </w:pPr>
      <w:r>
        <w:rPr>
          <w:b/>
        </w:rPr>
        <w:t>URP</w:t>
      </w:r>
      <w:r>
        <w:rPr>
          <w:b/>
        </w:rPr>
        <w:tab/>
      </w:r>
      <w:r>
        <w:t>Utility reimbursement</w:t>
      </w:r>
      <w:r>
        <w:rPr>
          <w:spacing w:val="-11"/>
        </w:rPr>
        <w:t xml:space="preserve"> </w:t>
      </w:r>
      <w:r>
        <w:t>payment</w:t>
      </w:r>
    </w:p>
    <w:p w:rsidR="004E13A5" w:rsidRDefault="00681463">
      <w:pPr>
        <w:pStyle w:val="BodyText"/>
        <w:tabs>
          <w:tab w:val="left" w:pos="1540"/>
        </w:tabs>
      </w:pPr>
      <w:r>
        <w:rPr>
          <w:b/>
        </w:rPr>
        <w:t>VAWA</w:t>
      </w:r>
      <w:r>
        <w:rPr>
          <w:b/>
        </w:rPr>
        <w:tab/>
      </w:r>
      <w:r>
        <w:t>Violence Against Women Reauthorization Act of</w:t>
      </w:r>
      <w:r>
        <w:rPr>
          <w:spacing w:val="-6"/>
        </w:rPr>
        <w:t xml:space="preserve"> </w:t>
      </w:r>
      <w:r>
        <w:t>2013</w:t>
      </w:r>
    </w:p>
    <w:p w:rsidR="004E13A5" w:rsidRDefault="004E13A5">
      <w:pPr>
        <w:sectPr w:rsidR="004E13A5">
          <w:footerReference w:type="default" r:id="rId102"/>
          <w:pgSz w:w="12240" w:h="15840"/>
          <w:pgMar w:top="1480" w:right="1720" w:bottom="280" w:left="1340" w:header="0" w:footer="0" w:gutter="0"/>
          <w:cols w:space="720"/>
        </w:sectPr>
      </w:pPr>
    </w:p>
    <w:p w:rsidR="004E13A5" w:rsidRDefault="00681463">
      <w:pPr>
        <w:pStyle w:val="Heading4"/>
        <w:numPr>
          <w:ilvl w:val="0"/>
          <w:numId w:val="4"/>
        </w:numPr>
        <w:tabs>
          <w:tab w:val="left" w:pos="820"/>
          <w:tab w:val="left" w:pos="821"/>
        </w:tabs>
        <w:spacing w:before="179"/>
        <w:ind w:left="820"/>
      </w:pPr>
      <w:r>
        <w:rPr>
          <w:u w:val="thick"/>
        </w:rPr>
        <w:lastRenderedPageBreak/>
        <w:t>GLOSSARY OF SUBSIDIZED HOUSING</w:t>
      </w:r>
      <w:r>
        <w:rPr>
          <w:spacing w:val="-13"/>
          <w:u w:val="thick"/>
        </w:rPr>
        <w:t xml:space="preserve"> </w:t>
      </w:r>
      <w:r>
        <w:rPr>
          <w:u w:val="thick"/>
        </w:rPr>
        <w:t>TERMS</w:t>
      </w:r>
    </w:p>
    <w:p w:rsidR="004E13A5" w:rsidRDefault="00681463">
      <w:pPr>
        <w:pStyle w:val="BodyText"/>
        <w:ind w:left="460" w:right="168" w:hanging="360"/>
      </w:pPr>
      <w:r>
        <w:rPr>
          <w:b/>
          <w:i/>
        </w:rPr>
        <w:t>Absorption</w:t>
      </w:r>
      <w:r>
        <w:rPr>
          <w:b/>
        </w:rPr>
        <w:t xml:space="preserve">. </w:t>
      </w:r>
      <w:r>
        <w:t>In portability (under subpart H of this part 982): the point at which a receiving PHA stops billing the initial PHA for assistance on behalf of a portability family. The receiving PHA uses funds available under the receiving PHA consolidated ACC.</w:t>
      </w:r>
    </w:p>
    <w:p w:rsidR="004E13A5" w:rsidRDefault="00681463">
      <w:pPr>
        <w:pStyle w:val="BodyText"/>
        <w:ind w:left="460" w:right="83" w:hanging="360"/>
      </w:pPr>
      <w:r>
        <w:rPr>
          <w:b/>
          <w:i/>
        </w:rPr>
        <w:t>Accessible</w:t>
      </w:r>
      <w:r>
        <w:rPr>
          <w:b/>
        </w:rPr>
        <w:t xml:space="preserve">. </w:t>
      </w:r>
      <w:r>
        <w:t>The facility or portion of the facility can be approached, entered, and used by persons with disabilities.</w:t>
      </w:r>
    </w:p>
    <w:p w:rsidR="004E13A5" w:rsidRDefault="00681463">
      <w:pPr>
        <w:spacing w:before="119"/>
        <w:ind w:left="100"/>
        <w:rPr>
          <w:sz w:val="24"/>
        </w:rPr>
      </w:pPr>
      <w:r>
        <w:rPr>
          <w:b/>
          <w:i/>
          <w:sz w:val="24"/>
        </w:rPr>
        <w:t>Adjusted income</w:t>
      </w:r>
      <w:r>
        <w:rPr>
          <w:b/>
          <w:sz w:val="24"/>
        </w:rPr>
        <w:t xml:space="preserve">. </w:t>
      </w:r>
      <w:r>
        <w:rPr>
          <w:sz w:val="24"/>
        </w:rPr>
        <w:t>Annual income, less allowable HUD deductions and allowances.</w:t>
      </w:r>
    </w:p>
    <w:p w:rsidR="004E13A5" w:rsidRDefault="00681463">
      <w:pPr>
        <w:spacing w:before="119"/>
        <w:ind w:left="100"/>
        <w:rPr>
          <w:sz w:val="24"/>
        </w:rPr>
      </w:pPr>
      <w:r>
        <w:rPr>
          <w:b/>
          <w:i/>
          <w:sz w:val="24"/>
        </w:rPr>
        <w:t xml:space="preserve">Administrative fee. </w:t>
      </w:r>
      <w:r>
        <w:rPr>
          <w:sz w:val="24"/>
        </w:rPr>
        <w:t>Fee paid by HUD to the PHA for administration of the program. See</w:t>
      </w:r>
    </w:p>
    <w:p w:rsidR="004E13A5" w:rsidRDefault="00681463">
      <w:pPr>
        <w:pStyle w:val="BodyText"/>
        <w:spacing w:before="0"/>
        <w:ind w:left="460"/>
      </w:pPr>
      <w:r>
        <w:t>§982.152.</w:t>
      </w:r>
    </w:p>
    <w:p w:rsidR="004E13A5" w:rsidRDefault="00681463">
      <w:pPr>
        <w:pStyle w:val="BodyText"/>
        <w:spacing w:before="120"/>
        <w:ind w:left="460" w:right="128" w:hanging="360"/>
      </w:pPr>
      <w:r>
        <w:rPr>
          <w:b/>
          <w:i/>
        </w:rPr>
        <w:t xml:space="preserve">Administrative plan. </w:t>
      </w:r>
      <w:r>
        <w:t>The plan that describes PHA policies for administration of the tenant-based programs. The Administrative Plan and any revisions must be approved by the PHA’s board and included as a supporting document to the PHA Plan. See §982.54.</w:t>
      </w:r>
    </w:p>
    <w:p w:rsidR="004E13A5" w:rsidRDefault="00681463">
      <w:pPr>
        <w:pStyle w:val="BodyText"/>
        <w:ind w:left="460" w:right="315" w:hanging="360"/>
      </w:pPr>
      <w:r>
        <w:rPr>
          <w:b/>
          <w:i/>
        </w:rPr>
        <w:t>Admission</w:t>
      </w:r>
      <w:r>
        <w:rPr>
          <w:b/>
        </w:rPr>
        <w:t xml:space="preserve">. </w:t>
      </w:r>
      <w:r>
        <w:t>The point when the family becomes a participant in the program. The date used for this purpose is the effective date of the first HAP contract for a family (first day of initial lease term) in a tenant-based program.</w:t>
      </w:r>
    </w:p>
    <w:p w:rsidR="004E13A5" w:rsidRDefault="00681463">
      <w:pPr>
        <w:pStyle w:val="BodyText"/>
        <w:ind w:left="460" w:right="321" w:hanging="360"/>
      </w:pPr>
      <w:r>
        <w:rPr>
          <w:b/>
          <w:i/>
        </w:rPr>
        <w:t xml:space="preserve">Affiliated individual. </w:t>
      </w:r>
      <w:r>
        <w:t>With respect to an individual, a spouse, parent, brother, sister, or child of that individual, or an individual to whom that individual stands in loco parentis (in the place of a parent), or any individual, tenant, or lawful occupant living in the household of that individual</w:t>
      </w:r>
    </w:p>
    <w:p w:rsidR="004E13A5" w:rsidRDefault="00681463">
      <w:pPr>
        <w:pStyle w:val="BodyText"/>
        <w:ind w:left="460" w:hanging="360"/>
      </w:pPr>
      <w:r>
        <w:rPr>
          <w:b/>
          <w:i/>
        </w:rPr>
        <w:t xml:space="preserve">Amortization payment. </w:t>
      </w:r>
      <w:r>
        <w:t>In a manufactured home space rental: The monthly debt service payment by the family to amortize the purchase price of the manufactured home.</w:t>
      </w:r>
    </w:p>
    <w:p w:rsidR="004E13A5" w:rsidRDefault="00681463">
      <w:pPr>
        <w:spacing w:before="120"/>
        <w:ind w:left="100"/>
        <w:rPr>
          <w:sz w:val="24"/>
        </w:rPr>
      </w:pPr>
      <w:r>
        <w:rPr>
          <w:b/>
          <w:i/>
          <w:sz w:val="24"/>
        </w:rPr>
        <w:t xml:space="preserve">Annual. </w:t>
      </w:r>
      <w:r>
        <w:rPr>
          <w:sz w:val="24"/>
        </w:rPr>
        <w:t>Happening once a year.</w:t>
      </w:r>
    </w:p>
    <w:p w:rsidR="004E13A5" w:rsidRDefault="00681463">
      <w:pPr>
        <w:pStyle w:val="BodyText"/>
        <w:spacing w:before="120"/>
        <w:ind w:left="460" w:right="514" w:hanging="360"/>
      </w:pPr>
      <w:r>
        <w:rPr>
          <w:b/>
          <w:i/>
        </w:rPr>
        <w:t xml:space="preserve">Annual contributions contract (ACC). </w:t>
      </w:r>
      <w:r>
        <w:t>The written contract between HUD and a PHA under which HUD agrees to provide funding for a program under the 1937 Act, and the PHA agrees to comply with HUD requirements for the program.</w:t>
      </w:r>
    </w:p>
    <w:p w:rsidR="004E13A5" w:rsidRDefault="00681463">
      <w:pPr>
        <w:pStyle w:val="BodyText"/>
        <w:spacing w:before="120"/>
        <w:ind w:left="460" w:right="555" w:hanging="360"/>
      </w:pPr>
      <w:r>
        <w:rPr>
          <w:b/>
          <w:i/>
        </w:rPr>
        <w:t>Annual income</w:t>
      </w:r>
      <w:r>
        <w:rPr>
          <w:b/>
        </w:rPr>
        <w:t xml:space="preserve">. </w:t>
      </w:r>
      <w:r>
        <w:t>The anticipated total income of an eligible family from all sources for the 12-month period following the date of determination of income, computed in accordance with the regulations.</w:t>
      </w:r>
    </w:p>
    <w:p w:rsidR="004E13A5" w:rsidRDefault="00681463">
      <w:pPr>
        <w:spacing w:before="120"/>
        <w:ind w:left="460" w:right="95" w:hanging="360"/>
        <w:rPr>
          <w:sz w:val="24"/>
        </w:rPr>
      </w:pPr>
      <w:r>
        <w:rPr>
          <w:b/>
          <w:i/>
          <w:sz w:val="24"/>
        </w:rPr>
        <w:t xml:space="preserve">Applicant (applicant family). </w:t>
      </w:r>
      <w:r>
        <w:rPr>
          <w:sz w:val="24"/>
        </w:rPr>
        <w:t>A family that has applied for admission to a program but is not yet a participant in the program.</w:t>
      </w:r>
    </w:p>
    <w:p w:rsidR="004E13A5" w:rsidRDefault="00681463">
      <w:pPr>
        <w:spacing w:before="120"/>
        <w:ind w:left="100"/>
        <w:rPr>
          <w:sz w:val="24"/>
        </w:rPr>
      </w:pPr>
      <w:r>
        <w:rPr>
          <w:b/>
          <w:i/>
          <w:sz w:val="24"/>
        </w:rPr>
        <w:t xml:space="preserve">Area exception rent. </w:t>
      </w:r>
      <w:r>
        <w:rPr>
          <w:sz w:val="24"/>
        </w:rPr>
        <w:t>An amount that exceeds the published FMR. See 24 CFR 982.504(b).</w:t>
      </w:r>
    </w:p>
    <w:p w:rsidR="004E13A5" w:rsidRDefault="00681463">
      <w:pPr>
        <w:pStyle w:val="BodyText"/>
        <w:spacing w:before="120"/>
        <w:ind w:left="460" w:right="262" w:hanging="360"/>
      </w:pPr>
      <w:r>
        <w:rPr>
          <w:b/>
          <w:i/>
        </w:rPr>
        <w:t xml:space="preserve">As-paid states. </w:t>
      </w:r>
      <w:r>
        <w:t>States where the welfare agency adjusts the shelter and utility component of the welfare grant in accordance with actual housing costs.</w:t>
      </w:r>
    </w:p>
    <w:p w:rsidR="004E13A5" w:rsidRDefault="00681463">
      <w:pPr>
        <w:spacing w:before="119"/>
        <w:ind w:left="100"/>
        <w:rPr>
          <w:sz w:val="24"/>
        </w:rPr>
      </w:pPr>
      <w:r>
        <w:rPr>
          <w:b/>
          <w:i/>
          <w:sz w:val="24"/>
        </w:rPr>
        <w:t>Assets</w:t>
      </w:r>
      <w:r>
        <w:rPr>
          <w:b/>
          <w:sz w:val="24"/>
        </w:rPr>
        <w:t xml:space="preserve">. </w:t>
      </w:r>
      <w:r>
        <w:rPr>
          <w:sz w:val="24"/>
        </w:rPr>
        <w:t xml:space="preserve">(See </w:t>
      </w:r>
      <w:r>
        <w:rPr>
          <w:i/>
          <w:sz w:val="24"/>
        </w:rPr>
        <w:t>net family assets.</w:t>
      </w:r>
      <w:r>
        <w:rPr>
          <w:sz w:val="24"/>
        </w:rPr>
        <w:t>)</w:t>
      </w:r>
    </w:p>
    <w:p w:rsidR="004E13A5" w:rsidRDefault="00681463">
      <w:pPr>
        <w:pStyle w:val="BodyText"/>
        <w:ind w:left="460" w:right="262" w:hanging="360"/>
      </w:pPr>
      <w:r>
        <w:rPr>
          <w:b/>
          <w:i/>
        </w:rPr>
        <w:t xml:space="preserve">Auxiliary aids. </w:t>
      </w:r>
      <w:r>
        <w:t>Services or devices that enable persons with impaired sensory, manual, or speaking skills to have an equal opportunity to participate in, and enjoy the benefits of, programs or activities receiving federal financial assistance.</w:t>
      </w:r>
    </w:p>
    <w:p w:rsidR="004E13A5" w:rsidRDefault="00681463">
      <w:pPr>
        <w:spacing w:before="119"/>
        <w:ind w:left="100"/>
        <w:rPr>
          <w:sz w:val="24"/>
        </w:rPr>
      </w:pPr>
      <w:r>
        <w:rPr>
          <w:b/>
          <w:i/>
          <w:sz w:val="24"/>
        </w:rPr>
        <w:t xml:space="preserve">Biennial. </w:t>
      </w:r>
      <w:r>
        <w:rPr>
          <w:sz w:val="24"/>
        </w:rPr>
        <w:t>Happening every two years.</w:t>
      </w:r>
    </w:p>
    <w:p w:rsidR="004E13A5" w:rsidRDefault="004E13A5">
      <w:pPr>
        <w:rPr>
          <w:sz w:val="24"/>
        </w:rPr>
        <w:sectPr w:rsidR="004E13A5">
          <w:footerReference w:type="default" r:id="rId103"/>
          <w:pgSz w:w="12240" w:h="15840"/>
          <w:pgMar w:top="1500" w:right="1340" w:bottom="280" w:left="1340" w:header="0" w:footer="0" w:gutter="0"/>
          <w:cols w:space="720"/>
        </w:sectPr>
      </w:pPr>
    </w:p>
    <w:p w:rsidR="004E13A5" w:rsidRDefault="00681463">
      <w:pPr>
        <w:pStyle w:val="BodyText"/>
        <w:spacing w:before="79"/>
        <w:ind w:left="460" w:right="106" w:hanging="360"/>
      </w:pPr>
      <w:r>
        <w:rPr>
          <w:b/>
          <w:i/>
        </w:rPr>
        <w:lastRenderedPageBreak/>
        <w:t xml:space="preserve">Bifurcate. </w:t>
      </w:r>
      <w:r>
        <w:t>With respect to a public housing or Section 8 lease, to divide a lease as a matter of law such that certain tenants can be evicted or removed while the remaining family</w:t>
      </w:r>
      <w:r>
        <w:rPr>
          <w:spacing w:val="-15"/>
        </w:rPr>
        <w:t xml:space="preserve"> </w:t>
      </w:r>
      <w:r>
        <w:t>members’ lease and occupancy rights are allowed to remain</w:t>
      </w:r>
      <w:r>
        <w:rPr>
          <w:spacing w:val="-11"/>
        </w:rPr>
        <w:t xml:space="preserve"> </w:t>
      </w:r>
      <w:r>
        <w:t>intact.</w:t>
      </w:r>
    </w:p>
    <w:p w:rsidR="004E13A5" w:rsidRDefault="00681463">
      <w:pPr>
        <w:pStyle w:val="BodyText"/>
        <w:ind w:left="460" w:right="108" w:hanging="360"/>
      </w:pPr>
      <w:r>
        <w:rPr>
          <w:b/>
          <w:i/>
        </w:rPr>
        <w:t xml:space="preserve">Budget authority. </w:t>
      </w:r>
      <w:r>
        <w:t>An amount authorized and appropriated by the Congress for payment to PHAs under the program. For each funding increment in a PHA program, budget authority is the maximum amount that may be paid by HUD to the PHA over the ACC term of the funding increment.</w:t>
      </w:r>
    </w:p>
    <w:p w:rsidR="004E13A5" w:rsidRDefault="00681463">
      <w:pPr>
        <w:pStyle w:val="BodyText"/>
        <w:ind w:left="460" w:right="262" w:hanging="360"/>
      </w:pPr>
      <w:r>
        <w:rPr>
          <w:b/>
          <w:i/>
        </w:rPr>
        <w:t xml:space="preserve">Child. </w:t>
      </w:r>
      <w:r>
        <w:rPr>
          <w:i/>
        </w:rPr>
        <w:t xml:space="preserve">A </w:t>
      </w:r>
      <w:r>
        <w:t>member of the family other than the family head or spouse who is under 18 years of age.</w:t>
      </w:r>
    </w:p>
    <w:p w:rsidR="004E13A5" w:rsidRDefault="00681463">
      <w:pPr>
        <w:pStyle w:val="BodyText"/>
        <w:ind w:left="460" w:right="95" w:hanging="360"/>
      </w:pPr>
      <w:r>
        <w:rPr>
          <w:b/>
          <w:i/>
        </w:rPr>
        <w:t>Child care expenses</w:t>
      </w:r>
      <w:r>
        <w:rPr>
          <w:b/>
        </w:rPr>
        <w:t xml:space="preserve">. </w:t>
      </w:r>
      <w:r>
        <w:t>Amounts anticipated to be paid by the family for the care of children under 13 years of age during the period for which annual income is computed, but only where such care is necessary to enable a family member to actively seek employment, be gainfully employed, or to further their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rsidR="004E13A5" w:rsidRDefault="00681463">
      <w:pPr>
        <w:spacing w:before="119"/>
        <w:ind w:left="100"/>
        <w:rPr>
          <w:sz w:val="24"/>
        </w:rPr>
      </w:pPr>
      <w:r>
        <w:rPr>
          <w:b/>
          <w:i/>
          <w:sz w:val="24"/>
        </w:rPr>
        <w:t xml:space="preserve">Citizen. </w:t>
      </w:r>
      <w:r>
        <w:rPr>
          <w:i/>
          <w:sz w:val="24"/>
        </w:rPr>
        <w:t xml:space="preserve">A </w:t>
      </w:r>
      <w:r>
        <w:rPr>
          <w:sz w:val="24"/>
        </w:rPr>
        <w:t>citizen or national of the United States.</w:t>
      </w:r>
    </w:p>
    <w:p w:rsidR="004E13A5" w:rsidRDefault="00681463">
      <w:pPr>
        <w:pStyle w:val="BodyText"/>
        <w:ind w:left="460" w:right="113" w:hanging="360"/>
      </w:pPr>
      <w:r>
        <w:rPr>
          <w:b/>
          <w:i/>
        </w:rPr>
        <w:t xml:space="preserve">Co-head. </w:t>
      </w:r>
      <w:r>
        <w:t>An individual in the household who is equally responsible for the lease with the head of household. A family may have a co-head or spouse but not both. A co-head never qualifies as a dependent. The co-head must have legal capacity to enter into a</w:t>
      </w:r>
      <w:r>
        <w:rPr>
          <w:spacing w:val="-12"/>
        </w:rPr>
        <w:t xml:space="preserve"> </w:t>
      </w:r>
      <w:r>
        <w:t>lease.</w:t>
      </w:r>
    </w:p>
    <w:p w:rsidR="004E13A5" w:rsidRDefault="00681463">
      <w:pPr>
        <w:pStyle w:val="BodyText"/>
        <w:ind w:left="460" w:right="262" w:hanging="360"/>
      </w:pPr>
      <w:r>
        <w:rPr>
          <w:b/>
          <w:i/>
        </w:rPr>
        <w:t>Common space</w:t>
      </w:r>
      <w:r>
        <w:rPr>
          <w:b/>
        </w:rPr>
        <w:t xml:space="preserve">. </w:t>
      </w:r>
      <w:r>
        <w:t>In shared housing, the space available for use by the assisted family and other occupants of the unit.</w:t>
      </w:r>
    </w:p>
    <w:p w:rsidR="004E13A5" w:rsidRDefault="00681463">
      <w:pPr>
        <w:pStyle w:val="BodyText"/>
        <w:spacing w:before="120"/>
      </w:pPr>
      <w:r>
        <w:rPr>
          <w:b/>
          <w:i/>
        </w:rPr>
        <w:t xml:space="preserve">Computer match. </w:t>
      </w:r>
      <w:r>
        <w:t>The automated comparison of databases containing records about individuals.</w:t>
      </w:r>
    </w:p>
    <w:p w:rsidR="004E13A5" w:rsidRDefault="00681463">
      <w:pPr>
        <w:spacing w:before="120"/>
        <w:ind w:left="460" w:right="1095" w:hanging="360"/>
        <w:rPr>
          <w:sz w:val="24"/>
        </w:rPr>
      </w:pPr>
      <w:r>
        <w:rPr>
          <w:b/>
          <w:i/>
          <w:sz w:val="24"/>
        </w:rPr>
        <w:t xml:space="preserve">Confirmatory review. </w:t>
      </w:r>
      <w:r>
        <w:rPr>
          <w:sz w:val="24"/>
        </w:rPr>
        <w:t>An on-site review performed by HUD to verify the management performance of a PHA.</w:t>
      </w:r>
    </w:p>
    <w:p w:rsidR="004E13A5" w:rsidRDefault="00681463">
      <w:pPr>
        <w:pStyle w:val="BodyText"/>
        <w:spacing w:before="120"/>
        <w:ind w:left="460" w:right="262" w:hanging="360"/>
      </w:pPr>
      <w:r>
        <w:rPr>
          <w:b/>
          <w:i/>
        </w:rPr>
        <w:t>Consent form</w:t>
      </w:r>
      <w:r>
        <w:rPr>
          <w:b/>
        </w:rPr>
        <w:t xml:space="preserve">. </w:t>
      </w:r>
      <w:r>
        <w:t>Any consent form approved by HUD to be signed by assistance applicants and participants to obtain income information from employers and SWICAs; return information from the Social Security Administration (including wages, net earnings from self- employment, and retirement income); and return information for unearned income from the IRS. Consent forms expire after a certain time and may authorize the collection of other information to determine eligibility or level of benefits.</w:t>
      </w:r>
    </w:p>
    <w:p w:rsidR="004E13A5" w:rsidRDefault="00681463">
      <w:pPr>
        <w:pStyle w:val="BodyText"/>
        <w:spacing w:before="120"/>
        <w:ind w:left="460" w:right="607" w:hanging="360"/>
      </w:pPr>
      <w:r>
        <w:rPr>
          <w:b/>
          <w:i/>
        </w:rPr>
        <w:t xml:space="preserve">Congregate housing. </w:t>
      </w:r>
      <w:r>
        <w:t xml:space="preserve">Housing for elderly persons or persons with disabilities that meets the </w:t>
      </w:r>
      <w:r w:rsidR="002C4221">
        <w:t>NSPIRE</w:t>
      </w:r>
      <w:r>
        <w:t xml:space="preserve"> for congregate housing. A special housing type: see 24 CFR 982.606–609.</w:t>
      </w:r>
    </w:p>
    <w:p w:rsidR="004E13A5" w:rsidRDefault="00681463">
      <w:pPr>
        <w:pStyle w:val="BodyText"/>
        <w:spacing w:before="120"/>
        <w:ind w:left="460" w:right="320" w:hanging="360"/>
      </w:pPr>
      <w:r>
        <w:rPr>
          <w:b/>
          <w:i/>
        </w:rPr>
        <w:t xml:space="preserve">Contiguous MSA. </w:t>
      </w:r>
      <w:r>
        <w:t>In portability (under subpart H of part 982): An MSA that shares a common boundary with the MSA in which the jurisdiction of the initial PHA is located.</w:t>
      </w:r>
    </w:p>
    <w:p w:rsidR="004E13A5" w:rsidRDefault="00681463">
      <w:pPr>
        <w:pStyle w:val="BodyText"/>
        <w:ind w:left="460" w:right="182" w:hanging="360"/>
      </w:pPr>
      <w:r>
        <w:rPr>
          <w:b/>
          <w:i/>
        </w:rPr>
        <w:t xml:space="preserve">Continuously assisted. </w:t>
      </w:r>
      <w:r>
        <w:t>An applicant is continuously assisted under the 1937 Act if the family is already receiving assistance under any 1937 Housing Act program when the family is admitted to the voucher program.</w:t>
      </w:r>
    </w:p>
    <w:p w:rsidR="004E13A5" w:rsidRDefault="00681463">
      <w:pPr>
        <w:spacing w:before="119"/>
        <w:ind w:left="100"/>
        <w:rPr>
          <w:sz w:val="24"/>
        </w:rPr>
      </w:pPr>
      <w:r>
        <w:rPr>
          <w:b/>
          <w:i/>
          <w:sz w:val="24"/>
        </w:rPr>
        <w:t xml:space="preserve">Contract authority. </w:t>
      </w:r>
      <w:r>
        <w:rPr>
          <w:sz w:val="24"/>
        </w:rPr>
        <w:t>The maximum annual payment by HUD to a PHA for a funding increment.</w:t>
      </w:r>
    </w:p>
    <w:p w:rsidR="004E13A5" w:rsidRDefault="004E13A5">
      <w:pPr>
        <w:rPr>
          <w:sz w:val="24"/>
        </w:rPr>
        <w:sectPr w:rsidR="004E13A5">
          <w:footerReference w:type="default" r:id="rId104"/>
          <w:pgSz w:w="12240" w:h="15840"/>
          <w:pgMar w:top="1360" w:right="1340" w:bottom="280" w:left="1340" w:header="0" w:footer="0" w:gutter="0"/>
          <w:cols w:space="720"/>
        </w:sectPr>
      </w:pPr>
    </w:p>
    <w:p w:rsidR="004E13A5" w:rsidRDefault="00681463">
      <w:pPr>
        <w:pStyle w:val="BodyText"/>
        <w:spacing w:before="79"/>
        <w:ind w:left="460" w:right="176" w:hanging="360"/>
      </w:pPr>
      <w:r>
        <w:rPr>
          <w:b/>
          <w:i/>
        </w:rPr>
        <w:lastRenderedPageBreak/>
        <w:t xml:space="preserve">Cooperative </w:t>
      </w:r>
      <w:r>
        <w:t>(term includes mutual housing). Housing owned by a nonprofit corporation or association, and where a member of the corporation or association has the right to reside in a particular apartment, and to participate in management of the housing. A special housing type (see 24 CFR 982.619).</w:t>
      </w:r>
    </w:p>
    <w:p w:rsidR="004E13A5" w:rsidRDefault="00681463">
      <w:pPr>
        <w:pStyle w:val="BodyText"/>
        <w:ind w:left="460" w:right="82" w:hanging="360"/>
      </w:pPr>
      <w:r>
        <w:rPr>
          <w:b/>
          <w:i/>
        </w:rPr>
        <w:t>Covered families</w:t>
      </w:r>
      <w:r>
        <w:rPr>
          <w:b/>
        </w:rPr>
        <w:t xml:space="preserve">. </w:t>
      </w:r>
      <w:r>
        <w:t>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 assistance.</w:t>
      </w:r>
    </w:p>
    <w:p w:rsidR="004E13A5" w:rsidRDefault="00681463">
      <w:pPr>
        <w:pStyle w:val="BodyText"/>
        <w:ind w:left="460" w:right="149" w:hanging="360"/>
      </w:pPr>
      <w:r>
        <w:rPr>
          <w:b/>
          <w:i/>
        </w:rPr>
        <w:t xml:space="preserve">Dating violence. </w:t>
      </w:r>
      <w:r>
        <w:t>Violence committed by a person who is or has been in a social relationship of a romantic or intimate nature with the victim; and where the existence of such a relationship shall be determined based on a consideration of the following factors:</w:t>
      </w:r>
    </w:p>
    <w:p w:rsidR="004E13A5" w:rsidRDefault="00681463">
      <w:pPr>
        <w:pStyle w:val="ListParagraph"/>
        <w:numPr>
          <w:ilvl w:val="0"/>
          <w:numId w:val="3"/>
        </w:numPr>
        <w:tabs>
          <w:tab w:val="left" w:pos="1180"/>
          <w:tab w:val="left" w:pos="1181"/>
        </w:tabs>
        <w:ind w:hanging="180"/>
        <w:rPr>
          <w:sz w:val="24"/>
        </w:rPr>
      </w:pPr>
      <w:r>
        <w:rPr>
          <w:sz w:val="24"/>
        </w:rPr>
        <w:t>The length of the</w:t>
      </w:r>
      <w:r>
        <w:rPr>
          <w:spacing w:val="-5"/>
          <w:sz w:val="24"/>
        </w:rPr>
        <w:t xml:space="preserve"> </w:t>
      </w:r>
      <w:r>
        <w:rPr>
          <w:sz w:val="24"/>
        </w:rPr>
        <w:t>relationship</w:t>
      </w:r>
    </w:p>
    <w:p w:rsidR="004E13A5" w:rsidRDefault="00681463">
      <w:pPr>
        <w:pStyle w:val="ListParagraph"/>
        <w:numPr>
          <w:ilvl w:val="0"/>
          <w:numId w:val="3"/>
        </w:numPr>
        <w:tabs>
          <w:tab w:val="left" w:pos="1180"/>
          <w:tab w:val="left" w:pos="1181"/>
        </w:tabs>
        <w:ind w:left="1180"/>
        <w:rPr>
          <w:sz w:val="24"/>
        </w:rPr>
      </w:pPr>
      <w:r>
        <w:rPr>
          <w:sz w:val="24"/>
        </w:rPr>
        <w:t>The type of</w:t>
      </w:r>
      <w:r>
        <w:rPr>
          <w:spacing w:val="-5"/>
          <w:sz w:val="24"/>
        </w:rPr>
        <w:t xml:space="preserve"> </w:t>
      </w:r>
      <w:r>
        <w:rPr>
          <w:sz w:val="24"/>
        </w:rPr>
        <w:t>relationship</w:t>
      </w:r>
    </w:p>
    <w:p w:rsidR="004E13A5" w:rsidRDefault="00681463">
      <w:pPr>
        <w:pStyle w:val="ListParagraph"/>
        <w:numPr>
          <w:ilvl w:val="0"/>
          <w:numId w:val="3"/>
        </w:numPr>
        <w:tabs>
          <w:tab w:val="left" w:pos="1180"/>
          <w:tab w:val="left" w:pos="1181"/>
        </w:tabs>
        <w:ind w:left="1180"/>
        <w:rPr>
          <w:sz w:val="24"/>
        </w:rPr>
      </w:pPr>
      <w:r>
        <w:rPr>
          <w:sz w:val="24"/>
        </w:rPr>
        <w:t>The frequency of interaction between the persons involved in the</w:t>
      </w:r>
      <w:r>
        <w:rPr>
          <w:spacing w:val="-13"/>
          <w:sz w:val="24"/>
        </w:rPr>
        <w:t xml:space="preserve"> </w:t>
      </w:r>
      <w:r>
        <w:rPr>
          <w:sz w:val="24"/>
        </w:rPr>
        <w:t>relationship</w:t>
      </w:r>
    </w:p>
    <w:p w:rsidR="004E13A5" w:rsidRDefault="00681463">
      <w:pPr>
        <w:pStyle w:val="BodyText"/>
        <w:ind w:left="460" w:right="388" w:hanging="360"/>
      </w:pPr>
      <w:r>
        <w:rPr>
          <w:b/>
          <w:i/>
        </w:rPr>
        <w:t>Dependent</w:t>
      </w:r>
      <w:r>
        <w:rPr>
          <w:b/>
        </w:rPr>
        <w:t xml:space="preserve">. </w:t>
      </w:r>
      <w:r>
        <w:t>A member of the family (except foster children and foster adults) other than the family head or spouse, who is under 18 years of age, or is a person with a disability, or is a full-time student.</w:t>
      </w:r>
    </w:p>
    <w:p w:rsidR="004E13A5" w:rsidRDefault="00681463">
      <w:pPr>
        <w:pStyle w:val="BodyText"/>
        <w:ind w:left="460" w:right="95" w:hanging="360"/>
      </w:pPr>
      <w:r>
        <w:rPr>
          <w:b/>
          <w:i/>
        </w:rPr>
        <w:t xml:space="preserve">Dependent child. </w:t>
      </w:r>
      <w:r>
        <w:t>In the context of the student eligibility restrictions</w:t>
      </w:r>
      <w:r>
        <w:rPr>
          <w:i/>
        </w:rPr>
        <w:t xml:space="preserve">, </w:t>
      </w:r>
      <w:r>
        <w:t xml:space="preserve">a dependent child of a student enrolled in an institution of higher education. The dependent child must also meet the definition of </w:t>
      </w:r>
      <w:r>
        <w:rPr>
          <w:i/>
        </w:rPr>
        <w:t xml:space="preserve">dependent </w:t>
      </w:r>
      <w:r>
        <w:t>as specified above.</w:t>
      </w:r>
    </w:p>
    <w:p w:rsidR="004E13A5" w:rsidRDefault="00681463">
      <w:pPr>
        <w:pStyle w:val="BodyText"/>
        <w:spacing w:before="120"/>
        <w:ind w:left="460" w:right="262" w:hanging="360"/>
      </w:pPr>
      <w:r>
        <w:rPr>
          <w:b/>
          <w:i/>
        </w:rPr>
        <w:t>Disability assistance expenses</w:t>
      </w:r>
      <w:r>
        <w:rPr>
          <w:b/>
        </w:rPr>
        <w:t xml:space="preserve">. </w:t>
      </w:r>
      <w:r>
        <w:t>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 source.</w:t>
      </w:r>
    </w:p>
    <w:p w:rsidR="004E13A5" w:rsidRDefault="00681463">
      <w:pPr>
        <w:pStyle w:val="BodyText"/>
        <w:spacing w:before="120"/>
        <w:ind w:left="460" w:right="262" w:hanging="360"/>
      </w:pPr>
      <w:r>
        <w:rPr>
          <w:b/>
          <w:i/>
        </w:rPr>
        <w:t>Disabled family</w:t>
      </w:r>
      <w:r>
        <w:rPr>
          <w:b/>
        </w:rPr>
        <w:t xml:space="preserve">. </w:t>
      </w:r>
      <w:r>
        <w:t>A family whose head, co-head, spouse, or sole member is a person with disabilities; two or more persons with disabilities living together; or one or more persons with disabilities living with one or more live-in aides.</w:t>
      </w:r>
    </w:p>
    <w:p w:rsidR="004E13A5" w:rsidRDefault="00681463">
      <w:pPr>
        <w:spacing w:before="120"/>
        <w:ind w:left="100"/>
        <w:rPr>
          <w:i/>
          <w:sz w:val="24"/>
        </w:rPr>
      </w:pPr>
      <w:r>
        <w:rPr>
          <w:b/>
          <w:i/>
          <w:sz w:val="24"/>
        </w:rPr>
        <w:t xml:space="preserve">Disabled person. </w:t>
      </w:r>
      <w:r>
        <w:rPr>
          <w:sz w:val="24"/>
        </w:rPr>
        <w:t xml:space="preserve">See </w:t>
      </w:r>
      <w:r>
        <w:rPr>
          <w:i/>
          <w:sz w:val="24"/>
        </w:rPr>
        <w:t>person with disabilities.</w:t>
      </w:r>
    </w:p>
    <w:p w:rsidR="004E13A5" w:rsidRDefault="00681463">
      <w:pPr>
        <w:spacing w:before="120"/>
        <w:ind w:left="100"/>
        <w:rPr>
          <w:sz w:val="24"/>
        </w:rPr>
      </w:pPr>
      <w:r>
        <w:rPr>
          <w:b/>
          <w:i/>
          <w:sz w:val="24"/>
        </w:rPr>
        <w:t xml:space="preserve">Disallowance. </w:t>
      </w:r>
      <w:r>
        <w:rPr>
          <w:sz w:val="24"/>
        </w:rPr>
        <w:t>Exclusion from annual income.</w:t>
      </w:r>
    </w:p>
    <w:p w:rsidR="004E13A5" w:rsidRDefault="00681463">
      <w:pPr>
        <w:pStyle w:val="BodyText"/>
        <w:spacing w:before="120"/>
        <w:ind w:left="460" w:right="162" w:hanging="360"/>
      </w:pPr>
      <w:r>
        <w:rPr>
          <w:b/>
          <w:i/>
        </w:rPr>
        <w:t>Displaced family</w:t>
      </w:r>
      <w:r>
        <w:rPr>
          <w:b/>
        </w:rPr>
        <w:t xml:space="preserve">. </w:t>
      </w:r>
      <w:r>
        <w:t>A family in which each member, or whose sole member, is a person displaced by governmental action, or a person whose dwelling has been extensively damaged or destroyed as a result of a disaster declared or otherwise formally recognized pursuant to federal disaster relief laws.</w:t>
      </w:r>
    </w:p>
    <w:p w:rsidR="004E13A5" w:rsidRDefault="00681463">
      <w:pPr>
        <w:pStyle w:val="BodyText"/>
        <w:spacing w:before="120"/>
        <w:ind w:left="460" w:right="122" w:hanging="360"/>
      </w:pPr>
      <w:r>
        <w:rPr>
          <w:b/>
          <w:i/>
        </w:rPr>
        <w:t xml:space="preserve">Domestic violence. </w:t>
      </w:r>
      <w:r>
        <w:t>Felony or misdemeanor crimes of violence committed by a 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w:t>
      </w:r>
    </w:p>
    <w:p w:rsidR="004E13A5" w:rsidRDefault="004E13A5">
      <w:pPr>
        <w:sectPr w:rsidR="004E13A5">
          <w:footerReference w:type="default" r:id="rId105"/>
          <w:pgSz w:w="12240" w:h="15840"/>
          <w:pgMar w:top="1360" w:right="1340" w:bottom="280" w:left="1340" w:header="0" w:footer="0" w:gutter="0"/>
          <w:cols w:space="720"/>
        </w:sectPr>
      </w:pPr>
    </w:p>
    <w:p w:rsidR="004E13A5" w:rsidRDefault="00681463">
      <w:pPr>
        <w:pStyle w:val="BodyText"/>
        <w:spacing w:before="79"/>
        <w:ind w:left="460" w:right="422"/>
      </w:pPr>
      <w:r>
        <w:lastRenderedPageBreak/>
        <w:t>who is protected from that person’s acts under the domestic or family violence laws of the jurisdiction.</w:t>
      </w:r>
    </w:p>
    <w:p w:rsidR="004E13A5" w:rsidRDefault="00681463">
      <w:pPr>
        <w:pStyle w:val="BodyText"/>
        <w:ind w:left="460" w:hanging="360"/>
      </w:pPr>
      <w:r>
        <w:rPr>
          <w:b/>
          <w:i/>
        </w:rPr>
        <w:t>Domicile</w:t>
      </w:r>
      <w:r>
        <w:rPr>
          <w:b/>
        </w:rPr>
        <w:t xml:space="preserve">. </w:t>
      </w:r>
      <w:r>
        <w:t>The legal residence of the household head or spouse as determined in accordance with state and local law.</w:t>
      </w:r>
    </w:p>
    <w:p w:rsidR="004E13A5" w:rsidRDefault="00681463">
      <w:pPr>
        <w:pStyle w:val="BodyText"/>
        <w:ind w:left="460" w:right="262" w:hanging="360"/>
      </w:pPr>
      <w:r>
        <w:rPr>
          <w:b/>
          <w:i/>
        </w:rPr>
        <w:t xml:space="preserve">Drug-related criminal activity. </w:t>
      </w:r>
      <w:r>
        <w:t>The illegal manufacture, sale, distribution, or use of a drug, or the possession of a drug with intent to manufacture, sell, distribute, or use the drug.</w:t>
      </w:r>
    </w:p>
    <w:p w:rsidR="004E13A5" w:rsidRDefault="00681463">
      <w:pPr>
        <w:pStyle w:val="BodyText"/>
        <w:ind w:left="460" w:right="203" w:hanging="360"/>
      </w:pPr>
      <w:r>
        <w:rPr>
          <w:b/>
          <w:i/>
        </w:rPr>
        <w:t>Economic self-sufficiency program</w:t>
      </w:r>
      <w:r>
        <w:rPr>
          <w:b/>
        </w:rPr>
        <w:t xml:space="preserve">. </w:t>
      </w:r>
      <w:r>
        <w:t>Any program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 5.603(c).</w:t>
      </w:r>
    </w:p>
    <w:p w:rsidR="004E13A5" w:rsidRDefault="00681463">
      <w:pPr>
        <w:pStyle w:val="BodyText"/>
        <w:ind w:left="460" w:right="89" w:hanging="360"/>
      </w:pPr>
      <w:r>
        <w:rPr>
          <w:b/>
          <w:i/>
        </w:rPr>
        <w:t>Elderly family</w:t>
      </w:r>
      <w:r>
        <w:rPr>
          <w:b/>
        </w:rPr>
        <w:t xml:space="preserve">. </w:t>
      </w:r>
      <w:r>
        <w:t>A family whose head, co-head, spouse, or sole member is a person who is at least 62 years of age; two or more persons who are at least 62 years of age living together; or one or more persons who are at least 62 years of age living with one or more live-in aides.</w:t>
      </w:r>
    </w:p>
    <w:p w:rsidR="004E13A5" w:rsidRDefault="00681463">
      <w:pPr>
        <w:spacing w:before="119"/>
        <w:ind w:left="100"/>
        <w:rPr>
          <w:sz w:val="24"/>
        </w:rPr>
      </w:pPr>
      <w:r>
        <w:rPr>
          <w:b/>
          <w:i/>
          <w:sz w:val="24"/>
        </w:rPr>
        <w:t>Elderly person</w:t>
      </w:r>
      <w:r>
        <w:rPr>
          <w:b/>
          <w:sz w:val="24"/>
        </w:rPr>
        <w:t xml:space="preserve">. </w:t>
      </w:r>
      <w:r>
        <w:rPr>
          <w:sz w:val="24"/>
        </w:rPr>
        <w:t>An individual who is at least 62 years of age.</w:t>
      </w:r>
    </w:p>
    <w:p w:rsidR="004E13A5" w:rsidRDefault="00681463">
      <w:pPr>
        <w:pStyle w:val="BodyText"/>
        <w:ind w:left="460" w:right="415" w:hanging="360"/>
        <w:rPr>
          <w:i/>
        </w:rPr>
      </w:pPr>
      <w:r>
        <w:rPr>
          <w:b/>
          <w:i/>
        </w:rPr>
        <w:t xml:space="preserve">Eligible family. </w:t>
      </w:r>
      <w:r>
        <w:t xml:space="preserve">A family that is income eligible and meets the other requirements of the 1937 Act and Part 5 of 24 CFR. See also </w:t>
      </w:r>
      <w:r>
        <w:rPr>
          <w:i/>
        </w:rPr>
        <w:t>family.</w:t>
      </w:r>
    </w:p>
    <w:p w:rsidR="004E13A5" w:rsidRDefault="00681463">
      <w:pPr>
        <w:spacing w:before="119"/>
        <w:ind w:left="460" w:right="262" w:hanging="360"/>
        <w:rPr>
          <w:sz w:val="24"/>
        </w:rPr>
      </w:pPr>
      <w:r>
        <w:rPr>
          <w:b/>
          <w:i/>
          <w:sz w:val="24"/>
        </w:rPr>
        <w:t>Employer identification number (EIN)</w:t>
      </w:r>
      <w:r>
        <w:rPr>
          <w:b/>
          <w:sz w:val="24"/>
        </w:rPr>
        <w:t xml:space="preserve">. </w:t>
      </w:r>
      <w:r>
        <w:rPr>
          <w:sz w:val="24"/>
        </w:rPr>
        <w:t>The nine-digit taxpayer identifying number that is assigned to an individual, trust, estate, partnership, association, company, or corporation.</w:t>
      </w:r>
    </w:p>
    <w:p w:rsidR="004E13A5" w:rsidRDefault="00681463">
      <w:pPr>
        <w:spacing w:before="119"/>
        <w:ind w:left="460" w:right="182" w:hanging="360"/>
        <w:rPr>
          <w:sz w:val="24"/>
        </w:rPr>
      </w:pPr>
      <w:r>
        <w:rPr>
          <w:b/>
          <w:i/>
          <w:sz w:val="24"/>
        </w:rPr>
        <w:t>Evidence of citizenship or eligible status</w:t>
      </w:r>
      <w:r>
        <w:rPr>
          <w:b/>
          <w:sz w:val="24"/>
        </w:rPr>
        <w:t xml:space="preserve">. </w:t>
      </w:r>
      <w:r>
        <w:rPr>
          <w:sz w:val="24"/>
        </w:rPr>
        <w:t>The documents which must be submitted as evidence of citizenship or eligible immigration status. See 24 CFR 5.508(b).</w:t>
      </w:r>
    </w:p>
    <w:p w:rsidR="004E13A5" w:rsidRDefault="00681463">
      <w:pPr>
        <w:pStyle w:val="BodyText"/>
        <w:ind w:left="460" w:right="330" w:hanging="360"/>
      </w:pPr>
      <w:r>
        <w:rPr>
          <w:b/>
          <w:i/>
        </w:rPr>
        <w:t xml:space="preserve">Extremely low-income family. </w:t>
      </w:r>
      <w:r>
        <w:t>A family whose annual income does not exceed the federal poverty level or 30 percent of the median income for the area, whichever number is higher. Area median income is determined by HUD, with adjustments for smaller and larger families. HUD may establish income ceilings higher or lower than 30 percent of median income if HUD finds such variations are necessary due to unusually high or low family incomes. See 24 CFR 5.603.</w:t>
      </w:r>
    </w:p>
    <w:p w:rsidR="004E13A5" w:rsidRDefault="00681463">
      <w:pPr>
        <w:pStyle w:val="BodyText"/>
        <w:ind w:left="460" w:right="94" w:hanging="360"/>
      </w:pPr>
      <w:r>
        <w:rPr>
          <w:b/>
          <w:i/>
        </w:rPr>
        <w:t xml:space="preserve">Facility. </w:t>
      </w:r>
      <w:r>
        <w:t>All or any portion of buildings, structures, equipment, roads, walks, parking lots, rolling stock, or other real or personal property or interest in the property.</w:t>
      </w:r>
    </w:p>
    <w:p w:rsidR="004E13A5" w:rsidRDefault="00681463">
      <w:pPr>
        <w:pStyle w:val="BodyText"/>
        <w:ind w:left="460" w:right="262" w:hanging="360"/>
      </w:pPr>
      <w:r>
        <w:rPr>
          <w:b/>
          <w:i/>
        </w:rPr>
        <w:t xml:space="preserve">Fair Housing Act. </w:t>
      </w:r>
      <w:r>
        <w:t>Title VIII of the Civil Rights Act of 1968, as amended by the Fair Housing Amendments Act of 1988.</w:t>
      </w:r>
    </w:p>
    <w:p w:rsidR="004E13A5" w:rsidRDefault="00681463">
      <w:pPr>
        <w:pStyle w:val="BodyText"/>
        <w:spacing w:before="120"/>
        <w:ind w:left="460" w:right="155" w:hanging="360"/>
      </w:pPr>
      <w:r>
        <w:rPr>
          <w:b/>
          <w:i/>
        </w:rPr>
        <w:t>Fair market rent (FMR)</w:t>
      </w:r>
      <w:r>
        <w:rPr>
          <w:b/>
        </w:rPr>
        <w:t xml:space="preserve">. </w:t>
      </w:r>
      <w:r>
        <w:t xml:space="preserve">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w:t>
      </w:r>
      <w:r>
        <w:rPr>
          <w:i/>
        </w:rPr>
        <w:t xml:space="preserve">Federal Register </w:t>
      </w:r>
      <w:r>
        <w:t>in accordance with 24 CFR Part 888.</w:t>
      </w:r>
    </w:p>
    <w:p w:rsidR="004E13A5" w:rsidRDefault="004E13A5">
      <w:pPr>
        <w:sectPr w:rsidR="004E13A5">
          <w:footerReference w:type="default" r:id="rId106"/>
          <w:pgSz w:w="12240" w:h="15840"/>
          <w:pgMar w:top="1360" w:right="1340" w:bottom="280" w:left="1340" w:header="0" w:footer="0" w:gutter="0"/>
          <w:cols w:space="720"/>
        </w:sectPr>
      </w:pPr>
    </w:p>
    <w:p w:rsidR="004E13A5" w:rsidRDefault="00681463">
      <w:pPr>
        <w:pStyle w:val="BodyText"/>
        <w:spacing w:before="79"/>
        <w:ind w:left="460" w:right="502" w:hanging="360"/>
      </w:pPr>
      <w:r>
        <w:rPr>
          <w:b/>
          <w:i/>
        </w:rPr>
        <w:lastRenderedPageBreak/>
        <w:t>Family</w:t>
      </w:r>
      <w:r>
        <w:rPr>
          <w:b/>
        </w:rPr>
        <w:t xml:space="preserve">. </w:t>
      </w:r>
      <w:r>
        <w:t>Includes but is not limited to the following, regardless of actual or perceived sexual orientation, gender identity, or marital status, and can be further defined in PHA policy.</w:t>
      </w:r>
    </w:p>
    <w:p w:rsidR="004E13A5" w:rsidRDefault="00681463">
      <w:pPr>
        <w:pStyle w:val="ListParagraph"/>
        <w:numPr>
          <w:ilvl w:val="0"/>
          <w:numId w:val="3"/>
        </w:numPr>
        <w:tabs>
          <w:tab w:val="left" w:pos="1180"/>
          <w:tab w:val="left" w:pos="1181"/>
        </w:tabs>
        <w:ind w:right="297" w:hanging="180"/>
        <w:rPr>
          <w:sz w:val="24"/>
        </w:rPr>
      </w:pPr>
      <w:r>
        <w:rPr>
          <w:sz w:val="24"/>
        </w:rPr>
        <w:t>A family with or without children (the temporary absence of a child from the</w:t>
      </w:r>
      <w:r>
        <w:rPr>
          <w:spacing w:val="-15"/>
          <w:sz w:val="24"/>
        </w:rPr>
        <w:t xml:space="preserve"> </w:t>
      </w:r>
      <w:r>
        <w:rPr>
          <w:sz w:val="24"/>
        </w:rPr>
        <w:t>home due to placement in foster care is not considered in determining family composition and family</w:t>
      </w:r>
      <w:r>
        <w:rPr>
          <w:spacing w:val="-5"/>
          <w:sz w:val="24"/>
        </w:rPr>
        <w:t xml:space="preserve"> </w:t>
      </w:r>
      <w:r>
        <w:rPr>
          <w:sz w:val="24"/>
        </w:rPr>
        <w:t>size)</w:t>
      </w:r>
    </w:p>
    <w:p w:rsidR="004E13A5" w:rsidRDefault="00681463">
      <w:pPr>
        <w:pStyle w:val="ListParagraph"/>
        <w:numPr>
          <w:ilvl w:val="0"/>
          <w:numId w:val="3"/>
        </w:numPr>
        <w:tabs>
          <w:tab w:val="left" w:pos="1180"/>
          <w:tab w:val="left" w:pos="1181"/>
        </w:tabs>
        <w:ind w:left="1180"/>
        <w:rPr>
          <w:sz w:val="24"/>
        </w:rPr>
      </w:pPr>
      <w:r>
        <w:rPr>
          <w:sz w:val="24"/>
        </w:rPr>
        <w:t>An elderly family or a near-elderly</w:t>
      </w:r>
      <w:r>
        <w:rPr>
          <w:spacing w:val="-6"/>
          <w:sz w:val="24"/>
        </w:rPr>
        <w:t xml:space="preserve"> </w:t>
      </w:r>
      <w:r>
        <w:rPr>
          <w:sz w:val="24"/>
        </w:rPr>
        <w:t>family</w:t>
      </w:r>
    </w:p>
    <w:p w:rsidR="004E13A5" w:rsidRDefault="00681463">
      <w:pPr>
        <w:pStyle w:val="ListParagraph"/>
        <w:numPr>
          <w:ilvl w:val="0"/>
          <w:numId w:val="3"/>
        </w:numPr>
        <w:tabs>
          <w:tab w:val="left" w:pos="1180"/>
          <w:tab w:val="left" w:pos="1181"/>
        </w:tabs>
        <w:ind w:left="1180"/>
        <w:rPr>
          <w:sz w:val="24"/>
        </w:rPr>
      </w:pPr>
      <w:r>
        <w:rPr>
          <w:sz w:val="24"/>
        </w:rPr>
        <w:t>A displaced</w:t>
      </w:r>
      <w:r>
        <w:rPr>
          <w:spacing w:val="-2"/>
          <w:sz w:val="24"/>
        </w:rPr>
        <w:t xml:space="preserve"> </w:t>
      </w:r>
      <w:r>
        <w:rPr>
          <w:sz w:val="24"/>
        </w:rPr>
        <w:t>family</w:t>
      </w:r>
    </w:p>
    <w:p w:rsidR="004E13A5" w:rsidRDefault="00681463">
      <w:pPr>
        <w:pStyle w:val="ListParagraph"/>
        <w:numPr>
          <w:ilvl w:val="0"/>
          <w:numId w:val="3"/>
        </w:numPr>
        <w:tabs>
          <w:tab w:val="left" w:pos="1180"/>
          <w:tab w:val="left" w:pos="1181"/>
        </w:tabs>
        <w:ind w:left="1180"/>
        <w:rPr>
          <w:sz w:val="24"/>
        </w:rPr>
      </w:pPr>
      <w:r>
        <w:rPr>
          <w:sz w:val="24"/>
        </w:rPr>
        <w:t>The remaining member of a tenant</w:t>
      </w:r>
      <w:r>
        <w:rPr>
          <w:spacing w:val="-5"/>
          <w:sz w:val="24"/>
        </w:rPr>
        <w:t xml:space="preserve"> </w:t>
      </w:r>
      <w:r>
        <w:rPr>
          <w:sz w:val="24"/>
        </w:rPr>
        <w:t>family</w:t>
      </w:r>
    </w:p>
    <w:p w:rsidR="004E13A5" w:rsidRDefault="00681463">
      <w:pPr>
        <w:pStyle w:val="ListParagraph"/>
        <w:numPr>
          <w:ilvl w:val="0"/>
          <w:numId w:val="3"/>
        </w:numPr>
        <w:tabs>
          <w:tab w:val="left" w:pos="1180"/>
          <w:tab w:val="left" w:pos="1181"/>
        </w:tabs>
        <w:ind w:right="1101" w:hanging="180"/>
        <w:rPr>
          <w:sz w:val="24"/>
        </w:rPr>
      </w:pPr>
      <w:r>
        <w:rPr>
          <w:sz w:val="24"/>
        </w:rPr>
        <w:t>A single person who is not an elderly or displaced person, or a person</w:t>
      </w:r>
      <w:r>
        <w:rPr>
          <w:spacing w:val="-10"/>
          <w:sz w:val="24"/>
        </w:rPr>
        <w:t xml:space="preserve"> </w:t>
      </w:r>
      <w:r>
        <w:rPr>
          <w:sz w:val="24"/>
        </w:rPr>
        <w:t>with disabilities, or the remaining member of a tenant</w:t>
      </w:r>
      <w:r>
        <w:rPr>
          <w:spacing w:val="-12"/>
          <w:sz w:val="24"/>
        </w:rPr>
        <w:t xml:space="preserve"> </w:t>
      </w:r>
      <w:r>
        <w:rPr>
          <w:sz w:val="24"/>
        </w:rPr>
        <w:t>family.</w:t>
      </w:r>
    </w:p>
    <w:p w:rsidR="004E13A5" w:rsidRDefault="00681463">
      <w:pPr>
        <w:spacing w:before="120"/>
        <w:ind w:left="100"/>
        <w:rPr>
          <w:sz w:val="24"/>
        </w:rPr>
      </w:pPr>
      <w:r>
        <w:rPr>
          <w:b/>
          <w:i/>
          <w:sz w:val="24"/>
        </w:rPr>
        <w:t xml:space="preserve">Family rent to owner. </w:t>
      </w:r>
      <w:r>
        <w:rPr>
          <w:sz w:val="24"/>
        </w:rPr>
        <w:t>In the voucher program, the portion of rent to owner paid by the family.</w:t>
      </w:r>
    </w:p>
    <w:p w:rsidR="004E13A5" w:rsidRDefault="00681463">
      <w:pPr>
        <w:pStyle w:val="BodyText"/>
        <w:spacing w:before="120"/>
        <w:ind w:left="460" w:right="201" w:hanging="360"/>
      </w:pPr>
      <w:r>
        <w:rPr>
          <w:b/>
          <w:i/>
        </w:rPr>
        <w:t xml:space="preserve">Family self-sufficiency program </w:t>
      </w:r>
      <w:r>
        <w:t>(FSS program). The program established by a PHA within its jurisdictionto promote self-sufficiency among participating families, including the coordination of supportive services to these families 24 CFR 984.103)..</w:t>
      </w:r>
    </w:p>
    <w:p w:rsidR="004E13A5" w:rsidRDefault="00681463">
      <w:pPr>
        <w:pStyle w:val="BodyText"/>
        <w:spacing w:before="120"/>
        <w:ind w:left="460" w:right="575" w:hanging="360"/>
      </w:pPr>
      <w:r>
        <w:rPr>
          <w:b/>
          <w:i/>
        </w:rPr>
        <w:t xml:space="preserve">Family share. </w:t>
      </w:r>
      <w:r>
        <w:t>The portion of rent and utilities paid by the family. For calculation of family share, see 24 CFR 982.515(a).</w:t>
      </w:r>
    </w:p>
    <w:p w:rsidR="004E13A5" w:rsidRDefault="00681463">
      <w:pPr>
        <w:pStyle w:val="BodyText"/>
        <w:spacing w:before="120"/>
        <w:ind w:left="460" w:hanging="360"/>
      </w:pPr>
      <w:r>
        <w:rPr>
          <w:b/>
          <w:i/>
        </w:rPr>
        <w:t xml:space="preserve">Family unit size. </w:t>
      </w:r>
      <w:r>
        <w:t>The appropriate number of bedrooms for a family, as determined by the PHA under the PHA subsidy standards.</w:t>
      </w:r>
    </w:p>
    <w:p w:rsidR="004E13A5" w:rsidRDefault="00681463">
      <w:pPr>
        <w:spacing w:before="120"/>
        <w:ind w:left="100"/>
        <w:rPr>
          <w:sz w:val="24"/>
        </w:rPr>
      </w:pPr>
      <w:r>
        <w:rPr>
          <w:b/>
          <w:i/>
          <w:sz w:val="24"/>
        </w:rPr>
        <w:t>Federal agency</w:t>
      </w:r>
      <w:r>
        <w:rPr>
          <w:b/>
          <w:sz w:val="24"/>
        </w:rPr>
        <w:t xml:space="preserve">. </w:t>
      </w:r>
      <w:r>
        <w:rPr>
          <w:sz w:val="24"/>
        </w:rPr>
        <w:t>A department of the executive branch of the federal government.</w:t>
      </w:r>
    </w:p>
    <w:p w:rsidR="004E13A5" w:rsidRDefault="00681463">
      <w:pPr>
        <w:pStyle w:val="BodyText"/>
        <w:spacing w:before="120"/>
        <w:ind w:left="460" w:hanging="360"/>
      </w:pPr>
      <w:r>
        <w:rPr>
          <w:b/>
          <w:i/>
        </w:rPr>
        <w:t>Foster child care payment</w:t>
      </w:r>
      <w:r>
        <w:rPr>
          <w:b/>
        </w:rPr>
        <w:t xml:space="preserve">. </w:t>
      </w:r>
      <w:r>
        <w:t>A payment to eligible households by state, local, or private agencies appointed by the state to administer payments for the care of foster children.</w:t>
      </w:r>
    </w:p>
    <w:p w:rsidR="004E13A5" w:rsidRDefault="00681463">
      <w:pPr>
        <w:pStyle w:val="BodyText"/>
        <w:spacing w:before="120"/>
        <w:ind w:left="460" w:right="156" w:hanging="360"/>
      </w:pPr>
      <w:r>
        <w:rPr>
          <w:b/>
          <w:i/>
        </w:rPr>
        <w:t xml:space="preserve">Full-time student. </w:t>
      </w:r>
      <w:r>
        <w:t>A person who is attending school or vocational training on a full-time basis (carrying a subject load that is considered full-time for day students under the standards and practices of the educational institution attended). See 24 CFR 5.603.</w:t>
      </w:r>
    </w:p>
    <w:p w:rsidR="004E13A5" w:rsidRDefault="00681463">
      <w:pPr>
        <w:pStyle w:val="BodyText"/>
        <w:ind w:left="460" w:right="847" w:hanging="360"/>
      </w:pPr>
      <w:r>
        <w:rPr>
          <w:b/>
          <w:i/>
        </w:rPr>
        <w:t xml:space="preserve">Funding increment. </w:t>
      </w:r>
      <w:r>
        <w:t>Each commitment of budget authority by HUD to a PHA under the consolidated annual contributions contract for the PHA program.</w:t>
      </w:r>
    </w:p>
    <w:p w:rsidR="004E13A5" w:rsidRDefault="00681463">
      <w:pPr>
        <w:spacing w:before="119"/>
        <w:ind w:left="100"/>
        <w:rPr>
          <w:sz w:val="24"/>
        </w:rPr>
      </w:pPr>
      <w:r>
        <w:rPr>
          <w:b/>
          <w:i/>
          <w:sz w:val="24"/>
        </w:rPr>
        <w:t xml:space="preserve">Gender identity. </w:t>
      </w:r>
      <w:r>
        <w:rPr>
          <w:sz w:val="24"/>
        </w:rPr>
        <w:t>Actual or perceived gender-related characteristics.</w:t>
      </w:r>
    </w:p>
    <w:p w:rsidR="004E13A5" w:rsidRDefault="00681463">
      <w:pPr>
        <w:pStyle w:val="BodyText"/>
      </w:pPr>
      <w:r>
        <w:rPr>
          <w:b/>
          <w:i/>
        </w:rPr>
        <w:t xml:space="preserve">Gross rent. </w:t>
      </w:r>
      <w:r>
        <w:t>The sum of the rent to owner plus any utility allowance.</w:t>
      </w:r>
    </w:p>
    <w:p w:rsidR="004E13A5" w:rsidRDefault="00681463">
      <w:pPr>
        <w:pStyle w:val="BodyText"/>
        <w:ind w:left="460" w:right="715" w:hanging="360"/>
      </w:pPr>
      <w:r>
        <w:rPr>
          <w:b/>
          <w:i/>
        </w:rPr>
        <w:t xml:space="preserve">Group home. </w:t>
      </w:r>
      <w:r>
        <w:t>A dwelling unit that is licensed by a state as a group home for the exclusive residential use of two to twelve persons who are elderly or persons with disabilities (including any live-in aide). (A special housing type: see 24 CFR 982.610–614.)</w:t>
      </w:r>
    </w:p>
    <w:p w:rsidR="004E13A5" w:rsidRDefault="00681463">
      <w:pPr>
        <w:spacing w:before="120"/>
        <w:ind w:left="460" w:hanging="360"/>
        <w:rPr>
          <w:sz w:val="24"/>
        </w:rPr>
      </w:pPr>
      <w:r>
        <w:rPr>
          <w:b/>
          <w:i/>
          <w:sz w:val="24"/>
        </w:rPr>
        <w:t>Handicap</w:t>
      </w:r>
      <w:r>
        <w:rPr>
          <w:b/>
          <w:sz w:val="24"/>
        </w:rPr>
        <w:t xml:space="preserve">. </w:t>
      </w:r>
      <w:r>
        <w:rPr>
          <w:sz w:val="24"/>
        </w:rPr>
        <w:t xml:space="preserve">Any condition or characteristic that renders a person an individual with handicaps. (See </w:t>
      </w:r>
      <w:r>
        <w:rPr>
          <w:i/>
          <w:sz w:val="24"/>
        </w:rPr>
        <w:t>person with disabilities</w:t>
      </w:r>
      <w:r>
        <w:rPr>
          <w:sz w:val="24"/>
        </w:rPr>
        <w:t>.)</w:t>
      </w:r>
    </w:p>
    <w:p w:rsidR="004E13A5" w:rsidRDefault="00681463">
      <w:pPr>
        <w:pStyle w:val="BodyText"/>
        <w:spacing w:before="120"/>
        <w:ind w:left="460" w:right="209" w:hanging="360"/>
      </w:pPr>
      <w:r>
        <w:rPr>
          <w:b/>
          <w:i/>
        </w:rPr>
        <w:t xml:space="preserve">HAP contract. </w:t>
      </w:r>
      <w:r>
        <w:t>The housing assistance payments contract. A written contract between the PHA and an owner for the purpose of providing housing assistance payments to the owner on behalf of an eligible family.</w:t>
      </w:r>
    </w:p>
    <w:p w:rsidR="004E13A5" w:rsidRDefault="00681463">
      <w:pPr>
        <w:pStyle w:val="BodyText"/>
        <w:spacing w:before="120"/>
        <w:ind w:left="460" w:hanging="360"/>
      </w:pPr>
      <w:r>
        <w:rPr>
          <w:b/>
          <w:i/>
        </w:rPr>
        <w:t xml:space="preserve">Head of household. </w:t>
      </w:r>
      <w:r>
        <w:t>The adult member of the family who is the head of the household for purposes of determining income eligibility and rent.</w:t>
      </w:r>
    </w:p>
    <w:p w:rsidR="004E13A5" w:rsidRDefault="004E13A5">
      <w:pPr>
        <w:sectPr w:rsidR="004E13A5">
          <w:footerReference w:type="default" r:id="rId107"/>
          <w:pgSz w:w="12240" w:h="15840"/>
          <w:pgMar w:top="1360" w:right="1440" w:bottom="280" w:left="1340" w:header="0" w:footer="0" w:gutter="0"/>
          <w:cols w:space="720"/>
        </w:sectPr>
      </w:pPr>
    </w:p>
    <w:p w:rsidR="004E13A5" w:rsidRDefault="00681463">
      <w:pPr>
        <w:pStyle w:val="BodyText"/>
        <w:spacing w:before="79"/>
        <w:ind w:left="460" w:right="62" w:hanging="360"/>
      </w:pPr>
      <w:r>
        <w:rPr>
          <w:b/>
          <w:i/>
        </w:rPr>
        <w:lastRenderedPageBreak/>
        <w:t xml:space="preserve">Household. </w:t>
      </w:r>
      <w:r>
        <w:t>A household includes additional people other than the family who, with the PHA’s permission, live in an assisted unit, such as live-in aides, foster children, and foster adults.</w:t>
      </w:r>
    </w:p>
    <w:p w:rsidR="004E13A5" w:rsidRDefault="00681463">
      <w:pPr>
        <w:pStyle w:val="BodyText"/>
        <w:ind w:left="460" w:right="62" w:hanging="360"/>
      </w:pPr>
      <w:r>
        <w:rPr>
          <w:b/>
          <w:i/>
        </w:rPr>
        <w:t xml:space="preserve">Housing assistance payment. </w:t>
      </w:r>
      <w:r>
        <w:t>The monthly assistance payment by a PHA, which includes: (1) A payment to the owner for rent to the owner under the family's lease; and (2) An additional payment to the family if the total assistance payment exceeds the rent to owner.</w:t>
      </w:r>
    </w:p>
    <w:p w:rsidR="004E13A5" w:rsidRDefault="00681463">
      <w:pPr>
        <w:spacing w:before="119"/>
        <w:ind w:left="100"/>
        <w:rPr>
          <w:i/>
          <w:sz w:val="24"/>
        </w:rPr>
      </w:pPr>
      <w:r>
        <w:rPr>
          <w:b/>
          <w:i/>
          <w:sz w:val="24"/>
        </w:rPr>
        <w:t xml:space="preserve">Housing agency (HA). </w:t>
      </w:r>
      <w:r>
        <w:rPr>
          <w:sz w:val="24"/>
        </w:rPr>
        <w:t xml:space="preserve">See </w:t>
      </w:r>
      <w:r>
        <w:rPr>
          <w:i/>
          <w:sz w:val="24"/>
        </w:rPr>
        <w:t>public housing agency.</w:t>
      </w:r>
    </w:p>
    <w:p w:rsidR="004E13A5" w:rsidRDefault="00681463">
      <w:pPr>
        <w:spacing w:before="119"/>
        <w:ind w:left="460" w:right="62" w:hanging="360"/>
        <w:rPr>
          <w:sz w:val="24"/>
        </w:rPr>
      </w:pPr>
      <w:r>
        <w:rPr>
          <w:b/>
          <w:i/>
          <w:sz w:val="24"/>
        </w:rPr>
        <w:t>Housing quality standards (</w:t>
      </w:r>
      <w:r w:rsidR="002C4221">
        <w:rPr>
          <w:b/>
          <w:i/>
          <w:sz w:val="24"/>
        </w:rPr>
        <w:t>NSPIRE</w:t>
      </w:r>
      <w:r>
        <w:rPr>
          <w:b/>
          <w:i/>
          <w:sz w:val="24"/>
        </w:rPr>
        <w:t xml:space="preserve">). </w:t>
      </w:r>
      <w:r>
        <w:rPr>
          <w:sz w:val="24"/>
        </w:rPr>
        <w:t>The HUD minimum quality standards for housing assisted under the voucher program.</w:t>
      </w:r>
    </w:p>
    <w:p w:rsidR="004E13A5" w:rsidRDefault="00681463">
      <w:pPr>
        <w:pStyle w:val="BodyText"/>
      </w:pPr>
      <w:r>
        <w:rPr>
          <w:b/>
          <w:i/>
        </w:rPr>
        <w:t xml:space="preserve">HUD. </w:t>
      </w:r>
      <w:r>
        <w:t>The U.S. Department of Housing and Urban Development.</w:t>
      </w:r>
    </w:p>
    <w:p w:rsidR="004E13A5" w:rsidRDefault="00681463">
      <w:pPr>
        <w:pStyle w:val="BodyText"/>
        <w:ind w:left="460" w:right="995" w:hanging="360"/>
      </w:pPr>
      <w:r>
        <w:rPr>
          <w:b/>
          <w:i/>
        </w:rPr>
        <w:t xml:space="preserve">Imputed asset. </w:t>
      </w:r>
      <w:r>
        <w:t>An asset disposed of for less than fair market value during the two years preceding examination or reexamination.</w:t>
      </w:r>
    </w:p>
    <w:p w:rsidR="004E13A5" w:rsidRDefault="00681463">
      <w:pPr>
        <w:pStyle w:val="BodyText"/>
        <w:spacing w:before="120"/>
        <w:ind w:left="460" w:right="208" w:hanging="360"/>
      </w:pPr>
      <w:r>
        <w:rPr>
          <w:b/>
          <w:i/>
        </w:rPr>
        <w:t xml:space="preserve">Imputed asset income. </w:t>
      </w:r>
      <w:r>
        <w:t>The PHA-established passbook rate multiplied by the total cash value of assets. The calculation is used when net family assets exceed $5,000.</w:t>
      </w:r>
    </w:p>
    <w:p w:rsidR="004E13A5" w:rsidRDefault="00681463">
      <w:pPr>
        <w:pStyle w:val="BodyText"/>
        <w:spacing w:before="120"/>
        <w:ind w:left="460" w:right="249" w:hanging="360"/>
      </w:pPr>
      <w:r>
        <w:rPr>
          <w:b/>
          <w:i/>
        </w:rPr>
        <w:t xml:space="preserve">Imputed welfare income. </w:t>
      </w:r>
      <w:r>
        <w:t>An amount of annual income that is not actually received by a family as a result of a specified welfare benefit reduction, but is included in the family’s annual income and therefore reflected in the family’s rental contribution.</w:t>
      </w:r>
    </w:p>
    <w:p w:rsidR="004E13A5" w:rsidRDefault="00681463">
      <w:pPr>
        <w:pStyle w:val="BodyText"/>
        <w:spacing w:before="120"/>
        <w:ind w:left="460" w:right="62" w:hanging="360"/>
      </w:pPr>
      <w:r>
        <w:rPr>
          <w:b/>
          <w:i/>
        </w:rPr>
        <w:t>Income</w:t>
      </w:r>
      <w:r>
        <w:rPr>
          <w:b/>
        </w:rPr>
        <w:t xml:space="preserve">. </w:t>
      </w:r>
      <w:r>
        <w:t>Income from all sources of each member of the household, as determined in accordance with criteria established by HUD.</w:t>
      </w:r>
    </w:p>
    <w:p w:rsidR="004E13A5" w:rsidRDefault="00681463">
      <w:pPr>
        <w:spacing w:before="120"/>
        <w:ind w:left="100"/>
        <w:rPr>
          <w:sz w:val="24"/>
        </w:rPr>
      </w:pPr>
      <w:r>
        <w:rPr>
          <w:b/>
          <w:i/>
          <w:sz w:val="24"/>
        </w:rPr>
        <w:t xml:space="preserve">Income for eligibility. </w:t>
      </w:r>
      <w:r>
        <w:rPr>
          <w:sz w:val="24"/>
        </w:rPr>
        <w:t>Annual income.</w:t>
      </w:r>
    </w:p>
    <w:p w:rsidR="004E13A5" w:rsidRDefault="00681463">
      <w:pPr>
        <w:spacing w:before="120"/>
        <w:ind w:left="100"/>
        <w:rPr>
          <w:sz w:val="24"/>
        </w:rPr>
      </w:pPr>
      <w:r>
        <w:rPr>
          <w:b/>
          <w:i/>
          <w:sz w:val="24"/>
        </w:rPr>
        <w:t xml:space="preserve">Income information </w:t>
      </w:r>
      <w:r>
        <w:rPr>
          <w:sz w:val="24"/>
        </w:rPr>
        <w:t>means information relating to an individual’s income, including:</w:t>
      </w:r>
    </w:p>
    <w:p w:rsidR="004E13A5" w:rsidRDefault="00681463">
      <w:pPr>
        <w:pStyle w:val="ListParagraph"/>
        <w:numPr>
          <w:ilvl w:val="0"/>
          <w:numId w:val="3"/>
        </w:numPr>
        <w:tabs>
          <w:tab w:val="left" w:pos="1180"/>
          <w:tab w:val="left" w:pos="1181"/>
        </w:tabs>
        <w:spacing w:before="120"/>
        <w:ind w:right="115" w:hanging="180"/>
        <w:rPr>
          <w:sz w:val="24"/>
        </w:rPr>
      </w:pPr>
      <w:r>
        <w:rPr>
          <w:sz w:val="24"/>
        </w:rPr>
        <w:t>All employment income information known to current or previous employers or</w:t>
      </w:r>
      <w:r>
        <w:rPr>
          <w:spacing w:val="-10"/>
          <w:sz w:val="24"/>
        </w:rPr>
        <w:t xml:space="preserve"> </w:t>
      </w:r>
      <w:r>
        <w:rPr>
          <w:sz w:val="24"/>
        </w:rPr>
        <w:t>other income</w:t>
      </w:r>
      <w:r>
        <w:rPr>
          <w:spacing w:val="-5"/>
          <w:sz w:val="24"/>
        </w:rPr>
        <w:t xml:space="preserve"> </w:t>
      </w:r>
      <w:r>
        <w:rPr>
          <w:sz w:val="24"/>
        </w:rPr>
        <w:t>sources</w:t>
      </w:r>
    </w:p>
    <w:p w:rsidR="004E13A5" w:rsidRDefault="00681463">
      <w:pPr>
        <w:pStyle w:val="ListParagraph"/>
        <w:numPr>
          <w:ilvl w:val="0"/>
          <w:numId w:val="3"/>
        </w:numPr>
        <w:tabs>
          <w:tab w:val="left" w:pos="1180"/>
          <w:tab w:val="left" w:pos="1181"/>
        </w:tabs>
        <w:spacing w:before="120"/>
        <w:ind w:right="372" w:hanging="180"/>
        <w:rPr>
          <w:sz w:val="24"/>
        </w:rPr>
      </w:pPr>
      <w:r>
        <w:rPr>
          <w:sz w:val="24"/>
        </w:rPr>
        <w:t>All information about wages, as defined in the state's unemployment compensation law, including any social security number; name of the employee; quarterly wages of</w:t>
      </w:r>
      <w:r>
        <w:rPr>
          <w:spacing w:val="-17"/>
          <w:sz w:val="24"/>
        </w:rPr>
        <w:t xml:space="preserve"> </w:t>
      </w:r>
      <w:r>
        <w:rPr>
          <w:sz w:val="24"/>
        </w:rPr>
        <w:t>the employee; and the name, full address, telephone number, and, when known, employer identification number of an employer reporting wages under a state unemployment compensation</w:t>
      </w:r>
      <w:r>
        <w:rPr>
          <w:spacing w:val="-4"/>
          <w:sz w:val="24"/>
        </w:rPr>
        <w:t xml:space="preserve"> </w:t>
      </w:r>
      <w:r>
        <w:rPr>
          <w:sz w:val="24"/>
        </w:rPr>
        <w:t>law</w:t>
      </w:r>
    </w:p>
    <w:p w:rsidR="004E13A5" w:rsidRDefault="00681463">
      <w:pPr>
        <w:pStyle w:val="ListParagraph"/>
        <w:numPr>
          <w:ilvl w:val="0"/>
          <w:numId w:val="3"/>
        </w:numPr>
        <w:tabs>
          <w:tab w:val="left" w:pos="1180"/>
          <w:tab w:val="left" w:pos="1181"/>
        </w:tabs>
        <w:spacing w:before="120"/>
        <w:ind w:right="423" w:hanging="180"/>
        <w:rPr>
          <w:sz w:val="24"/>
        </w:rPr>
      </w:pPr>
      <w:r>
        <w:rPr>
          <w:sz w:val="24"/>
        </w:rPr>
        <w:t>Whether an individual is receiving, has received, or has applied for</w:t>
      </w:r>
      <w:r>
        <w:rPr>
          <w:spacing w:val="-14"/>
          <w:sz w:val="24"/>
        </w:rPr>
        <w:t xml:space="preserve"> </w:t>
      </w:r>
      <w:r>
        <w:rPr>
          <w:sz w:val="24"/>
        </w:rPr>
        <w:t>unemployment compensation, and the amount and the period</w:t>
      </w:r>
      <w:r>
        <w:rPr>
          <w:spacing w:val="-6"/>
          <w:sz w:val="24"/>
        </w:rPr>
        <w:t xml:space="preserve"> </w:t>
      </w:r>
      <w:r>
        <w:rPr>
          <w:sz w:val="24"/>
        </w:rPr>
        <w:t>received</w:t>
      </w:r>
    </w:p>
    <w:p w:rsidR="004E13A5" w:rsidRDefault="00681463">
      <w:pPr>
        <w:pStyle w:val="ListParagraph"/>
        <w:numPr>
          <w:ilvl w:val="0"/>
          <w:numId w:val="3"/>
        </w:numPr>
        <w:tabs>
          <w:tab w:val="left" w:pos="1180"/>
          <w:tab w:val="left" w:pos="1181"/>
        </w:tabs>
        <w:spacing w:before="120"/>
        <w:ind w:left="1180"/>
        <w:rPr>
          <w:sz w:val="24"/>
        </w:rPr>
      </w:pPr>
      <w:r>
        <w:rPr>
          <w:sz w:val="24"/>
        </w:rPr>
        <w:t>Unearned IRS income and self-employment, wages, and retirement</w:t>
      </w:r>
      <w:r>
        <w:rPr>
          <w:spacing w:val="-12"/>
          <w:sz w:val="24"/>
        </w:rPr>
        <w:t xml:space="preserve"> </w:t>
      </w:r>
      <w:r>
        <w:rPr>
          <w:sz w:val="24"/>
        </w:rPr>
        <w:t>income</w:t>
      </w:r>
    </w:p>
    <w:p w:rsidR="004E13A5" w:rsidRDefault="00681463">
      <w:pPr>
        <w:pStyle w:val="ListParagraph"/>
        <w:numPr>
          <w:ilvl w:val="0"/>
          <w:numId w:val="3"/>
        </w:numPr>
        <w:tabs>
          <w:tab w:val="left" w:pos="1180"/>
          <w:tab w:val="left" w:pos="1181"/>
        </w:tabs>
        <w:spacing w:before="120"/>
        <w:ind w:right="681" w:hanging="180"/>
        <w:rPr>
          <w:sz w:val="24"/>
        </w:rPr>
      </w:pPr>
      <w:r>
        <w:rPr>
          <w:sz w:val="24"/>
        </w:rPr>
        <w:t>Wage, social security, and supplemental security income data obtained from</w:t>
      </w:r>
      <w:r>
        <w:rPr>
          <w:spacing w:val="-12"/>
          <w:sz w:val="24"/>
        </w:rPr>
        <w:t xml:space="preserve"> </w:t>
      </w:r>
      <w:r>
        <w:rPr>
          <w:sz w:val="24"/>
        </w:rPr>
        <w:t>the Social Security</w:t>
      </w:r>
      <w:r>
        <w:rPr>
          <w:spacing w:val="-7"/>
          <w:sz w:val="24"/>
        </w:rPr>
        <w:t xml:space="preserve"> </w:t>
      </w:r>
      <w:r>
        <w:rPr>
          <w:sz w:val="24"/>
        </w:rPr>
        <w:t>Administration.</w:t>
      </w:r>
    </w:p>
    <w:p w:rsidR="004E13A5" w:rsidRDefault="00681463">
      <w:pPr>
        <w:spacing w:before="120"/>
        <w:ind w:left="100"/>
        <w:rPr>
          <w:i/>
          <w:sz w:val="24"/>
        </w:rPr>
      </w:pPr>
      <w:r>
        <w:rPr>
          <w:b/>
          <w:i/>
          <w:sz w:val="24"/>
        </w:rPr>
        <w:t>Individual with handicaps</w:t>
      </w:r>
      <w:r>
        <w:rPr>
          <w:b/>
          <w:sz w:val="24"/>
        </w:rPr>
        <w:t xml:space="preserve">. </w:t>
      </w:r>
      <w:r>
        <w:rPr>
          <w:sz w:val="24"/>
        </w:rPr>
        <w:t xml:space="preserve">See </w:t>
      </w:r>
      <w:r>
        <w:rPr>
          <w:i/>
          <w:sz w:val="24"/>
        </w:rPr>
        <w:t>person with disabilities.</w:t>
      </w:r>
    </w:p>
    <w:p w:rsidR="004E13A5" w:rsidRDefault="00681463">
      <w:pPr>
        <w:pStyle w:val="BodyText"/>
        <w:spacing w:before="120"/>
        <w:ind w:left="460" w:right="358" w:hanging="360"/>
        <w:jc w:val="both"/>
      </w:pPr>
      <w:r>
        <w:rPr>
          <w:b/>
          <w:i/>
        </w:rPr>
        <w:t>Initial PHA</w:t>
      </w:r>
      <w:r>
        <w:rPr>
          <w:b/>
        </w:rPr>
        <w:t xml:space="preserve">. </w:t>
      </w:r>
      <w:r>
        <w:t>In portability, the term refers to both: (1) A PHA that originally selected a family that later decides to move out of the jurisdiction of the selecting PHA; and (2) A PHA that absorbed a family that later decides to move out of the jurisdiction of the absorbing PHA.</w:t>
      </w:r>
    </w:p>
    <w:p w:rsidR="004E13A5" w:rsidRDefault="00681463">
      <w:pPr>
        <w:spacing w:before="120"/>
        <w:ind w:left="100"/>
        <w:rPr>
          <w:sz w:val="24"/>
        </w:rPr>
      </w:pPr>
      <w:r>
        <w:rPr>
          <w:b/>
          <w:i/>
          <w:sz w:val="24"/>
        </w:rPr>
        <w:t xml:space="preserve">Initial payment standard. </w:t>
      </w:r>
      <w:r>
        <w:rPr>
          <w:sz w:val="24"/>
        </w:rPr>
        <w:t>The payment standard at the beginning of the HAP contract term.</w:t>
      </w:r>
    </w:p>
    <w:p w:rsidR="004E13A5" w:rsidRDefault="00681463">
      <w:pPr>
        <w:spacing w:before="120"/>
        <w:ind w:left="100"/>
        <w:rPr>
          <w:sz w:val="24"/>
        </w:rPr>
      </w:pPr>
      <w:r>
        <w:rPr>
          <w:b/>
          <w:i/>
          <w:sz w:val="24"/>
        </w:rPr>
        <w:t xml:space="preserve">Initial rent to owner. </w:t>
      </w:r>
      <w:r>
        <w:rPr>
          <w:sz w:val="24"/>
        </w:rPr>
        <w:t>The rent to owner at the beginning of the HAP contract term.</w:t>
      </w:r>
    </w:p>
    <w:p w:rsidR="004E13A5" w:rsidRDefault="004E13A5">
      <w:pPr>
        <w:rPr>
          <w:sz w:val="24"/>
        </w:rPr>
        <w:sectPr w:rsidR="004E13A5">
          <w:footerReference w:type="default" r:id="rId108"/>
          <w:pgSz w:w="12240" w:h="15840"/>
          <w:pgMar w:top="1360" w:right="1360" w:bottom="280" w:left="1340" w:header="0" w:footer="0" w:gutter="0"/>
          <w:cols w:space="720"/>
        </w:sectPr>
      </w:pPr>
    </w:p>
    <w:p w:rsidR="004E13A5" w:rsidRDefault="00681463">
      <w:pPr>
        <w:spacing w:before="79"/>
        <w:ind w:left="460" w:right="186" w:hanging="360"/>
        <w:rPr>
          <w:sz w:val="24"/>
        </w:rPr>
      </w:pPr>
      <w:r>
        <w:rPr>
          <w:b/>
          <w:i/>
          <w:sz w:val="24"/>
        </w:rPr>
        <w:lastRenderedPageBreak/>
        <w:t xml:space="preserve">Institution of higher education. </w:t>
      </w:r>
      <w:r>
        <w:rPr>
          <w:sz w:val="24"/>
        </w:rPr>
        <w:t>An institution of higher education as defined in 20 U.S.C. 1001 and 1002. See Exhibit 3-2 in this Administrative Plan.</w:t>
      </w:r>
    </w:p>
    <w:p w:rsidR="004E13A5" w:rsidRDefault="00681463">
      <w:pPr>
        <w:pStyle w:val="BodyText"/>
        <w:ind w:left="460" w:right="88" w:hanging="360"/>
      </w:pPr>
      <w:r>
        <w:rPr>
          <w:b/>
          <w:i/>
        </w:rPr>
        <w:t>Jurisdiction</w:t>
      </w:r>
      <w:r>
        <w:rPr>
          <w:b/>
        </w:rPr>
        <w:t xml:space="preserve">. </w:t>
      </w:r>
      <w:r>
        <w:t>The area in which the PHA has authority under state and local law to administer the program.</w:t>
      </w:r>
    </w:p>
    <w:p w:rsidR="004E13A5" w:rsidRDefault="00681463">
      <w:pPr>
        <w:pStyle w:val="BodyText"/>
        <w:ind w:left="460" w:right="189" w:hanging="360"/>
      </w:pPr>
      <w:r>
        <w:rPr>
          <w:b/>
          <w:i/>
        </w:rPr>
        <w:t>Landlord</w:t>
      </w:r>
      <w:r>
        <w:rPr>
          <w:b/>
        </w:rPr>
        <w:t xml:space="preserve">. </w:t>
      </w:r>
      <w:r>
        <w:t>Either the owner of the property or theirtheir representative, or the managing agent or theirtheir representative, as shall be designated by the owner.</w:t>
      </w:r>
    </w:p>
    <w:p w:rsidR="004E13A5" w:rsidRDefault="00681463">
      <w:pPr>
        <w:pStyle w:val="BodyText"/>
        <w:ind w:left="460" w:right="309" w:hanging="360"/>
      </w:pPr>
      <w:r>
        <w:rPr>
          <w:b/>
          <w:i/>
        </w:rPr>
        <w:t>Lease</w:t>
      </w:r>
      <w:r>
        <w:rPr>
          <w:b/>
        </w:rPr>
        <w:t xml:space="preserve">. </w:t>
      </w:r>
      <w:r>
        <w:t>A written agreement between an owner and a tenant for the leasing of a dwelling unit to the tenant. The lease establishes the conditions for occupancy of the dwelling unit by a family with housing assistance payments under a HAP contract between the owner and the PHA.</w:t>
      </w:r>
    </w:p>
    <w:p w:rsidR="004E13A5" w:rsidRDefault="00681463">
      <w:pPr>
        <w:pStyle w:val="BodyText"/>
        <w:ind w:left="460" w:right="189" w:hanging="360"/>
      </w:pPr>
      <w:r>
        <w:rPr>
          <w:b/>
          <w:i/>
        </w:rPr>
        <w:t>Live-in aide</w:t>
      </w:r>
      <w:r>
        <w:rPr>
          <w:b/>
        </w:rPr>
        <w:t xml:space="preserve">. </w:t>
      </w:r>
      <w:r>
        <w:t>A person who resides with one or more elderly persons, or near-elderly persons, or persons with disabilities, and who:</w:t>
      </w:r>
    </w:p>
    <w:p w:rsidR="004E13A5" w:rsidRDefault="00681463">
      <w:pPr>
        <w:pStyle w:val="ListParagraph"/>
        <w:numPr>
          <w:ilvl w:val="0"/>
          <w:numId w:val="3"/>
        </w:numPr>
        <w:tabs>
          <w:tab w:val="left" w:pos="1180"/>
          <w:tab w:val="left" w:pos="1181"/>
        </w:tabs>
        <w:ind w:left="1180"/>
        <w:rPr>
          <w:sz w:val="24"/>
        </w:rPr>
      </w:pPr>
      <w:r>
        <w:rPr>
          <w:sz w:val="24"/>
        </w:rPr>
        <w:t>Is determined to be essential to the care and well-being of the</w:t>
      </w:r>
      <w:r>
        <w:rPr>
          <w:spacing w:val="-13"/>
          <w:sz w:val="24"/>
        </w:rPr>
        <w:t xml:space="preserve"> </w:t>
      </w:r>
      <w:r>
        <w:rPr>
          <w:sz w:val="24"/>
        </w:rPr>
        <w:t>persons;</w:t>
      </w:r>
    </w:p>
    <w:p w:rsidR="004E13A5" w:rsidRDefault="00681463">
      <w:pPr>
        <w:pStyle w:val="ListParagraph"/>
        <w:numPr>
          <w:ilvl w:val="0"/>
          <w:numId w:val="3"/>
        </w:numPr>
        <w:tabs>
          <w:tab w:val="left" w:pos="1180"/>
          <w:tab w:val="left" w:pos="1181"/>
        </w:tabs>
        <w:ind w:left="1180"/>
        <w:rPr>
          <w:sz w:val="24"/>
        </w:rPr>
      </w:pPr>
      <w:r>
        <w:rPr>
          <w:sz w:val="24"/>
        </w:rPr>
        <w:t>Is not obligated for the support of the persons;</w:t>
      </w:r>
      <w:r>
        <w:rPr>
          <w:spacing w:val="-8"/>
          <w:sz w:val="24"/>
        </w:rPr>
        <w:t xml:space="preserve"> </w:t>
      </w:r>
      <w:r>
        <w:rPr>
          <w:sz w:val="24"/>
        </w:rPr>
        <w:t>and</w:t>
      </w:r>
    </w:p>
    <w:p w:rsidR="004E13A5" w:rsidRDefault="00681463">
      <w:pPr>
        <w:pStyle w:val="ListParagraph"/>
        <w:numPr>
          <w:ilvl w:val="0"/>
          <w:numId w:val="3"/>
        </w:numPr>
        <w:tabs>
          <w:tab w:val="left" w:pos="1180"/>
          <w:tab w:val="left" w:pos="1181"/>
        </w:tabs>
        <w:ind w:left="1180"/>
        <w:rPr>
          <w:sz w:val="24"/>
        </w:rPr>
      </w:pPr>
      <w:r>
        <w:rPr>
          <w:sz w:val="24"/>
        </w:rPr>
        <w:t>Would not be living in the unit except to provide the necessary supportive</w:t>
      </w:r>
      <w:r>
        <w:rPr>
          <w:spacing w:val="-16"/>
          <w:sz w:val="24"/>
        </w:rPr>
        <w:t xml:space="preserve"> </w:t>
      </w:r>
      <w:r>
        <w:rPr>
          <w:sz w:val="24"/>
        </w:rPr>
        <w:t>services.</w:t>
      </w:r>
    </w:p>
    <w:p w:rsidR="004E13A5" w:rsidRDefault="00681463">
      <w:pPr>
        <w:pStyle w:val="BodyText"/>
        <w:ind w:left="460" w:right="488" w:hanging="360"/>
      </w:pPr>
      <w:r>
        <w:rPr>
          <w:b/>
          <w:i/>
        </w:rPr>
        <w:t xml:space="preserve">Living/sleeping room. </w:t>
      </w:r>
      <w:r>
        <w:t>A living room may be used as sleeping (bedroom) space, but no more than two persons may occupy the space. A bedroom or living/sleeping room must have at least one window and two electrical outlets in proper operating condition. See HCV GB p. 10-6 and 24 CFR 982.401.</w:t>
      </w:r>
    </w:p>
    <w:p w:rsidR="004E13A5" w:rsidRDefault="00681463">
      <w:pPr>
        <w:spacing w:before="119"/>
        <w:ind w:left="100"/>
        <w:rPr>
          <w:sz w:val="24"/>
        </w:rPr>
      </w:pPr>
      <w:r>
        <w:rPr>
          <w:b/>
          <w:i/>
          <w:sz w:val="24"/>
        </w:rPr>
        <w:t xml:space="preserve">Local preference. </w:t>
      </w:r>
      <w:r>
        <w:rPr>
          <w:sz w:val="24"/>
        </w:rPr>
        <w:t>A preference used by the PHA to select among applicant families.</w:t>
      </w:r>
    </w:p>
    <w:p w:rsidR="004E13A5" w:rsidRDefault="00681463">
      <w:pPr>
        <w:pStyle w:val="BodyText"/>
        <w:ind w:left="460" w:right="302" w:hanging="360"/>
      </w:pPr>
      <w:r>
        <w:rPr>
          <w:b/>
          <w:i/>
        </w:rPr>
        <w:t xml:space="preserve">Low-income family. </w:t>
      </w:r>
      <w:r>
        <w:t>A family whose income does not exceed 80 percent of the median income for the area as determined by HUD with adjustments for smaller or larger families, except that HUD may establish income limits higher or lower than 80 percent for areas with unusually high or low incomes.</w:t>
      </w:r>
    </w:p>
    <w:p w:rsidR="004E13A5" w:rsidRDefault="00681463">
      <w:pPr>
        <w:pStyle w:val="BodyText"/>
        <w:ind w:left="460" w:right="205" w:hanging="360"/>
        <w:jc w:val="both"/>
      </w:pPr>
      <w:r>
        <w:rPr>
          <w:b/>
          <w:i/>
        </w:rPr>
        <w:t xml:space="preserve">Manufactured home. </w:t>
      </w:r>
      <w:r>
        <w:t xml:space="preserve">A manufactured structure that is built on a permanent chassis, is designed for use as a principal place of residence, and meets the </w:t>
      </w:r>
      <w:r w:rsidR="002C4221">
        <w:t>NSPIRE</w:t>
      </w:r>
      <w:r>
        <w:t>. (A special housing type: see</w:t>
      </w:r>
      <w:r>
        <w:rPr>
          <w:spacing w:val="-14"/>
        </w:rPr>
        <w:t xml:space="preserve"> </w:t>
      </w:r>
      <w:r>
        <w:t>24 CFR 982.620 and</w:t>
      </w:r>
      <w:r>
        <w:rPr>
          <w:spacing w:val="-4"/>
        </w:rPr>
        <w:t xml:space="preserve"> </w:t>
      </w:r>
      <w:r>
        <w:t>982.621.)</w:t>
      </w:r>
    </w:p>
    <w:p w:rsidR="004E13A5" w:rsidRDefault="00681463">
      <w:pPr>
        <w:pStyle w:val="BodyText"/>
        <w:ind w:left="460" w:right="116" w:hanging="360"/>
        <w:jc w:val="both"/>
      </w:pPr>
      <w:r>
        <w:rPr>
          <w:b/>
          <w:i/>
        </w:rPr>
        <w:t xml:space="preserve">Manufactured home space. </w:t>
      </w:r>
      <w:r>
        <w:t>In manufactured home space rental: A space leased by an owner to a family. A manufactured home owned and occupied by the family is located on the space. See 24 CFR 982.622 to 982.624.</w:t>
      </w:r>
    </w:p>
    <w:p w:rsidR="004E13A5" w:rsidRDefault="00681463">
      <w:pPr>
        <w:pStyle w:val="BodyText"/>
        <w:ind w:left="460" w:right="136" w:hanging="360"/>
      </w:pPr>
      <w:r>
        <w:rPr>
          <w:b/>
          <w:i/>
        </w:rPr>
        <w:t>Medical expenses</w:t>
      </w:r>
      <w:r>
        <w:rPr>
          <w:b/>
        </w:rPr>
        <w:t xml:space="preserve">. </w:t>
      </w:r>
      <w:r>
        <w:t>Medical expenses, including medical insurance premiums that are anticipated during the period for which annual income is computed, and that are not covered by insurance (a deduction for elderly or disabled families only). These allowances are given when calculating adjusted income for medical expenses in excess of 3 percent of</w:t>
      </w:r>
    </w:p>
    <w:p w:rsidR="004E13A5" w:rsidRDefault="00681463">
      <w:pPr>
        <w:pStyle w:val="BodyText"/>
        <w:spacing w:before="0"/>
        <w:ind w:left="460"/>
      </w:pPr>
      <w:r>
        <w:t>annual income.</w:t>
      </w:r>
    </w:p>
    <w:p w:rsidR="004E13A5" w:rsidRDefault="00681463">
      <w:pPr>
        <w:pStyle w:val="BodyText"/>
        <w:spacing w:before="120"/>
        <w:ind w:left="460" w:right="115" w:hanging="360"/>
      </w:pPr>
      <w:r>
        <w:rPr>
          <w:b/>
          <w:i/>
        </w:rPr>
        <w:t>Minor</w:t>
      </w:r>
      <w:r>
        <w:rPr>
          <w:b/>
        </w:rPr>
        <w:t xml:space="preserve">. </w:t>
      </w:r>
      <w:r>
        <w:t>A member of the family household other than the family head or spouse, who is under 18 years of age.</w:t>
      </w:r>
    </w:p>
    <w:p w:rsidR="004E13A5" w:rsidRDefault="00681463">
      <w:pPr>
        <w:pStyle w:val="BodyText"/>
        <w:ind w:left="460" w:right="262" w:hanging="360"/>
      </w:pPr>
      <w:r>
        <w:rPr>
          <w:b/>
          <w:i/>
        </w:rPr>
        <w:t xml:space="preserve">Mixed family. </w:t>
      </w:r>
      <w:r>
        <w:rPr>
          <w:i/>
        </w:rPr>
        <w:t xml:space="preserve">A </w:t>
      </w:r>
      <w:r>
        <w:t>family whose members include those with citizenship or eligible immigration status, and those without citizenship or eligible immigration status.</w:t>
      </w:r>
    </w:p>
    <w:p w:rsidR="004E13A5" w:rsidRDefault="00681463">
      <w:pPr>
        <w:spacing w:before="119"/>
        <w:ind w:left="100"/>
        <w:rPr>
          <w:sz w:val="24"/>
        </w:rPr>
      </w:pPr>
      <w:r>
        <w:rPr>
          <w:b/>
          <w:i/>
          <w:sz w:val="24"/>
        </w:rPr>
        <w:t>Monthly adjusted income</w:t>
      </w:r>
      <w:r>
        <w:rPr>
          <w:b/>
          <w:sz w:val="24"/>
        </w:rPr>
        <w:t xml:space="preserve">. </w:t>
      </w:r>
      <w:r>
        <w:rPr>
          <w:sz w:val="24"/>
        </w:rPr>
        <w:t>One twelfth of adjusted income.</w:t>
      </w:r>
    </w:p>
    <w:p w:rsidR="004E13A5" w:rsidRDefault="004E13A5">
      <w:pPr>
        <w:rPr>
          <w:sz w:val="24"/>
        </w:rPr>
        <w:sectPr w:rsidR="004E13A5">
          <w:footerReference w:type="default" r:id="rId109"/>
          <w:pgSz w:w="12240" w:h="15840"/>
          <w:pgMar w:top="1360" w:right="1340" w:bottom="280" w:left="1340" w:header="0" w:footer="0" w:gutter="0"/>
          <w:cols w:space="720"/>
        </w:sectPr>
      </w:pPr>
    </w:p>
    <w:p w:rsidR="004E13A5" w:rsidRDefault="00681463">
      <w:pPr>
        <w:spacing w:before="79"/>
        <w:ind w:left="100"/>
        <w:rPr>
          <w:sz w:val="24"/>
        </w:rPr>
      </w:pPr>
      <w:r>
        <w:rPr>
          <w:b/>
          <w:i/>
          <w:sz w:val="24"/>
        </w:rPr>
        <w:lastRenderedPageBreak/>
        <w:t>Monthly income</w:t>
      </w:r>
      <w:r>
        <w:rPr>
          <w:b/>
          <w:sz w:val="24"/>
        </w:rPr>
        <w:t xml:space="preserve">. </w:t>
      </w:r>
      <w:r>
        <w:rPr>
          <w:sz w:val="24"/>
        </w:rPr>
        <w:t>One twelfth of annual income.</w:t>
      </w:r>
    </w:p>
    <w:p w:rsidR="004E13A5" w:rsidRDefault="00681463">
      <w:pPr>
        <w:spacing w:before="119"/>
        <w:ind w:left="100"/>
        <w:rPr>
          <w:i/>
          <w:sz w:val="24"/>
        </w:rPr>
      </w:pPr>
      <w:r>
        <w:rPr>
          <w:b/>
          <w:i/>
          <w:sz w:val="24"/>
        </w:rPr>
        <w:t xml:space="preserve">Mutual housing. </w:t>
      </w:r>
      <w:r>
        <w:rPr>
          <w:sz w:val="24"/>
        </w:rPr>
        <w:t xml:space="preserve">Included in the definition of </w:t>
      </w:r>
      <w:r>
        <w:rPr>
          <w:i/>
          <w:sz w:val="24"/>
        </w:rPr>
        <w:t>cooperative.</w:t>
      </w:r>
    </w:p>
    <w:p w:rsidR="004E13A5" w:rsidRDefault="00681463">
      <w:pPr>
        <w:pStyle w:val="BodyText"/>
        <w:ind w:left="460" w:right="62" w:hanging="360"/>
      </w:pPr>
      <w:r>
        <w:rPr>
          <w:b/>
          <w:i/>
        </w:rPr>
        <w:t xml:space="preserve">National. </w:t>
      </w:r>
      <w:r>
        <w:rPr>
          <w:i/>
        </w:rPr>
        <w:t xml:space="preserve">A </w:t>
      </w:r>
      <w:r>
        <w:t>person who owes permanent allegiance to the United States, for example, as a result of birth in a United States territory or possession.</w:t>
      </w:r>
    </w:p>
    <w:p w:rsidR="004E13A5" w:rsidRDefault="00681463">
      <w:pPr>
        <w:pStyle w:val="BodyText"/>
        <w:ind w:left="460" w:right="62" w:hanging="360"/>
      </w:pPr>
      <w:r>
        <w:rPr>
          <w:b/>
          <w:i/>
        </w:rPr>
        <w:t>Near-elderly family</w:t>
      </w:r>
      <w:r>
        <w:rPr>
          <w:b/>
        </w:rPr>
        <w:t xml:space="preserve">. </w:t>
      </w:r>
      <w:r>
        <w:t>A family whose 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w:t>
      </w:r>
    </w:p>
    <w:p w:rsidR="004E13A5" w:rsidRDefault="00681463">
      <w:pPr>
        <w:pStyle w:val="BodyText"/>
        <w:ind w:left="460" w:right="276" w:hanging="360"/>
      </w:pPr>
      <w:r>
        <w:rPr>
          <w:b/>
          <w:i/>
        </w:rPr>
        <w:t>Net family assets</w:t>
      </w:r>
      <w:r>
        <w:rPr>
          <w:b/>
        </w:rPr>
        <w:t xml:space="preserve">. </w:t>
      </w:r>
      <w:r>
        <w:t>(1) Net cash value after deducting reasonable costs that would be incurred in disposing of real property, savings, stocks, bonds, and other forms of capital investment, excluding interests in Indian trust land and excluding equity accounts in HUD homeownership programs. The value of necessary items of personal property such as furniture and automobiles shall be excluded.</w:t>
      </w:r>
    </w:p>
    <w:p w:rsidR="004E13A5" w:rsidRDefault="00681463">
      <w:pPr>
        <w:pStyle w:val="ListParagraph"/>
        <w:numPr>
          <w:ilvl w:val="0"/>
          <w:numId w:val="3"/>
        </w:numPr>
        <w:tabs>
          <w:tab w:val="left" w:pos="1180"/>
          <w:tab w:val="left" w:pos="1181"/>
        </w:tabs>
        <w:ind w:right="326" w:hanging="180"/>
        <w:rPr>
          <w:sz w:val="24"/>
        </w:rPr>
      </w:pPr>
      <w:r>
        <w:rPr>
          <w:sz w:val="24"/>
        </w:rPr>
        <w:t>In cases where a trust fund has been established and the trust is not revocable by, or under the control of, any member of the family or household, the value of the trust fund will not be considered an asset so long as the fund continues to be held in trust. Any income distributed from the trust fund shall be counted when determining annual income under</w:t>
      </w:r>
      <w:r>
        <w:rPr>
          <w:spacing w:val="-2"/>
          <w:sz w:val="24"/>
        </w:rPr>
        <w:t xml:space="preserve"> </w:t>
      </w:r>
      <w:r>
        <w:rPr>
          <w:sz w:val="24"/>
        </w:rPr>
        <w:t>§5.609.</w:t>
      </w:r>
    </w:p>
    <w:p w:rsidR="004E13A5" w:rsidRDefault="00681463">
      <w:pPr>
        <w:pStyle w:val="ListParagraph"/>
        <w:numPr>
          <w:ilvl w:val="0"/>
          <w:numId w:val="3"/>
        </w:numPr>
        <w:tabs>
          <w:tab w:val="left" w:pos="1180"/>
          <w:tab w:val="left" w:pos="1181"/>
        </w:tabs>
        <w:ind w:left="647" w:right="142" w:hanging="187"/>
        <w:rPr>
          <w:sz w:val="24"/>
        </w:rPr>
      </w:pPr>
      <w:r>
        <w:rPr>
          <w:sz w:val="24"/>
        </w:rPr>
        <w:t>In determining net family assets, PHAs or owners, as applicable, shall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therefore. In the case of a disposition as part of a separation or divorce settlement, the disposition will not be considered to be for less than fair market value if the applicant or tenant receives</w:t>
      </w:r>
      <w:r>
        <w:rPr>
          <w:spacing w:val="-13"/>
          <w:sz w:val="24"/>
        </w:rPr>
        <w:t xml:space="preserve"> </w:t>
      </w:r>
      <w:r>
        <w:rPr>
          <w:sz w:val="24"/>
        </w:rPr>
        <w:t>important consideration not measurable in dollar</w:t>
      </w:r>
      <w:r>
        <w:rPr>
          <w:spacing w:val="-9"/>
          <w:sz w:val="24"/>
        </w:rPr>
        <w:t xml:space="preserve"> </w:t>
      </w:r>
      <w:r>
        <w:rPr>
          <w:sz w:val="24"/>
        </w:rPr>
        <w:t>terms.</w:t>
      </w:r>
    </w:p>
    <w:p w:rsidR="004E13A5" w:rsidRDefault="00681463">
      <w:pPr>
        <w:pStyle w:val="BodyText"/>
      </w:pPr>
      <w:r>
        <w:rPr>
          <w:b/>
          <w:i/>
        </w:rPr>
        <w:t xml:space="preserve">Noncitizen. </w:t>
      </w:r>
      <w:r>
        <w:rPr>
          <w:i/>
        </w:rPr>
        <w:t xml:space="preserve">A </w:t>
      </w:r>
      <w:r>
        <w:t>person who is neither a citizen nor national of the United States.</w:t>
      </w:r>
    </w:p>
    <w:p w:rsidR="004E13A5" w:rsidRDefault="00681463">
      <w:pPr>
        <w:spacing w:before="119"/>
        <w:ind w:left="460" w:right="95" w:hanging="360"/>
        <w:rPr>
          <w:sz w:val="24"/>
        </w:rPr>
      </w:pPr>
      <w:r>
        <w:rPr>
          <w:b/>
          <w:i/>
          <w:sz w:val="24"/>
        </w:rPr>
        <w:t xml:space="preserve">Notice of funding availability (NOFA). </w:t>
      </w:r>
      <w:r>
        <w:rPr>
          <w:sz w:val="24"/>
        </w:rPr>
        <w:t xml:space="preserve">For budget authority that HUD distributes by competitive process, the </w:t>
      </w:r>
      <w:r>
        <w:rPr>
          <w:i/>
          <w:sz w:val="24"/>
        </w:rPr>
        <w:t xml:space="preserve">Federal Register </w:t>
      </w:r>
      <w:r>
        <w:rPr>
          <w:sz w:val="24"/>
        </w:rPr>
        <w:t>document that invites applications for funding. This document explains how to apply for assistance and the criteria for awarding the funding.</w:t>
      </w:r>
    </w:p>
    <w:p w:rsidR="004E13A5" w:rsidRDefault="00681463">
      <w:pPr>
        <w:spacing w:before="119"/>
        <w:ind w:left="100"/>
        <w:rPr>
          <w:sz w:val="24"/>
        </w:rPr>
      </w:pPr>
      <w:r>
        <w:rPr>
          <w:b/>
          <w:i/>
          <w:sz w:val="24"/>
        </w:rPr>
        <w:t>Office of General Counsel (OGC)</w:t>
      </w:r>
      <w:r>
        <w:rPr>
          <w:b/>
          <w:sz w:val="24"/>
        </w:rPr>
        <w:t xml:space="preserve">. </w:t>
      </w:r>
      <w:r>
        <w:rPr>
          <w:sz w:val="24"/>
        </w:rPr>
        <w:t>The General Counsel of HUD.</w:t>
      </w:r>
    </w:p>
    <w:p w:rsidR="004E13A5" w:rsidRDefault="00681463">
      <w:pPr>
        <w:pStyle w:val="BodyText"/>
        <w:ind w:left="460" w:right="915" w:hanging="360"/>
      </w:pPr>
      <w:r>
        <w:rPr>
          <w:b/>
          <w:i/>
        </w:rPr>
        <w:t xml:space="preserve">Overcrowded. </w:t>
      </w:r>
      <w:r>
        <w:t xml:space="preserve">A unit that does not meet the following </w:t>
      </w:r>
      <w:r w:rsidR="002C4221">
        <w:t>NSPIRE</w:t>
      </w:r>
      <w:r>
        <w:t xml:space="preserve"> space standards: (1) Provide adequate space and security for the family; and (2) Have at least one bedroom or living/sleeping room for each two persons.</w:t>
      </w:r>
    </w:p>
    <w:p w:rsidR="004E13A5" w:rsidRDefault="00681463">
      <w:pPr>
        <w:pStyle w:val="BodyText"/>
        <w:spacing w:before="120"/>
      </w:pPr>
      <w:r>
        <w:rPr>
          <w:b/>
          <w:i/>
        </w:rPr>
        <w:t>Owner</w:t>
      </w:r>
      <w:r>
        <w:rPr>
          <w:b/>
        </w:rPr>
        <w:t xml:space="preserve">. </w:t>
      </w:r>
      <w:r>
        <w:t>Any person or entity with the legal right to lease or sublease a unit to a participant.</w:t>
      </w:r>
    </w:p>
    <w:p w:rsidR="004E13A5" w:rsidRDefault="00681463">
      <w:pPr>
        <w:pStyle w:val="BodyText"/>
        <w:spacing w:before="120"/>
      </w:pPr>
      <w:r>
        <w:rPr>
          <w:b/>
          <w:i/>
        </w:rPr>
        <w:t xml:space="preserve">PHA Plan. </w:t>
      </w:r>
      <w:r>
        <w:t>The annual plan and the 5-year plan as adopted by the PHA and approved by HUD.</w:t>
      </w:r>
    </w:p>
    <w:p w:rsidR="004E13A5" w:rsidRDefault="004E13A5">
      <w:pPr>
        <w:sectPr w:rsidR="004E13A5">
          <w:footerReference w:type="default" r:id="rId110"/>
          <w:pgSz w:w="12240" w:h="15840"/>
          <w:pgMar w:top="1360" w:right="1360" w:bottom="280" w:left="1340" w:header="0" w:footer="0" w:gutter="0"/>
          <w:cols w:space="720"/>
        </w:sectPr>
      </w:pPr>
    </w:p>
    <w:p w:rsidR="004E13A5" w:rsidRDefault="00681463">
      <w:pPr>
        <w:pStyle w:val="BodyText"/>
        <w:spacing w:before="79"/>
        <w:ind w:left="460" w:right="53" w:hanging="360"/>
      </w:pPr>
      <w:r>
        <w:rPr>
          <w:b/>
          <w:i/>
        </w:rPr>
        <w:lastRenderedPageBreak/>
        <w:t xml:space="preserve">PHA’s quality control sample. </w:t>
      </w:r>
      <w:r>
        <w:t>An annual sample of files or records drawn in an unbiased manner and reviewed by a PHA supervisor (or by another qualified person other than the person who performed the original work) to determine if the work documented in the files or records conforms to program requirements. For minimum sample size see CFR 985.3.</w:t>
      </w:r>
    </w:p>
    <w:p w:rsidR="004E13A5" w:rsidRDefault="00681463">
      <w:pPr>
        <w:pStyle w:val="BodyText"/>
        <w:ind w:left="460" w:right="250" w:hanging="360"/>
      </w:pPr>
      <w:r>
        <w:rPr>
          <w:b/>
          <w:i/>
        </w:rPr>
        <w:t xml:space="preserve">Participant (participant family). </w:t>
      </w:r>
      <w:r>
        <w:t>A family that has been admitted to the PHA program and is currently assisted in the program. The family becomes a participant on the effective date of the first HAP contract executed by the PHA for the family (first day of initial lease term).</w:t>
      </w:r>
    </w:p>
    <w:p w:rsidR="004E13A5" w:rsidRDefault="00681463">
      <w:pPr>
        <w:pStyle w:val="BodyText"/>
        <w:ind w:left="460" w:right="674" w:hanging="360"/>
      </w:pPr>
      <w:r>
        <w:rPr>
          <w:b/>
          <w:i/>
        </w:rPr>
        <w:t xml:space="preserve">Payment standard. </w:t>
      </w:r>
      <w:r>
        <w:t>The maximum monthly assistance payment for a family assisted in the voucher program (before deducting the total tenant payment by the family).</w:t>
      </w:r>
    </w:p>
    <w:p w:rsidR="004E13A5" w:rsidRDefault="00681463">
      <w:pPr>
        <w:pStyle w:val="BodyText"/>
        <w:spacing w:before="100"/>
        <w:ind w:left="460" w:right="53" w:hanging="360"/>
      </w:pPr>
      <w:r>
        <w:rPr>
          <w:b/>
          <w:i/>
        </w:rPr>
        <w:t xml:space="preserve">Person with disabilities. </w:t>
      </w:r>
      <w:r>
        <w:rPr>
          <w:i/>
        </w:rPr>
        <w:t>For the purposes of program eligibility</w:t>
      </w:r>
      <w:r>
        <w:t xml:space="preserve">. A person who has a disability as defined under the Social Security Act or Developmental Disabilities Care Act, or a person who has a physical or mental impairment expected to be of long and indefinite duration and whose ability to live independently is substantially impeded by that impairment but could be improved by more suitable housing conditions. This includes persons with AIDS or conditions arising from AIDS but excludes persons whose disability is based solely on drug or alcohol dependence. </w:t>
      </w:r>
      <w:r>
        <w:rPr>
          <w:i/>
        </w:rPr>
        <w:t xml:space="preserve">For the purposes of reasonable accommodation. </w:t>
      </w:r>
      <w:r>
        <w:t>A person with a physical or mental impairment that substantially limits one or more major life activities, a person regarded as having such an impairment, or a person with a record of such</w:t>
      </w:r>
    </w:p>
    <w:p w:rsidR="004E13A5" w:rsidRDefault="00681463">
      <w:pPr>
        <w:pStyle w:val="BodyText"/>
        <w:spacing w:before="0"/>
        <w:ind w:left="460"/>
      </w:pPr>
      <w:r>
        <w:t>an impairment.</w:t>
      </w:r>
    </w:p>
    <w:p w:rsidR="004E13A5" w:rsidRDefault="00681463">
      <w:pPr>
        <w:pStyle w:val="BodyText"/>
        <w:spacing w:before="120"/>
        <w:ind w:left="460" w:right="821" w:hanging="300"/>
      </w:pPr>
      <w:r>
        <w:rPr>
          <w:b/>
          <w:i/>
        </w:rPr>
        <w:t>Portability</w:t>
      </w:r>
      <w:r>
        <w:rPr>
          <w:b/>
        </w:rPr>
        <w:t xml:space="preserve">. </w:t>
      </w:r>
      <w:r>
        <w:t>Renting a dwelling unit with a Section 8 housing choice voucher outside the jurisdiction of the initial PHA.</w:t>
      </w:r>
    </w:p>
    <w:p w:rsidR="004E13A5" w:rsidRDefault="00681463">
      <w:pPr>
        <w:pStyle w:val="BodyText"/>
        <w:ind w:left="460" w:right="488" w:hanging="360"/>
      </w:pPr>
      <w:r>
        <w:rPr>
          <w:b/>
          <w:i/>
        </w:rPr>
        <w:t>Premises</w:t>
      </w:r>
      <w:r>
        <w:rPr>
          <w:b/>
        </w:rPr>
        <w:t xml:space="preserve">. </w:t>
      </w:r>
      <w:r>
        <w:t>The building or complex in which the dwelling unit is located, including common areas and grounds.</w:t>
      </w:r>
    </w:p>
    <w:p w:rsidR="004E13A5" w:rsidRDefault="00681463">
      <w:pPr>
        <w:pStyle w:val="BodyText"/>
        <w:ind w:left="460" w:right="182" w:hanging="360"/>
      </w:pPr>
      <w:r>
        <w:rPr>
          <w:b/>
          <w:i/>
        </w:rPr>
        <w:t xml:space="preserve">Previously unemployed. </w:t>
      </w:r>
      <w:r>
        <w:t>With regard to the earned income disallowance, a person with disabilities who has earned, in the 12 months previous to employment, no more than would be received for 10 hours of work per week for 50 weeks at the established minimum wage.</w:t>
      </w:r>
    </w:p>
    <w:p w:rsidR="004E13A5" w:rsidRDefault="00681463">
      <w:pPr>
        <w:pStyle w:val="BodyText"/>
        <w:ind w:left="460" w:hanging="360"/>
      </w:pPr>
      <w:r>
        <w:rPr>
          <w:b/>
          <w:i/>
        </w:rPr>
        <w:t>Private space</w:t>
      </w:r>
      <w:r>
        <w:rPr>
          <w:b/>
        </w:rPr>
        <w:t xml:space="preserve">. </w:t>
      </w:r>
      <w:r>
        <w:t>In shared housing, the portion of a contract unit that is for the exclusive use of an assisted family.</w:t>
      </w:r>
    </w:p>
    <w:p w:rsidR="004E13A5" w:rsidRDefault="00681463">
      <w:pPr>
        <w:pStyle w:val="BodyText"/>
        <w:ind w:left="460" w:right="53" w:hanging="360"/>
      </w:pPr>
      <w:r>
        <w:rPr>
          <w:b/>
          <w:i/>
        </w:rPr>
        <w:t>Processing entity</w:t>
      </w:r>
      <w:r>
        <w:rPr>
          <w:b/>
        </w:rPr>
        <w:t xml:space="preserve">. </w:t>
      </w:r>
      <w:r>
        <w:t>The person or entity that, under any of the programs covered, is responsible for making eligibility and related determinations and any income reexamination. In the HCV program, the “processing entity” is the “responsible entity.”</w:t>
      </w:r>
    </w:p>
    <w:p w:rsidR="004E13A5" w:rsidRDefault="00681463">
      <w:pPr>
        <w:pStyle w:val="BodyText"/>
        <w:ind w:left="460" w:right="801" w:hanging="360"/>
      </w:pPr>
      <w:r>
        <w:rPr>
          <w:b/>
          <w:i/>
        </w:rPr>
        <w:t xml:space="preserve">Project owner. </w:t>
      </w:r>
      <w:r>
        <w:t>The person or entity that owns the housing project containing the assisted dwelling unit.</w:t>
      </w:r>
    </w:p>
    <w:p w:rsidR="004E13A5" w:rsidRDefault="00681463">
      <w:pPr>
        <w:pStyle w:val="BodyText"/>
        <w:spacing w:before="120"/>
        <w:ind w:left="460" w:right="322" w:hanging="360"/>
      </w:pPr>
      <w:r>
        <w:rPr>
          <w:b/>
          <w:i/>
        </w:rPr>
        <w:t>Public assistance</w:t>
      </w:r>
      <w:r>
        <w:rPr>
          <w:b/>
        </w:rPr>
        <w:t xml:space="preserve">. </w:t>
      </w:r>
      <w:r>
        <w:t>Welfare or other payments to families or individuals, based on need, which are made under programs funded, separately or jointly, by federal, state, or local governments.</w:t>
      </w:r>
    </w:p>
    <w:p w:rsidR="004E13A5" w:rsidRDefault="00681463">
      <w:pPr>
        <w:pStyle w:val="BodyText"/>
        <w:ind w:left="460" w:right="134" w:hanging="360"/>
      </w:pPr>
      <w:r>
        <w:rPr>
          <w:b/>
          <w:i/>
        </w:rPr>
        <w:t>Public housing agency (PHA)</w:t>
      </w:r>
      <w:r>
        <w:rPr>
          <w:b/>
        </w:rPr>
        <w:t xml:space="preserve">. </w:t>
      </w:r>
      <w:r>
        <w:t>Any state, county, municipality, or other governmental entity or public body, or agency or instrumentality of these entities, that is authorized to engage or assist in the development or operation of low-income housing under the 1937 Act.</w:t>
      </w:r>
    </w:p>
    <w:p w:rsidR="004E13A5" w:rsidRDefault="004E13A5">
      <w:pPr>
        <w:sectPr w:rsidR="004E13A5">
          <w:footerReference w:type="default" r:id="rId111"/>
          <w:pgSz w:w="12240" w:h="15840"/>
          <w:pgMar w:top="1480" w:right="1420" w:bottom="280" w:left="1340" w:header="0" w:footer="0" w:gutter="0"/>
          <w:cols w:space="720"/>
        </w:sectPr>
      </w:pPr>
    </w:p>
    <w:p w:rsidR="004E13A5" w:rsidRDefault="00681463">
      <w:pPr>
        <w:pStyle w:val="BodyText"/>
        <w:spacing w:before="79"/>
        <w:ind w:left="460" w:right="89" w:hanging="360"/>
      </w:pPr>
      <w:r>
        <w:rPr>
          <w:b/>
          <w:i/>
        </w:rPr>
        <w:lastRenderedPageBreak/>
        <w:t xml:space="preserve">Qualified family </w:t>
      </w:r>
      <w:r>
        <w:t>(under the earned income disallowance). A family participating in an applicable assisted housing program or receiving HCV assistance:</w:t>
      </w:r>
    </w:p>
    <w:p w:rsidR="004E13A5" w:rsidRDefault="00681463">
      <w:pPr>
        <w:pStyle w:val="ListParagraph"/>
        <w:numPr>
          <w:ilvl w:val="0"/>
          <w:numId w:val="2"/>
        </w:numPr>
        <w:tabs>
          <w:tab w:val="left" w:pos="641"/>
        </w:tabs>
        <w:ind w:right="154" w:hanging="187"/>
        <w:rPr>
          <w:sz w:val="24"/>
        </w:rPr>
      </w:pPr>
      <w:r>
        <w:rPr>
          <w:sz w:val="24"/>
        </w:rPr>
        <w:t>Whose annual income increases as a result of employment of a family member who is a person with disabilities and who was previously unemployed for one or more years prior</w:t>
      </w:r>
      <w:r>
        <w:rPr>
          <w:spacing w:val="-13"/>
          <w:sz w:val="24"/>
        </w:rPr>
        <w:t xml:space="preserve"> </w:t>
      </w:r>
      <w:r>
        <w:rPr>
          <w:sz w:val="24"/>
        </w:rPr>
        <w:t>to employment;</w:t>
      </w:r>
    </w:p>
    <w:p w:rsidR="004E13A5" w:rsidRDefault="00681463">
      <w:pPr>
        <w:pStyle w:val="ListParagraph"/>
        <w:numPr>
          <w:ilvl w:val="0"/>
          <w:numId w:val="2"/>
        </w:numPr>
        <w:tabs>
          <w:tab w:val="left" w:pos="641"/>
        </w:tabs>
        <w:ind w:left="640" w:right="261"/>
        <w:rPr>
          <w:sz w:val="24"/>
        </w:rPr>
      </w:pPr>
      <w:r>
        <w:rPr>
          <w:sz w:val="24"/>
        </w:rPr>
        <w:t>Whose annual income increases as a result of increased earnings by a family member</w:t>
      </w:r>
      <w:r>
        <w:rPr>
          <w:spacing w:val="-20"/>
          <w:sz w:val="24"/>
        </w:rPr>
        <w:t xml:space="preserve"> </w:t>
      </w:r>
      <w:r>
        <w:rPr>
          <w:sz w:val="24"/>
        </w:rPr>
        <w:t>who is a person with disabilities during participation in any economic self-sufficiency or other job training program;</w:t>
      </w:r>
      <w:r>
        <w:rPr>
          <w:spacing w:val="-8"/>
          <w:sz w:val="24"/>
        </w:rPr>
        <w:t xml:space="preserve"> </w:t>
      </w:r>
      <w:r>
        <w:rPr>
          <w:sz w:val="24"/>
        </w:rPr>
        <w:t>or</w:t>
      </w:r>
    </w:p>
    <w:p w:rsidR="004E13A5" w:rsidRDefault="00681463">
      <w:pPr>
        <w:pStyle w:val="ListParagraph"/>
        <w:numPr>
          <w:ilvl w:val="0"/>
          <w:numId w:val="2"/>
        </w:numPr>
        <w:tabs>
          <w:tab w:val="left" w:pos="641"/>
        </w:tabs>
        <w:ind w:left="640" w:right="217"/>
        <w:rPr>
          <w:sz w:val="24"/>
        </w:rPr>
      </w:pPr>
      <w:r>
        <w:rPr>
          <w:sz w:val="24"/>
        </w:rPr>
        <w:t>Whose annual income increases, as a result of new employment or increased earnings of a family member who is a person with disabilities, during or within six months after receiving assistance, benefits or services under any state program for temporary assistance for needy families funded under Part A of Title IV of the Social Security Act, as determined by the responsible entity in consultation with the local agencies administering temporary assistance for needy families (TANF) and Welfare-to-Work (WTW) programs. The TANF program is not limited to monthly income maintenance, but also includes such benefits and services as one-time payments, wage subsidies and transportation assistance-- provided that the total amount over a six-month period is at least</w:t>
      </w:r>
      <w:r>
        <w:rPr>
          <w:spacing w:val="-8"/>
          <w:sz w:val="24"/>
        </w:rPr>
        <w:t xml:space="preserve"> </w:t>
      </w:r>
      <w:r>
        <w:rPr>
          <w:sz w:val="24"/>
        </w:rPr>
        <w:t>$500.</w:t>
      </w:r>
    </w:p>
    <w:p w:rsidR="004E13A5" w:rsidRDefault="00681463">
      <w:pPr>
        <w:pStyle w:val="BodyText"/>
        <w:ind w:left="460" w:right="182" w:hanging="360"/>
      </w:pPr>
      <w:r>
        <w:rPr>
          <w:b/>
          <w:i/>
        </w:rPr>
        <w:t xml:space="preserve">Qualified census tract. </w:t>
      </w:r>
      <w:r>
        <w:t>With regard to certain tax credit units, any census tract (or equivalent geographic area defined by the Bureau of the Census) in which at least 50 percent of households have an income of less than 60 percent of Area Median Gross Income (AMGI), or where the poverty rate is at least 25 percent, and where the census tract is designated as a qualified census tract by HUD.</w:t>
      </w:r>
    </w:p>
    <w:p w:rsidR="004E13A5" w:rsidRDefault="00681463">
      <w:pPr>
        <w:pStyle w:val="BodyText"/>
        <w:ind w:left="460" w:right="162" w:hanging="360"/>
      </w:pPr>
      <w:r>
        <w:rPr>
          <w:b/>
          <w:i/>
        </w:rPr>
        <w:t>Reasonable rent</w:t>
      </w:r>
      <w:r>
        <w:rPr>
          <w:b/>
        </w:rPr>
        <w:t xml:space="preserve">. </w:t>
      </w:r>
      <w:r>
        <w:t>A rent to owner that is not more than rent charged: (1) For comparable units in the private unassisted market; and (2) For comparable unassisted units in the premises.</w:t>
      </w:r>
    </w:p>
    <w:p w:rsidR="004E13A5" w:rsidRDefault="00681463">
      <w:pPr>
        <w:pStyle w:val="BodyText"/>
        <w:ind w:left="460" w:right="262" w:hanging="360"/>
      </w:pPr>
      <w:r>
        <w:rPr>
          <w:b/>
          <w:i/>
        </w:rPr>
        <w:t xml:space="preserve">Reasonable accommodation. </w:t>
      </w:r>
      <w:r>
        <w:t>A change, exception, or adjustment to a rule, policy, practice, or service to allow a person with disabilities to fully access the PHA’s programs or services.</w:t>
      </w:r>
    </w:p>
    <w:p w:rsidR="004E13A5" w:rsidRDefault="00681463">
      <w:pPr>
        <w:pStyle w:val="BodyText"/>
        <w:ind w:left="460" w:right="524" w:hanging="360"/>
        <w:jc w:val="both"/>
      </w:pPr>
      <w:r>
        <w:rPr>
          <w:b/>
          <w:i/>
        </w:rPr>
        <w:t>Receiving PHA</w:t>
      </w:r>
      <w:r>
        <w:rPr>
          <w:b/>
        </w:rPr>
        <w:t xml:space="preserve">. </w:t>
      </w:r>
      <w:r>
        <w:rPr>
          <w:spacing w:val="-3"/>
        </w:rPr>
        <w:t xml:space="preserve">In </w:t>
      </w:r>
      <w:r>
        <w:t>portability: A PHA that receives a family selected for participation in the tenant-based program of another PHA. The receiving PHA issues a voucher and</w:t>
      </w:r>
      <w:r>
        <w:rPr>
          <w:spacing w:val="-16"/>
        </w:rPr>
        <w:t xml:space="preserve"> </w:t>
      </w:r>
      <w:r>
        <w:t>provides program assistance to the</w:t>
      </w:r>
      <w:r>
        <w:rPr>
          <w:spacing w:val="-9"/>
        </w:rPr>
        <w:t xml:space="preserve"> </w:t>
      </w:r>
      <w:r>
        <w:t>family.</w:t>
      </w:r>
    </w:p>
    <w:p w:rsidR="004E13A5" w:rsidRDefault="00681463">
      <w:pPr>
        <w:pStyle w:val="BodyText"/>
        <w:ind w:left="460" w:right="369" w:hanging="360"/>
      </w:pPr>
      <w:r>
        <w:rPr>
          <w:b/>
          <w:i/>
        </w:rPr>
        <w:t>Recertification</w:t>
      </w:r>
      <w:r>
        <w:rPr>
          <w:b/>
        </w:rPr>
        <w:t xml:space="preserve">. </w:t>
      </w:r>
      <w:r>
        <w:t xml:space="preserve">Sometimes called </w:t>
      </w:r>
      <w:r>
        <w:rPr>
          <w:i/>
        </w:rPr>
        <w:t xml:space="preserve">reexamination. </w:t>
      </w:r>
      <w:r>
        <w:t>The process of securing documentation of total family income used to determine the rent the tenant will pay for the next 12 months if there are no additional changes to be reported.</w:t>
      </w:r>
    </w:p>
    <w:p w:rsidR="004E13A5" w:rsidRDefault="00681463">
      <w:pPr>
        <w:pStyle w:val="BodyText"/>
        <w:ind w:left="460" w:right="350" w:hanging="360"/>
        <w:jc w:val="both"/>
      </w:pPr>
      <w:r>
        <w:rPr>
          <w:b/>
          <w:i/>
        </w:rPr>
        <w:t>Remaining member of the tenant family</w:t>
      </w:r>
      <w:r>
        <w:rPr>
          <w:b/>
        </w:rPr>
        <w:t xml:space="preserve">. </w:t>
      </w:r>
      <w:r>
        <w:t>The person left in assisted housing who may or may not normally qualify for assistance on their own circumstances (i.e., an elderly spouse</w:t>
      </w:r>
      <w:r>
        <w:rPr>
          <w:spacing w:val="-15"/>
        </w:rPr>
        <w:t xml:space="preserve"> </w:t>
      </w:r>
      <w:r>
        <w:t>dies, leaving widow age 47 who is not</w:t>
      </w:r>
      <w:r>
        <w:rPr>
          <w:spacing w:val="-7"/>
        </w:rPr>
        <w:t xml:space="preserve"> </w:t>
      </w:r>
      <w:r>
        <w:t>disabled).</w:t>
      </w:r>
    </w:p>
    <w:p w:rsidR="004E13A5" w:rsidRDefault="00681463">
      <w:pPr>
        <w:pStyle w:val="BodyText"/>
        <w:ind w:left="460" w:right="262" w:hanging="360"/>
      </w:pPr>
      <w:r>
        <w:rPr>
          <w:b/>
          <w:i/>
        </w:rPr>
        <w:t xml:space="preserve">Rent to owner. </w:t>
      </w:r>
      <w:r>
        <w:t>The total monthly rent payable to the owner under the lease for the unit (also known as contract rent). Rent to owner covers payment for any housing services, maintenance, and utilities that the owner is required to provide and pay for.</w:t>
      </w:r>
    </w:p>
    <w:p w:rsidR="004E13A5" w:rsidRDefault="00681463">
      <w:pPr>
        <w:spacing w:before="119"/>
        <w:ind w:left="460" w:right="169" w:hanging="360"/>
        <w:rPr>
          <w:sz w:val="24"/>
        </w:rPr>
      </w:pPr>
      <w:r>
        <w:rPr>
          <w:b/>
          <w:i/>
          <w:sz w:val="24"/>
        </w:rPr>
        <w:t xml:space="preserve">Residency preference. </w:t>
      </w:r>
      <w:r>
        <w:rPr>
          <w:sz w:val="24"/>
        </w:rPr>
        <w:t xml:space="preserve">A PHA preference for admission of families that reside anywhere in a specified area, including families with a member who works or has been hired to work in the area (See </w:t>
      </w:r>
      <w:r>
        <w:rPr>
          <w:i/>
          <w:sz w:val="24"/>
        </w:rPr>
        <w:t>residency preference area</w:t>
      </w:r>
      <w:r>
        <w:rPr>
          <w:sz w:val="24"/>
        </w:rPr>
        <w:t>).</w:t>
      </w:r>
    </w:p>
    <w:p w:rsidR="004E13A5" w:rsidRDefault="004E13A5">
      <w:pPr>
        <w:rPr>
          <w:sz w:val="24"/>
        </w:rPr>
        <w:sectPr w:rsidR="004E13A5">
          <w:footerReference w:type="default" r:id="rId112"/>
          <w:pgSz w:w="12240" w:h="15840"/>
          <w:pgMar w:top="1480" w:right="1340" w:bottom="280" w:left="1340" w:header="0" w:footer="0" w:gutter="0"/>
          <w:cols w:space="720"/>
        </w:sectPr>
      </w:pPr>
    </w:p>
    <w:p w:rsidR="004E13A5" w:rsidRDefault="00681463">
      <w:pPr>
        <w:spacing w:before="79"/>
        <w:ind w:left="460" w:right="796" w:hanging="360"/>
        <w:rPr>
          <w:sz w:val="24"/>
        </w:rPr>
      </w:pPr>
      <w:r>
        <w:rPr>
          <w:b/>
          <w:i/>
          <w:sz w:val="24"/>
        </w:rPr>
        <w:lastRenderedPageBreak/>
        <w:t xml:space="preserve">Residency preference area. </w:t>
      </w:r>
      <w:r>
        <w:rPr>
          <w:sz w:val="24"/>
        </w:rPr>
        <w:t>The specified area where families must reside to qualify for a residency preference.</w:t>
      </w:r>
    </w:p>
    <w:p w:rsidR="004E13A5" w:rsidRDefault="00681463">
      <w:pPr>
        <w:pStyle w:val="BodyText"/>
        <w:ind w:left="460" w:right="62" w:hanging="360"/>
      </w:pPr>
      <w:r>
        <w:rPr>
          <w:b/>
          <w:i/>
        </w:rPr>
        <w:t>Responsible entity</w:t>
      </w:r>
      <w:r>
        <w:rPr>
          <w:i/>
        </w:rPr>
        <w:t xml:space="preserve">. </w:t>
      </w:r>
      <w:r>
        <w:t>For the public housing and the Section 8 tenant-based assistance, project- based certificate assistance, and moderate rehabilitation programs, the responsible entity means the PHA administering the program under an ACC with HUD. For all other Section 8 programs, the responsible entity means the Section 8 owner.</w:t>
      </w:r>
    </w:p>
    <w:p w:rsidR="004E13A5" w:rsidRDefault="00681463">
      <w:pPr>
        <w:pStyle w:val="BodyText"/>
      </w:pPr>
      <w:r>
        <w:rPr>
          <w:b/>
          <w:i/>
        </w:rPr>
        <w:t>Secretary</w:t>
      </w:r>
      <w:r>
        <w:rPr>
          <w:b/>
        </w:rPr>
        <w:t xml:space="preserve">. </w:t>
      </w:r>
      <w:r>
        <w:t>The Secretary of Housing and Urban Development.</w:t>
      </w:r>
    </w:p>
    <w:p w:rsidR="004E13A5" w:rsidRDefault="00681463">
      <w:pPr>
        <w:pStyle w:val="BodyText"/>
      </w:pPr>
      <w:r>
        <w:rPr>
          <w:b/>
          <w:i/>
        </w:rPr>
        <w:t>Section 8</w:t>
      </w:r>
      <w:r>
        <w:rPr>
          <w:b/>
        </w:rPr>
        <w:t xml:space="preserve">. </w:t>
      </w:r>
      <w:r>
        <w:t>Section 8 of the United States Housing Act of 1937.</w:t>
      </w:r>
    </w:p>
    <w:p w:rsidR="004E13A5" w:rsidRDefault="00681463">
      <w:pPr>
        <w:pStyle w:val="BodyText"/>
        <w:ind w:left="460" w:right="149" w:hanging="360"/>
      </w:pPr>
      <w:r>
        <w:rPr>
          <w:b/>
          <w:i/>
        </w:rPr>
        <w:t xml:space="preserve">Section 8 covered programs. </w:t>
      </w:r>
      <w:r>
        <w:t>All HUD programs which assist housing under Section 8 of the 1937 Act, including Section 8 assisted housing for which loans are made under Section 202 of the Housing Act of 1959.</w:t>
      </w:r>
    </w:p>
    <w:p w:rsidR="004E13A5" w:rsidRDefault="00681463">
      <w:pPr>
        <w:pStyle w:val="BodyText"/>
        <w:spacing w:before="120"/>
        <w:ind w:left="460" w:right="1027" w:hanging="360"/>
      </w:pPr>
      <w:r>
        <w:rPr>
          <w:b/>
          <w:i/>
        </w:rPr>
        <w:t xml:space="preserve">Section 214. </w:t>
      </w:r>
      <w:r>
        <w:t>Section 214 of the Housing and Community Development Act of 1980, as amended.</w:t>
      </w:r>
    </w:p>
    <w:p w:rsidR="004E13A5" w:rsidRDefault="00681463">
      <w:pPr>
        <w:pStyle w:val="BodyText"/>
        <w:spacing w:before="120"/>
        <w:ind w:left="460" w:right="441" w:hanging="360"/>
      </w:pPr>
      <w:r>
        <w:rPr>
          <w:b/>
          <w:i/>
        </w:rPr>
        <w:t xml:space="preserve">Section 214 covered programs. </w:t>
      </w:r>
      <w:r>
        <w:t>The collective term for the HUD programs to which the restrictions imposed by Section 214 apply. These programs are set forth in 24 CFR 5.500.</w:t>
      </w:r>
    </w:p>
    <w:p w:rsidR="004E13A5" w:rsidRDefault="00681463">
      <w:pPr>
        <w:pStyle w:val="BodyText"/>
        <w:spacing w:before="120"/>
        <w:ind w:left="460" w:hanging="360"/>
      </w:pPr>
      <w:r>
        <w:rPr>
          <w:b/>
          <w:i/>
        </w:rPr>
        <w:t xml:space="preserve">Security deposit. </w:t>
      </w:r>
      <w:r>
        <w:t>A dollar amount (maximum set according to the regulations) which can be used for unpaid rent or damages to the owner upon termination of the lease.</w:t>
      </w:r>
    </w:p>
    <w:p w:rsidR="004E13A5" w:rsidRDefault="00681463">
      <w:pPr>
        <w:pStyle w:val="BodyText"/>
        <w:spacing w:before="120"/>
        <w:ind w:left="460" w:right="949" w:hanging="360"/>
      </w:pPr>
      <w:r>
        <w:rPr>
          <w:b/>
          <w:i/>
        </w:rPr>
        <w:t xml:space="preserve">Set-up charges. </w:t>
      </w:r>
      <w:r>
        <w:t>In a manufactured home space rental, charges payable by the family for assembling, skirting, and anchoring the manufactured home.</w:t>
      </w:r>
    </w:p>
    <w:p w:rsidR="004E13A5" w:rsidRDefault="00681463">
      <w:pPr>
        <w:pStyle w:val="BodyText"/>
        <w:spacing w:before="120"/>
        <w:ind w:left="460" w:right="955" w:hanging="360"/>
      </w:pPr>
      <w:r>
        <w:rPr>
          <w:b/>
          <w:i/>
        </w:rPr>
        <w:t xml:space="preserve">Sexual assault. </w:t>
      </w:r>
      <w:r>
        <w:t>Any nonconsensual sexual act proscribed by federal, tribal, or state law, including when the victim lacks capacity to consent (42 U.S.C. 13925(a)).</w:t>
      </w:r>
    </w:p>
    <w:p w:rsidR="004E13A5" w:rsidRDefault="00681463">
      <w:pPr>
        <w:spacing w:before="120"/>
        <w:ind w:left="100"/>
        <w:rPr>
          <w:sz w:val="24"/>
        </w:rPr>
      </w:pPr>
      <w:r>
        <w:rPr>
          <w:b/>
          <w:i/>
          <w:sz w:val="24"/>
        </w:rPr>
        <w:t xml:space="preserve">Sexual orientation. </w:t>
      </w:r>
      <w:r>
        <w:rPr>
          <w:sz w:val="24"/>
        </w:rPr>
        <w:t>Homosexuality, heterosexuality or bisexuality.</w:t>
      </w:r>
    </w:p>
    <w:p w:rsidR="004E13A5" w:rsidRDefault="00681463">
      <w:pPr>
        <w:pStyle w:val="BodyText"/>
        <w:ind w:left="460" w:right="183" w:hanging="360"/>
      </w:pPr>
      <w:r>
        <w:rPr>
          <w:b/>
          <w:i/>
        </w:rPr>
        <w:t xml:space="preserve">Shared housing. </w:t>
      </w:r>
      <w:r>
        <w:t>A unit occupied by two or more families. The unit consists of both common space for shared use by the occupants of the unit and separate private space for each assisted family. (A special housing type: see 24 CFR 982.615–982.618.)</w:t>
      </w:r>
    </w:p>
    <w:p w:rsidR="004E13A5" w:rsidRDefault="00681463">
      <w:pPr>
        <w:spacing w:before="119"/>
        <w:ind w:left="100"/>
        <w:rPr>
          <w:sz w:val="24"/>
        </w:rPr>
      </w:pPr>
      <w:r>
        <w:rPr>
          <w:b/>
          <w:i/>
          <w:sz w:val="24"/>
        </w:rPr>
        <w:t xml:space="preserve">Single person. </w:t>
      </w:r>
      <w:r>
        <w:rPr>
          <w:sz w:val="24"/>
        </w:rPr>
        <w:t>A person living alone or intending to live alone.</w:t>
      </w:r>
    </w:p>
    <w:p w:rsidR="004E13A5" w:rsidRDefault="00681463">
      <w:pPr>
        <w:pStyle w:val="BodyText"/>
        <w:ind w:left="460" w:right="322" w:hanging="360"/>
      </w:pPr>
      <w:r>
        <w:rPr>
          <w:b/>
          <w:i/>
        </w:rPr>
        <w:t xml:space="preserve">Single room occupancy housing (SRO). </w:t>
      </w:r>
      <w:r>
        <w:t>A unit that contains no sanitary facilities or food preparation facilities, or contains either, but not both, types of facilities. (A special housing type: see 24 CFR 982.602–982.605.)</w:t>
      </w:r>
    </w:p>
    <w:p w:rsidR="004E13A5" w:rsidRDefault="00681463">
      <w:pPr>
        <w:pStyle w:val="BodyText"/>
        <w:ind w:left="460" w:right="116" w:hanging="360"/>
      </w:pPr>
      <w:r>
        <w:rPr>
          <w:b/>
          <w:i/>
        </w:rPr>
        <w:t xml:space="preserve">Small rural public housing agency (PHA). </w:t>
      </w:r>
      <w:r>
        <w:t>Section 38 defines the term “small public housing agency” as a public housing agency “for which the sum of the number of public housing dwelling units administered by the agency and the number of vouchers under section 8(o) administered by the agency is 550 or fewer” and “that predominantly operates in a rural area, as described in section 1026.35(b)(2)(iv)(A) of title 12, Code of Federal Regulations.” After consideration of the public comments discussed above, HUD is interpreting “predominantly operates in a rural area” to mean a small PHA that:</w:t>
      </w:r>
    </w:p>
    <w:p w:rsidR="004E13A5" w:rsidRDefault="00681463">
      <w:pPr>
        <w:pStyle w:val="ListParagraph"/>
        <w:numPr>
          <w:ilvl w:val="1"/>
          <w:numId w:val="4"/>
        </w:numPr>
        <w:tabs>
          <w:tab w:val="left" w:pos="821"/>
        </w:tabs>
        <w:ind w:right="152"/>
        <w:rPr>
          <w:sz w:val="24"/>
        </w:rPr>
      </w:pPr>
      <w:r>
        <w:rPr>
          <w:sz w:val="24"/>
        </w:rPr>
        <w:t>Has a primary administrative building with a physical address in a rural area as</w:t>
      </w:r>
      <w:r>
        <w:rPr>
          <w:spacing w:val="-20"/>
          <w:sz w:val="24"/>
        </w:rPr>
        <w:t xml:space="preserve"> </w:t>
      </w:r>
      <w:r>
        <w:rPr>
          <w:sz w:val="24"/>
        </w:rPr>
        <w:t>described in 12 CFR 1026.35(b)(2)(iv)(A);</w:t>
      </w:r>
      <w:r>
        <w:rPr>
          <w:spacing w:val="-8"/>
          <w:sz w:val="24"/>
        </w:rPr>
        <w:t xml:space="preserve"> </w:t>
      </w:r>
      <w:r>
        <w:rPr>
          <w:sz w:val="24"/>
        </w:rPr>
        <w:t>or</w:t>
      </w:r>
    </w:p>
    <w:p w:rsidR="004E13A5" w:rsidRDefault="00681463">
      <w:pPr>
        <w:pStyle w:val="ListParagraph"/>
        <w:numPr>
          <w:ilvl w:val="1"/>
          <w:numId w:val="4"/>
        </w:numPr>
        <w:tabs>
          <w:tab w:val="left" w:pos="821"/>
        </w:tabs>
        <w:ind w:right="448"/>
        <w:rPr>
          <w:sz w:val="24"/>
        </w:rPr>
      </w:pPr>
      <w:r>
        <w:rPr>
          <w:sz w:val="24"/>
        </w:rPr>
        <w:t>more than 50 percent of its combined public housing units and voucher units under section 8(o) are in rural areas as described in 12 CFR 1026.35(b)(2)(iv)(A). HUD</w:t>
      </w:r>
      <w:r>
        <w:rPr>
          <w:spacing w:val="-14"/>
          <w:sz w:val="24"/>
        </w:rPr>
        <w:t xml:space="preserve"> </w:t>
      </w:r>
      <w:r>
        <w:rPr>
          <w:sz w:val="24"/>
        </w:rPr>
        <w:t>also</w:t>
      </w:r>
    </w:p>
    <w:p w:rsidR="004E13A5" w:rsidRDefault="004E13A5">
      <w:pPr>
        <w:rPr>
          <w:sz w:val="24"/>
        </w:rPr>
        <w:sectPr w:rsidR="004E13A5">
          <w:footerReference w:type="default" r:id="rId113"/>
          <w:pgSz w:w="12240" w:h="15840"/>
          <w:pgMar w:top="1360" w:right="1360" w:bottom="280" w:left="1340" w:header="0" w:footer="0" w:gutter="0"/>
          <w:cols w:space="720"/>
        </w:sectPr>
      </w:pPr>
    </w:p>
    <w:p w:rsidR="004E13A5" w:rsidRDefault="00681463">
      <w:pPr>
        <w:pStyle w:val="BodyText"/>
        <w:spacing w:before="79"/>
        <w:ind w:left="820" w:right="262"/>
      </w:pPr>
      <w:r>
        <w:lastRenderedPageBreak/>
        <w:t>clarifies that voucher units under section 8(o) include those in the tenant-based Housing Choice Voucher (HCV) program and the Project-Based Voucher (PBV) program.</w:t>
      </w:r>
    </w:p>
    <w:p w:rsidR="004E13A5" w:rsidRDefault="004E13A5">
      <w:pPr>
        <w:pStyle w:val="BodyText"/>
        <w:spacing w:before="0"/>
        <w:ind w:left="0"/>
        <w:rPr>
          <w:sz w:val="26"/>
        </w:rPr>
      </w:pPr>
    </w:p>
    <w:p w:rsidR="004E13A5" w:rsidRDefault="00681463">
      <w:pPr>
        <w:pStyle w:val="BodyText"/>
        <w:spacing w:before="216"/>
        <w:ind w:left="460" w:right="122" w:hanging="360"/>
      </w:pPr>
      <w:r>
        <w:rPr>
          <w:b/>
          <w:i/>
        </w:rPr>
        <w:t>Social security number (SSN)</w:t>
      </w:r>
      <w:r>
        <w:rPr>
          <w:b/>
        </w:rPr>
        <w:t xml:space="preserve">. </w:t>
      </w:r>
      <w:r>
        <w:t>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 beneficiary.</w:t>
      </w:r>
    </w:p>
    <w:p w:rsidR="004E13A5" w:rsidRDefault="00681463">
      <w:pPr>
        <w:pStyle w:val="BodyText"/>
        <w:ind w:left="460" w:right="607" w:hanging="360"/>
      </w:pPr>
      <w:r>
        <w:rPr>
          <w:b/>
          <w:i/>
        </w:rPr>
        <w:t xml:space="preserve">Special admission. </w:t>
      </w:r>
      <w:r>
        <w:t>Admission of an applicant that is not on the PHA waiting list or without considering the applicant’s waiting list position.</w:t>
      </w:r>
    </w:p>
    <w:p w:rsidR="004E13A5" w:rsidRDefault="00681463">
      <w:pPr>
        <w:pStyle w:val="BodyText"/>
        <w:ind w:left="460" w:right="62" w:hanging="360"/>
      </w:pPr>
      <w:r>
        <w:rPr>
          <w:b/>
          <w:i/>
        </w:rPr>
        <w:t>Special housing types</w:t>
      </w:r>
      <w:r>
        <w:rPr>
          <w:b/>
        </w:rPr>
        <w:t xml:space="preserve">. </w:t>
      </w:r>
      <w:r>
        <w:t>See subpart M of part 982. Subpart M states the special regulatory requirements for: SRO housing, congregate housing, group homes, shared housing, cooperatives (including mutual housing), and manufactured homes (including manufactured home space rental).</w:t>
      </w:r>
    </w:p>
    <w:p w:rsidR="004E13A5" w:rsidRDefault="00681463">
      <w:pPr>
        <w:pStyle w:val="BodyText"/>
        <w:ind w:left="460" w:right="62" w:hanging="360"/>
      </w:pPr>
      <w:r>
        <w:rPr>
          <w:b/>
          <w:i/>
        </w:rPr>
        <w:t xml:space="preserve">Specified welfare benefit reduction. </w:t>
      </w:r>
      <w:r>
        <w:t>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 program.</w:t>
      </w:r>
    </w:p>
    <w:p w:rsidR="004E13A5" w:rsidRDefault="00681463">
      <w:pPr>
        <w:pStyle w:val="BodyText"/>
      </w:pPr>
      <w:r>
        <w:rPr>
          <w:b/>
          <w:i/>
        </w:rPr>
        <w:t xml:space="preserve">Spouse. </w:t>
      </w:r>
      <w:r>
        <w:t>The marriage partner of the head of household.</w:t>
      </w:r>
    </w:p>
    <w:p w:rsidR="004E13A5" w:rsidRDefault="00681463">
      <w:pPr>
        <w:pStyle w:val="BodyText"/>
        <w:ind w:left="460" w:right="95" w:hanging="360"/>
      </w:pPr>
      <w:r>
        <w:rPr>
          <w:b/>
          <w:i/>
        </w:rPr>
        <w:t xml:space="preserve">Stalking. </w:t>
      </w:r>
      <w:r>
        <w:t>To follow, pursue, or repeatedly commit acts with the intent to kill, injure, harass, or intimidate; or to place under surveillance with the intent to kill, injure, harass, or intimidate another person; and in the course of, or as a result of, such following, pursuit, surveillance, or repeatedly committed acts, to place a person in reasonable fear of the death of, or serious bodily injury to, or to cause substantial emotional harm to (1) that person, (2) a member of the immediate family of that person, or (3) the spouse or intimate partner of that person.</w:t>
      </w:r>
    </w:p>
    <w:p w:rsidR="004E13A5" w:rsidRDefault="00681463">
      <w:pPr>
        <w:pStyle w:val="BodyText"/>
        <w:ind w:left="460" w:right="62" w:hanging="360"/>
      </w:pPr>
      <w:r>
        <w:rPr>
          <w:b/>
          <w:i/>
        </w:rPr>
        <w:t>State wage information collection agency (SWICA)</w:t>
      </w:r>
      <w:r>
        <w:rPr>
          <w:b/>
        </w:rPr>
        <w:t xml:space="preserve">. </w:t>
      </w:r>
      <w:r>
        <w:t>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p>
    <w:p w:rsidR="004E13A5" w:rsidRDefault="00681463">
      <w:pPr>
        <w:pStyle w:val="BodyText"/>
        <w:ind w:left="460" w:right="62" w:hanging="360"/>
      </w:pPr>
      <w:r>
        <w:rPr>
          <w:b/>
          <w:i/>
        </w:rPr>
        <w:t xml:space="preserve">Subsidy standards. </w:t>
      </w:r>
      <w:r>
        <w:t>Standards established by a PHA to determine the appropriate number of bedrooms and amount of subsidy for families of different sizes and compositions.</w:t>
      </w:r>
    </w:p>
    <w:p w:rsidR="004E13A5" w:rsidRDefault="00681463">
      <w:pPr>
        <w:pStyle w:val="BodyText"/>
        <w:ind w:left="460" w:right="174" w:hanging="360"/>
        <w:rPr>
          <w:i/>
        </w:rPr>
      </w:pPr>
      <w:r>
        <w:rPr>
          <w:b/>
          <w:i/>
        </w:rPr>
        <w:t>Suspension</w:t>
      </w:r>
      <w:r>
        <w:rPr>
          <w:b/>
        </w:rPr>
        <w:t xml:space="preserve">. </w:t>
      </w:r>
      <w:r>
        <w:t xml:space="preserve">Stopping the clock on the term of a family’s voucher after the family submits a request for tenancy approval. If the PHA decides to allow extensions or suspensions of the voucher term, the PHA administrative plan must describe how the PHA determines whether to grant extensions or suspensions, and how the PHA determines the length of any extension or suspension. This practice is also called </w:t>
      </w:r>
      <w:r>
        <w:rPr>
          <w:i/>
        </w:rPr>
        <w:t>tolling.</w:t>
      </w:r>
    </w:p>
    <w:p w:rsidR="004E13A5" w:rsidRDefault="00681463">
      <w:pPr>
        <w:pStyle w:val="BodyText"/>
        <w:ind w:left="460" w:right="82" w:hanging="360"/>
      </w:pPr>
      <w:r>
        <w:rPr>
          <w:b/>
          <w:i/>
        </w:rPr>
        <w:t xml:space="preserve">Tax credit rent. </w:t>
      </w:r>
      <w:r>
        <w:t>With regard to certain tax credit units, the rent charged for comparable units of the same bedroom size in the building that also receive the low-income housing tax credit but do not have any additional rental assistance (e.g., tenant-based voucher assistance).</w:t>
      </w:r>
    </w:p>
    <w:p w:rsidR="004E13A5" w:rsidRDefault="00681463">
      <w:pPr>
        <w:pStyle w:val="BodyText"/>
        <w:ind w:left="460" w:right="409" w:hanging="360"/>
      </w:pPr>
      <w:r>
        <w:rPr>
          <w:b/>
          <w:i/>
        </w:rPr>
        <w:t xml:space="preserve">Tenancy addendum. </w:t>
      </w:r>
      <w:r>
        <w:t>For the housing choice voucher program, the lease language required by HUD in the lease between the tenant and the owner.</w:t>
      </w:r>
    </w:p>
    <w:p w:rsidR="004E13A5" w:rsidRDefault="004E13A5">
      <w:pPr>
        <w:sectPr w:rsidR="004E13A5">
          <w:footerReference w:type="default" r:id="rId114"/>
          <w:pgSz w:w="12240" w:h="15840"/>
          <w:pgMar w:top="1360" w:right="1360" w:bottom="280" w:left="1340" w:header="0" w:footer="0" w:gutter="0"/>
          <w:cols w:space="720"/>
        </w:sectPr>
      </w:pPr>
    </w:p>
    <w:p w:rsidR="004E13A5" w:rsidRDefault="00681463">
      <w:pPr>
        <w:pStyle w:val="BodyText"/>
        <w:spacing w:before="79"/>
        <w:ind w:left="460" w:right="229" w:hanging="360"/>
      </w:pPr>
      <w:r>
        <w:rPr>
          <w:b/>
          <w:i/>
        </w:rPr>
        <w:lastRenderedPageBreak/>
        <w:t>Tenant</w:t>
      </w:r>
      <w:r>
        <w:rPr>
          <w:b/>
        </w:rPr>
        <w:t xml:space="preserve">. </w:t>
      </w:r>
      <w:r>
        <w:t>The person or persons (other than a live-in aide) who executes the lease as lessee of the dwelling unit.</w:t>
      </w:r>
    </w:p>
    <w:p w:rsidR="004E13A5" w:rsidRDefault="00681463">
      <w:pPr>
        <w:spacing w:before="119"/>
        <w:ind w:left="100"/>
        <w:rPr>
          <w:sz w:val="24"/>
        </w:rPr>
      </w:pPr>
      <w:r>
        <w:rPr>
          <w:b/>
          <w:i/>
          <w:sz w:val="24"/>
        </w:rPr>
        <w:t xml:space="preserve">Tenant rent to owner. </w:t>
      </w:r>
      <w:r>
        <w:rPr>
          <w:sz w:val="24"/>
        </w:rPr>
        <w:t xml:space="preserve">See </w:t>
      </w:r>
      <w:r>
        <w:rPr>
          <w:i/>
          <w:sz w:val="24"/>
        </w:rPr>
        <w:t>family rent to owner</w:t>
      </w:r>
      <w:r>
        <w:rPr>
          <w:sz w:val="24"/>
        </w:rPr>
        <w:t>.</w:t>
      </w:r>
    </w:p>
    <w:p w:rsidR="004E13A5" w:rsidRDefault="00681463">
      <w:pPr>
        <w:pStyle w:val="BodyText"/>
      </w:pPr>
      <w:r>
        <w:rPr>
          <w:b/>
          <w:i/>
        </w:rPr>
        <w:t xml:space="preserve">Term of lease. </w:t>
      </w:r>
      <w:r>
        <w:t>The amount of time a tenant agrees in writing to live in a dwelling unit.</w:t>
      </w:r>
    </w:p>
    <w:p w:rsidR="004E13A5" w:rsidRDefault="00681463">
      <w:pPr>
        <w:spacing w:before="119"/>
        <w:ind w:left="460" w:right="242" w:hanging="360"/>
        <w:rPr>
          <w:sz w:val="24"/>
        </w:rPr>
      </w:pPr>
      <w:r>
        <w:rPr>
          <w:b/>
          <w:i/>
          <w:sz w:val="24"/>
        </w:rPr>
        <w:t>Total tenant payment (TTP)</w:t>
      </w:r>
      <w:r>
        <w:rPr>
          <w:b/>
          <w:sz w:val="24"/>
        </w:rPr>
        <w:t xml:space="preserve">. </w:t>
      </w:r>
      <w:r>
        <w:rPr>
          <w:sz w:val="24"/>
        </w:rPr>
        <w:t>The total amount the HUD rent formula requires the tenant to pay toward rent and utilities.</w:t>
      </w:r>
    </w:p>
    <w:p w:rsidR="004E13A5" w:rsidRDefault="00681463">
      <w:pPr>
        <w:pStyle w:val="BodyText"/>
        <w:ind w:left="460" w:right="182" w:hanging="360"/>
      </w:pPr>
      <w:r>
        <w:rPr>
          <w:b/>
          <w:i/>
        </w:rPr>
        <w:t>Unit</w:t>
      </w:r>
      <w:r>
        <w:rPr>
          <w:b/>
        </w:rPr>
        <w:t xml:space="preserve">. </w:t>
      </w:r>
      <w:r>
        <w:t>Residential space for the private use of a family. The size of a unit is based on the number of bedrooms contained within the unit and generally ranges from zero (0) bedrooms to</w:t>
      </w:r>
    </w:p>
    <w:p w:rsidR="004E13A5" w:rsidRDefault="00681463">
      <w:pPr>
        <w:pStyle w:val="BodyText"/>
        <w:spacing w:before="0"/>
        <w:ind w:left="460"/>
      </w:pPr>
      <w:r>
        <w:t>six (6) bedrooms.</w:t>
      </w:r>
    </w:p>
    <w:p w:rsidR="004E13A5" w:rsidRDefault="00681463">
      <w:pPr>
        <w:pStyle w:val="BodyText"/>
        <w:spacing w:before="120"/>
        <w:ind w:left="460" w:hanging="360"/>
      </w:pPr>
      <w:r>
        <w:rPr>
          <w:b/>
          <w:i/>
        </w:rPr>
        <w:t xml:space="preserve">Utilities. </w:t>
      </w:r>
      <w:r>
        <w:t>Water, electricity, gas, other heating, refrigeration, cooking fuels, trash collection, and sewage services. Telephone service is not included.</w:t>
      </w:r>
    </w:p>
    <w:p w:rsidR="004E13A5" w:rsidRDefault="00681463">
      <w:pPr>
        <w:pStyle w:val="BodyText"/>
        <w:spacing w:before="120"/>
        <w:ind w:left="460" w:right="101" w:hanging="360"/>
      </w:pPr>
      <w:r>
        <w:rPr>
          <w:b/>
          <w:i/>
        </w:rPr>
        <w:t>Utility allowance</w:t>
      </w:r>
      <w:r>
        <w:rPr>
          <w:b/>
        </w:rPr>
        <w:t xml:space="preserve">. </w:t>
      </w:r>
      <w:r>
        <w:t>If the cost of utilities (except telephone) and other housing services for an assisted unit is not included in the tenant rent but is the responsibility of the family</w:t>
      </w:r>
      <w:r>
        <w:rPr>
          <w:spacing w:val="-16"/>
        </w:rPr>
        <w:t xml:space="preserve"> </w:t>
      </w:r>
      <w:r>
        <w:t xml:space="preserve">occupying the unit, an amount equal to the estimate made or approved by a PHA or HUD of the monthly cost of a reasonable consumption of such utilities and other services for the unit </w:t>
      </w:r>
      <w:r>
        <w:rPr>
          <w:spacing w:val="2"/>
        </w:rPr>
        <w:t xml:space="preserve">by </w:t>
      </w:r>
      <w:r>
        <w:t>an energy-conservative household of modest circumstances consistent with the requirements of a safe, sanitary, and healthful living</w:t>
      </w:r>
      <w:r>
        <w:rPr>
          <w:spacing w:val="-9"/>
        </w:rPr>
        <w:t xml:space="preserve"> </w:t>
      </w:r>
      <w:r>
        <w:t>environment.</w:t>
      </w:r>
    </w:p>
    <w:p w:rsidR="004E13A5" w:rsidRDefault="00681463">
      <w:pPr>
        <w:pStyle w:val="BodyText"/>
        <w:spacing w:before="120"/>
        <w:ind w:left="460" w:right="262" w:hanging="360"/>
      </w:pPr>
      <w:r>
        <w:rPr>
          <w:b/>
          <w:i/>
        </w:rPr>
        <w:t>Utility reimbursement</w:t>
      </w:r>
      <w:r>
        <w:rPr>
          <w:b/>
        </w:rPr>
        <w:t xml:space="preserve">. </w:t>
      </w:r>
      <w:r>
        <w:t>In the voucher program, the portion of the housing assistance payment which exceeds the amount of rent to owner.</w:t>
      </w:r>
    </w:p>
    <w:p w:rsidR="004E13A5" w:rsidRDefault="00681463">
      <w:pPr>
        <w:pStyle w:val="BodyText"/>
        <w:spacing w:before="120"/>
        <w:ind w:left="460" w:right="283" w:hanging="360"/>
      </w:pPr>
      <w:r>
        <w:rPr>
          <w:b/>
          <w:i/>
        </w:rPr>
        <w:t xml:space="preserve">Utility hook-up charge. </w:t>
      </w:r>
      <w:r>
        <w:t>In a manufactured home space rental: Costs payable by a family for connecting the manufactured home to utilities such as water, gas, electrical and sewer lines.</w:t>
      </w:r>
    </w:p>
    <w:p w:rsidR="004E13A5" w:rsidRDefault="00681463">
      <w:pPr>
        <w:pStyle w:val="BodyText"/>
        <w:spacing w:before="120"/>
        <w:ind w:left="460" w:right="96" w:hanging="360"/>
      </w:pPr>
      <w:r>
        <w:rPr>
          <w:b/>
          <w:i/>
        </w:rPr>
        <w:t xml:space="preserve">Very low-income family. </w:t>
      </w:r>
      <w:r>
        <w:t>A low-income family whose annual income does not exceed 50 percent of the median income for the area, as determined by HUD, with adjustments for smaller and larger families. HUD may establish income limits higher or lower than 50 percent of the median income for the area on the basis of its finding that such variations are necessary because of unusually high or low family incomes. This is the income limit for the housing choice voucher program.</w:t>
      </w:r>
    </w:p>
    <w:p w:rsidR="004E13A5" w:rsidRDefault="00681463">
      <w:pPr>
        <w:pStyle w:val="BodyText"/>
        <w:spacing w:before="120"/>
        <w:ind w:left="460" w:right="262" w:hanging="360"/>
      </w:pPr>
      <w:r>
        <w:rPr>
          <w:b/>
          <w:i/>
        </w:rPr>
        <w:t xml:space="preserve">Veteran. </w:t>
      </w:r>
      <w:r>
        <w:t>A person who has served in the active military or naval service of the United States at any time and who shall have been discharged or released therefrom under conditions other than dishonorable.</w:t>
      </w:r>
    </w:p>
    <w:p w:rsidR="004E13A5" w:rsidRDefault="00681463">
      <w:pPr>
        <w:spacing w:before="120"/>
        <w:ind w:left="460" w:right="312" w:hanging="360"/>
        <w:rPr>
          <w:sz w:val="24"/>
        </w:rPr>
      </w:pPr>
      <w:r>
        <w:rPr>
          <w:b/>
          <w:i/>
          <w:sz w:val="24"/>
        </w:rPr>
        <w:t xml:space="preserve">Violence Against Women Reauthorization Act (VAWA) of 2013. </w:t>
      </w:r>
      <w:r>
        <w:rPr>
          <w:sz w:val="24"/>
        </w:rPr>
        <w:t>Prohibits denying admission to the program to an otherwise qualified applicant on the basis that the applicant is or has been a victim of domestic violence, dating violence, sexual assault, or stalking.</w:t>
      </w:r>
    </w:p>
    <w:p w:rsidR="004E13A5" w:rsidRDefault="00681463">
      <w:pPr>
        <w:pStyle w:val="BodyText"/>
        <w:spacing w:before="120"/>
        <w:ind w:left="460" w:right="296" w:hanging="360"/>
      </w:pPr>
      <w:r>
        <w:rPr>
          <w:b/>
          <w:i/>
        </w:rPr>
        <w:t xml:space="preserve">Violent criminal activity. </w:t>
      </w:r>
      <w:r>
        <w:t>Any illegal criminal activity that has as one of its elements the use, attempted use, or threatened use of physical force against the person or property of another.</w:t>
      </w:r>
    </w:p>
    <w:p w:rsidR="004E13A5" w:rsidRDefault="00681463">
      <w:pPr>
        <w:pStyle w:val="BodyText"/>
        <w:ind w:left="460" w:hanging="360"/>
      </w:pPr>
      <w:r>
        <w:rPr>
          <w:b/>
          <w:i/>
        </w:rPr>
        <w:t xml:space="preserve">Voucher </w:t>
      </w:r>
      <w:r>
        <w:rPr>
          <w:i/>
        </w:rPr>
        <w:t xml:space="preserve">(housing choice voucher). </w:t>
      </w:r>
      <w:r>
        <w:t>A document issued by a PHA to a family selected for admission to the housing choice voucher program. This document describes the program and the procedures for PHA approval of a unit selected by the family. The voucher also states obligations of the family under the program.</w:t>
      </w:r>
    </w:p>
    <w:p w:rsidR="004E13A5" w:rsidRDefault="00681463">
      <w:pPr>
        <w:pStyle w:val="BodyText"/>
      </w:pPr>
      <w:r>
        <w:rPr>
          <w:b/>
          <w:i/>
        </w:rPr>
        <w:t xml:space="preserve">Voucher holder. </w:t>
      </w:r>
      <w:r>
        <w:t>A family holding a voucher with an unexpired term (search time).</w:t>
      </w:r>
    </w:p>
    <w:p w:rsidR="004E13A5" w:rsidRDefault="004E13A5">
      <w:pPr>
        <w:sectPr w:rsidR="004E13A5">
          <w:footerReference w:type="default" r:id="rId115"/>
          <w:pgSz w:w="12240" w:h="15840"/>
          <w:pgMar w:top="1360" w:right="1340" w:bottom="280" w:left="1340" w:header="0" w:footer="0" w:gutter="0"/>
          <w:cols w:space="720"/>
        </w:sectPr>
      </w:pPr>
    </w:p>
    <w:p w:rsidR="004E13A5" w:rsidRDefault="00681463">
      <w:pPr>
        <w:spacing w:before="79"/>
        <w:ind w:left="100"/>
        <w:rPr>
          <w:sz w:val="24"/>
        </w:rPr>
      </w:pPr>
      <w:r>
        <w:rPr>
          <w:b/>
          <w:i/>
          <w:sz w:val="24"/>
        </w:rPr>
        <w:lastRenderedPageBreak/>
        <w:t xml:space="preserve">Voucher program. </w:t>
      </w:r>
      <w:r>
        <w:rPr>
          <w:sz w:val="24"/>
        </w:rPr>
        <w:t>The housing choice voucher program.</w:t>
      </w:r>
    </w:p>
    <w:p w:rsidR="004E13A5" w:rsidRDefault="00681463">
      <w:pPr>
        <w:pStyle w:val="BodyText"/>
        <w:ind w:left="460" w:hanging="360"/>
      </w:pPr>
      <w:r>
        <w:rPr>
          <w:b/>
          <w:i/>
        </w:rPr>
        <w:t xml:space="preserve">Waiting list. </w:t>
      </w:r>
      <w:r>
        <w:t>A list of families organized according to HUD regulations and PHA policy who are waiting for a unit to become available.</w:t>
      </w:r>
    </w:p>
    <w:p w:rsidR="004E13A5" w:rsidRDefault="00681463">
      <w:pPr>
        <w:spacing w:before="119"/>
        <w:ind w:left="100"/>
        <w:rPr>
          <w:sz w:val="24"/>
        </w:rPr>
      </w:pPr>
      <w:r>
        <w:rPr>
          <w:b/>
          <w:i/>
          <w:sz w:val="24"/>
        </w:rPr>
        <w:t xml:space="preserve">Waiting list admission. </w:t>
      </w:r>
      <w:r>
        <w:rPr>
          <w:sz w:val="24"/>
        </w:rPr>
        <w:t>An admission from the PHA waiting list.</w:t>
      </w:r>
    </w:p>
    <w:p w:rsidR="004E13A5" w:rsidRDefault="00681463">
      <w:pPr>
        <w:pStyle w:val="BodyText"/>
        <w:ind w:left="460" w:right="82" w:hanging="360"/>
      </w:pPr>
      <w:r>
        <w:rPr>
          <w:b/>
          <w:i/>
        </w:rPr>
        <w:t>Welfare assistance</w:t>
      </w:r>
      <w: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t>
      </w:r>
      <w:r>
        <w:rPr>
          <w:i/>
        </w:rPr>
        <w:t xml:space="preserve">welfare assistance </w:t>
      </w:r>
      <w:r>
        <w:t>includes only cash maintenance payments from federal or state programs designed to meet a family’s ongoing basic needs, but does not include food stamps, emergency rental and utilities assistance, SSI, SSDI, or social security.</w:t>
      </w:r>
    </w:p>
    <w:sectPr w:rsidR="004E13A5">
      <w:footerReference w:type="default" r:id="rId116"/>
      <w:pgSz w:w="12240" w:h="15840"/>
      <w:pgMar w:top="1360" w:right="13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C9" w:rsidRDefault="00BA59C9">
      <w:r>
        <w:separator/>
      </w:r>
    </w:p>
  </w:endnote>
  <w:endnote w:type="continuationSeparator" w:id="0">
    <w:p w:rsidR="00BA59C9" w:rsidRDefault="00BA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14"/>
      </w:rPr>
    </w:pPr>
    <w:r>
      <w:rPr>
        <w:noProof/>
      </w:rPr>
      <mc:AlternateContent>
        <mc:Choice Requires="wps">
          <w:drawing>
            <wp:anchor distT="0" distB="0" distL="114300" distR="114300" simplePos="0" relativeHeight="503038496" behindDoc="1" locked="0" layoutInCell="1" allowOverlap="1">
              <wp:simplePos x="0" y="0"/>
              <wp:positionH relativeFrom="page">
                <wp:posOffset>3803650</wp:posOffset>
              </wp:positionH>
              <wp:positionV relativeFrom="page">
                <wp:posOffset>9638665</wp:posOffset>
              </wp:positionV>
              <wp:extent cx="167005" cy="152400"/>
              <wp:effectExtent l="3175" t="0" r="127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2" type="#_x0000_t202" style="position:absolute;margin-left:299.5pt;margin-top:758.95pt;width:13.15pt;height:12pt;z-index:-2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l6rgIAAKo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31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712" behindDoc="1" locked="0" layoutInCell="1" allowOverlap="1">
              <wp:simplePos x="0" y="0"/>
              <wp:positionH relativeFrom="page">
                <wp:posOffset>3787140</wp:posOffset>
              </wp:positionH>
              <wp:positionV relativeFrom="page">
                <wp:posOffset>9246870</wp:posOffset>
              </wp:positionV>
              <wp:extent cx="199390" cy="152400"/>
              <wp:effectExtent l="0" t="0" r="444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20"/>
                            <w:rPr>
                              <w:sz w:val="18"/>
                            </w:rPr>
                          </w:pPr>
                          <w:r>
                            <w:rPr>
                              <w:sz w:val="18"/>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1" type="#_x0000_t202" style="position:absolute;margin-left:298.2pt;margin-top:728.1pt;width:15.7pt;height:12pt;z-index:-27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" filled="f" stroked="f">
              <v:textbox inset="0,0,0,0">
                <w:txbxContent>
                  <w:p w:rsidR="00BA59C9" w:rsidRDefault="00BA59C9">
                    <w:pPr>
                      <w:spacing w:before="12"/>
                      <w:ind w:left="20"/>
                      <w:rPr>
                        <w:sz w:val="18"/>
                      </w:rPr>
                    </w:pPr>
                    <w:r>
                      <w:rPr>
                        <w:sz w:val="18"/>
                      </w:rPr>
                      <w:t>400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736" behindDoc="1" locked="0" layoutInCell="1" allowOverlap="1">
              <wp:simplePos x="0" y="0"/>
              <wp:positionH relativeFrom="page">
                <wp:posOffset>3774440</wp:posOffset>
              </wp:positionH>
              <wp:positionV relativeFrom="page">
                <wp:posOffset>9246870</wp:posOffset>
              </wp:positionV>
              <wp:extent cx="224790" cy="152400"/>
              <wp:effectExtent l="2540" t="0"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401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2" type="#_x0000_t202" style="position:absolute;margin-left:297.2pt;margin-top:728.1pt;width:17.7pt;height:12pt;z-index:-27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j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401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760" behindDoc="1" locked="0" layoutInCell="1" allowOverlap="1">
              <wp:simplePos x="0" y="0"/>
              <wp:positionH relativeFrom="page">
                <wp:posOffset>3832225</wp:posOffset>
              </wp:positionH>
              <wp:positionV relativeFrom="page">
                <wp:posOffset>9246870</wp:posOffset>
              </wp:positionV>
              <wp:extent cx="107950" cy="152400"/>
              <wp:effectExtent l="3175"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3" type="#_x0000_t202" style="position:absolute;margin-left:301.75pt;margin-top:728.1pt;width:8.5pt;height:12pt;z-index:-27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evsA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8</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784" behindDoc="1" locked="0" layoutInCell="1" allowOverlap="1">
              <wp:simplePos x="0" y="0"/>
              <wp:positionH relativeFrom="page">
                <wp:posOffset>3816350</wp:posOffset>
              </wp:positionH>
              <wp:positionV relativeFrom="page">
                <wp:posOffset>9457690</wp:posOffset>
              </wp:positionV>
              <wp:extent cx="141605" cy="152400"/>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20"/>
                            <w:rPr>
                              <w:sz w:val="18"/>
                            </w:rPr>
                          </w:pPr>
                          <w:r>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4" type="#_x0000_t202" style="position:absolute;margin-left:300.5pt;margin-top:744.7pt;width:11.15pt;height:12pt;z-index:-2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oArwIAALA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" filled="f" stroked="f">
              <v:textbox inset="0,0,0,0">
                <w:txbxContent>
                  <w:p w:rsidR="00BA59C9" w:rsidRDefault="00BA59C9">
                    <w:pPr>
                      <w:spacing w:before="12"/>
                      <w:ind w:left="20"/>
                      <w:rPr>
                        <w:sz w:val="18"/>
                      </w:rPr>
                    </w:pPr>
                    <w:r>
                      <w:rPr>
                        <w:sz w:val="18"/>
                      </w:rPr>
                      <w:t>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520" behindDoc="1" locked="0" layoutInCell="1" allowOverlap="1">
              <wp:simplePos x="0" y="0"/>
              <wp:positionH relativeFrom="page">
                <wp:posOffset>3787140</wp:posOffset>
              </wp:positionH>
              <wp:positionV relativeFrom="page">
                <wp:posOffset>9638665</wp:posOffset>
              </wp:positionV>
              <wp:extent cx="199390" cy="152400"/>
              <wp:effectExtent l="0" t="0" r="444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20"/>
                            <w:rPr>
                              <w:sz w:val="18"/>
                            </w:rPr>
                          </w:pPr>
                          <w:r>
                            <w:rPr>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3" type="#_x0000_t202" style="position:absolute;margin-left:298.2pt;margin-top:758.95pt;width:15.7pt;height:12pt;z-index:-27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rsA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" filled="f" stroked="f">
              <v:textbox inset="0,0,0,0">
                <w:txbxContent>
                  <w:p w:rsidR="00BA59C9" w:rsidRDefault="00BA59C9">
                    <w:pPr>
                      <w:spacing w:before="12"/>
                      <w:ind w:left="20"/>
                      <w:rPr>
                        <w:sz w:val="18"/>
                      </w:rPr>
                    </w:pPr>
                    <w:r>
                      <w:rPr>
                        <w:sz w:val="18"/>
                      </w:rPr>
                      <w:t>100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544" behindDoc="1" locked="0" layoutInCell="1" allowOverlap="1">
              <wp:simplePos x="0" y="0"/>
              <wp:positionH relativeFrom="page">
                <wp:posOffset>3774440</wp:posOffset>
              </wp:positionH>
              <wp:positionV relativeFrom="page">
                <wp:posOffset>9638665</wp:posOffset>
              </wp:positionV>
              <wp:extent cx="224790" cy="152400"/>
              <wp:effectExtent l="2540" t="0" r="127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4" type="#_x0000_t202" style="position:absolute;margin-left:297.2pt;margin-top:758.95pt;width:17.7pt;height:12pt;z-index:-27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cesQIAALE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101</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568" behindDoc="1" locked="0" layoutInCell="1" allowOverlap="1">
              <wp:simplePos x="0" y="0"/>
              <wp:positionH relativeFrom="page">
                <wp:posOffset>3774440</wp:posOffset>
              </wp:positionH>
              <wp:positionV relativeFrom="page">
                <wp:posOffset>9747250</wp:posOffset>
              </wp:positionV>
              <wp:extent cx="224790" cy="194945"/>
              <wp:effectExtent l="2540" t="3175" r="127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79"/>
                            <w:ind w:left="40"/>
                            <w:rPr>
                              <w:sz w:val="18"/>
                            </w:rPr>
                          </w:pPr>
                          <w:r>
                            <w:fldChar w:fldCharType="begin"/>
                          </w:r>
                          <w:r>
                            <w:rPr>
                              <w:sz w:val="18"/>
                            </w:rPr>
                            <w:instrText xml:space="preserve"> PAGE </w:instrText>
                          </w:r>
                          <w:r>
                            <w:fldChar w:fldCharType="separate"/>
                          </w:r>
                          <w: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5" type="#_x0000_t202" style="position:absolute;margin-left:297.2pt;margin-top:767.5pt;width:17.7pt;height:15.35pt;z-index:-27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5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" filled="f" stroked="f">
              <v:textbox inset="0,0,0,0">
                <w:txbxContent>
                  <w:p w:rsidR="00BA59C9" w:rsidRDefault="00BA59C9">
                    <w:pPr>
                      <w:spacing w:before="79"/>
                      <w:ind w:left="40"/>
                      <w:rPr>
                        <w:sz w:val="18"/>
                      </w:rPr>
                    </w:pPr>
                    <w:r>
                      <w:fldChar w:fldCharType="begin"/>
                    </w:r>
                    <w:r>
                      <w:rPr>
                        <w:sz w:val="18"/>
                      </w:rPr>
                      <w:instrText xml:space="preserve"> PAGE </w:instrText>
                    </w:r>
                    <w:r>
                      <w:fldChar w:fldCharType="separate"/>
                    </w:r>
                    <w:r>
                      <w:t>149</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14"/>
      </w:rPr>
    </w:pPr>
    <w:r>
      <w:rPr>
        <w:noProof/>
      </w:rPr>
      <mc:AlternateContent>
        <mc:Choice Requires="wps">
          <w:drawing>
            <wp:anchor distT="0" distB="0" distL="114300" distR="114300" simplePos="0" relativeHeight="503038592" behindDoc="1" locked="0" layoutInCell="1" allowOverlap="1">
              <wp:simplePos x="0" y="0"/>
              <wp:positionH relativeFrom="page">
                <wp:posOffset>3774440</wp:posOffset>
              </wp:positionH>
              <wp:positionV relativeFrom="page">
                <wp:posOffset>9246870</wp:posOffset>
              </wp:positionV>
              <wp:extent cx="224790" cy="152400"/>
              <wp:effectExtent l="2540" t="0" r="127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182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6" type="#_x0000_t202" style="position:absolute;margin-left:297.2pt;margin-top:728.1pt;width:17.7pt;height:12pt;z-index:-2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182</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616" behindDoc="1" locked="0" layoutInCell="1" allowOverlap="1">
              <wp:simplePos x="0" y="0"/>
              <wp:positionH relativeFrom="page">
                <wp:posOffset>3787140</wp:posOffset>
              </wp:positionH>
              <wp:positionV relativeFrom="page">
                <wp:posOffset>9246870</wp:posOffset>
              </wp:positionV>
              <wp:extent cx="199390" cy="152400"/>
              <wp:effectExtent l="0" t="0" r="444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20"/>
                            <w:rPr>
                              <w:sz w:val="18"/>
                            </w:rPr>
                          </w:pPr>
                          <w:r>
                            <w:rPr>
                              <w:sz w:val="18"/>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7" type="#_x0000_t202" style="position:absolute;margin-left:298.2pt;margin-top:728.1pt;width:15.7pt;height:12pt;z-index:-27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" filled="f" stroked="f">
              <v:textbox inset="0,0,0,0">
                <w:txbxContent>
                  <w:p w:rsidR="00BA59C9" w:rsidRDefault="00BA59C9">
                    <w:pPr>
                      <w:spacing w:before="12"/>
                      <w:ind w:left="20"/>
                      <w:rPr>
                        <w:sz w:val="18"/>
                      </w:rPr>
                    </w:pPr>
                    <w:r>
                      <w:rPr>
                        <w:sz w:val="18"/>
                      </w:rPr>
                      <w:t>200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17"/>
      </w:rPr>
    </w:pPr>
    <w:r>
      <w:rPr>
        <w:noProof/>
      </w:rPr>
      <mc:AlternateContent>
        <mc:Choice Requires="wps">
          <w:drawing>
            <wp:anchor distT="0" distB="0" distL="114300" distR="114300" simplePos="0" relativeHeight="503038640" behindDoc="1" locked="0" layoutInCell="1" allowOverlap="1">
              <wp:simplePos x="0" y="0"/>
              <wp:positionH relativeFrom="page">
                <wp:posOffset>3774440</wp:posOffset>
              </wp:positionH>
              <wp:positionV relativeFrom="page">
                <wp:posOffset>9246870</wp:posOffset>
              </wp:positionV>
              <wp:extent cx="224790" cy="152400"/>
              <wp:effectExtent l="2540" t="0" r="127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235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8" type="#_x0000_t202" style="position:absolute;margin-left:297.2pt;margin-top:728.1pt;width:17.7pt;height:12pt;z-index:-27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jtsQIAAK8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235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20"/>
      </w:rPr>
    </w:pPr>
    <w:r>
      <w:rPr>
        <w:noProof/>
      </w:rPr>
      <mc:AlternateContent>
        <mc:Choice Requires="wps">
          <w:drawing>
            <wp:anchor distT="0" distB="0" distL="114300" distR="114300" simplePos="0" relativeHeight="503038664" behindDoc="1" locked="0" layoutInCell="1" allowOverlap="1">
              <wp:simplePos x="0" y="0"/>
              <wp:positionH relativeFrom="page">
                <wp:posOffset>3787140</wp:posOffset>
              </wp:positionH>
              <wp:positionV relativeFrom="page">
                <wp:posOffset>9246870</wp:posOffset>
              </wp:positionV>
              <wp:extent cx="199390" cy="152400"/>
              <wp:effectExtent l="0" t="0" r="444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20"/>
                            <w:rPr>
                              <w:sz w:val="18"/>
                            </w:rPr>
                          </w:pPr>
                          <w:r>
                            <w:rPr>
                              <w:sz w:val="18"/>
                            </w:rPr>
                            <w:t>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9" type="#_x0000_t202" style="position:absolute;margin-left:298.2pt;margin-top:728.1pt;width:15.7pt;height:12pt;z-index:-27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dysAIAAK8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" filled="f" stroked="f">
              <v:textbox inset="0,0,0,0">
                <w:txbxContent>
                  <w:p w:rsidR="00BA59C9" w:rsidRDefault="00BA59C9">
                    <w:pPr>
                      <w:spacing w:before="12"/>
                      <w:ind w:left="20"/>
                      <w:rPr>
                        <w:sz w:val="18"/>
                      </w:rPr>
                    </w:pPr>
                    <w:r>
                      <w:rPr>
                        <w:sz w:val="18"/>
                      </w:rPr>
                      <w:t>300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C9" w:rsidRDefault="00BA59C9">
    <w:pPr>
      <w:pStyle w:val="BodyText"/>
      <w:spacing w:before="0" w:line="14" w:lineRule="auto"/>
      <w:ind w:left="0"/>
      <w:rPr>
        <w:sz w:val="14"/>
      </w:rPr>
    </w:pPr>
    <w:r>
      <w:rPr>
        <w:noProof/>
      </w:rPr>
      <mc:AlternateContent>
        <mc:Choice Requires="wps">
          <w:drawing>
            <wp:anchor distT="0" distB="0" distL="114300" distR="114300" simplePos="0" relativeHeight="503038688" behindDoc="1" locked="0" layoutInCell="1" allowOverlap="1">
              <wp:simplePos x="0" y="0"/>
              <wp:positionH relativeFrom="page">
                <wp:posOffset>3774440</wp:posOffset>
              </wp:positionH>
              <wp:positionV relativeFrom="page">
                <wp:posOffset>9246870</wp:posOffset>
              </wp:positionV>
              <wp:extent cx="224790" cy="152400"/>
              <wp:effectExtent l="2540" t="0" r="127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9C9" w:rsidRDefault="00BA59C9">
                          <w:pPr>
                            <w:spacing w:before="12"/>
                            <w:ind w:left="40"/>
                            <w:rPr>
                              <w:sz w:val="18"/>
                            </w:rPr>
                          </w:pPr>
                          <w:r>
                            <w:fldChar w:fldCharType="begin"/>
                          </w:r>
                          <w:r>
                            <w:rPr>
                              <w:sz w:val="18"/>
                            </w:rPr>
                            <w:instrText xml:space="preserve"> PAGE </w:instrText>
                          </w:r>
                          <w:r>
                            <w:fldChar w:fldCharType="separate"/>
                          </w:r>
                          <w:r>
                            <w:t>330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0" type="#_x0000_t202" style="position:absolute;margin-left:297.2pt;margin-top:728.1pt;width:17.7pt;height:12pt;z-index:-2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rWsAIAAK8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" filled="f" stroked="f">
              <v:textbox inset="0,0,0,0">
                <w:txbxContent>
                  <w:p w:rsidR="00BA59C9" w:rsidRDefault="00BA59C9">
                    <w:pPr>
                      <w:spacing w:before="12"/>
                      <w:ind w:left="40"/>
                      <w:rPr>
                        <w:sz w:val="18"/>
                      </w:rPr>
                    </w:pPr>
                    <w:r>
                      <w:fldChar w:fldCharType="begin"/>
                    </w:r>
                    <w:r>
                      <w:rPr>
                        <w:sz w:val="18"/>
                      </w:rPr>
                      <w:instrText xml:space="preserve"> PAGE </w:instrText>
                    </w:r>
                    <w:r>
                      <w:fldChar w:fldCharType="separate"/>
                    </w:r>
                    <w:r>
                      <w:t>330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C9" w:rsidRDefault="00BA59C9">
      <w:r>
        <w:separator/>
      </w:r>
    </w:p>
  </w:footnote>
  <w:footnote w:type="continuationSeparator" w:id="0">
    <w:p w:rsidR="00BA59C9" w:rsidRDefault="00BA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EEA"/>
    <w:multiLevelType w:val="hybridMultilevel"/>
    <w:tmpl w:val="3E9C57BC"/>
    <w:lvl w:ilvl="0" w:tplc="51BC2602">
      <w:start w:val="1"/>
      <w:numFmt w:val="decimal"/>
      <w:lvlText w:val="(%1)"/>
      <w:lvlJc w:val="left"/>
      <w:pPr>
        <w:ind w:left="460" w:hanging="360"/>
      </w:pPr>
      <w:rPr>
        <w:rFonts w:ascii="Times New Roman" w:eastAsia="Times New Roman" w:hAnsi="Times New Roman" w:cs="Times New Roman" w:hint="default"/>
        <w:w w:val="99"/>
        <w:sz w:val="24"/>
        <w:szCs w:val="24"/>
      </w:rPr>
    </w:lvl>
    <w:lvl w:ilvl="1" w:tplc="843A40A0">
      <w:start w:val="1"/>
      <w:numFmt w:val="decimal"/>
      <w:lvlText w:val="%2."/>
      <w:lvlJc w:val="left"/>
      <w:pPr>
        <w:ind w:left="820" w:hanging="360"/>
      </w:pPr>
      <w:rPr>
        <w:rFonts w:ascii="Times New Roman" w:eastAsia="Times New Roman" w:hAnsi="Times New Roman" w:cs="Times New Roman" w:hint="default"/>
        <w:b/>
        <w:bCs/>
        <w:spacing w:val="-5"/>
        <w:w w:val="99"/>
        <w:sz w:val="24"/>
        <w:szCs w:val="24"/>
      </w:rPr>
    </w:lvl>
    <w:lvl w:ilvl="2" w:tplc="B3EAB2FC">
      <w:numFmt w:val="bullet"/>
      <w:lvlText w:val="•"/>
      <w:lvlJc w:val="left"/>
      <w:pPr>
        <w:ind w:left="1808" w:hanging="360"/>
      </w:pPr>
      <w:rPr>
        <w:rFonts w:hint="default"/>
      </w:rPr>
    </w:lvl>
    <w:lvl w:ilvl="3" w:tplc="EC2624D0">
      <w:numFmt w:val="bullet"/>
      <w:lvlText w:val="•"/>
      <w:lvlJc w:val="left"/>
      <w:pPr>
        <w:ind w:left="2797" w:hanging="360"/>
      </w:pPr>
      <w:rPr>
        <w:rFonts w:hint="default"/>
      </w:rPr>
    </w:lvl>
    <w:lvl w:ilvl="4" w:tplc="B6FC4EF6">
      <w:numFmt w:val="bullet"/>
      <w:lvlText w:val="•"/>
      <w:lvlJc w:val="left"/>
      <w:pPr>
        <w:ind w:left="3786" w:hanging="360"/>
      </w:pPr>
      <w:rPr>
        <w:rFonts w:hint="default"/>
      </w:rPr>
    </w:lvl>
    <w:lvl w:ilvl="5" w:tplc="822652AE">
      <w:numFmt w:val="bullet"/>
      <w:lvlText w:val="•"/>
      <w:lvlJc w:val="left"/>
      <w:pPr>
        <w:ind w:left="4775" w:hanging="360"/>
      </w:pPr>
      <w:rPr>
        <w:rFonts w:hint="default"/>
      </w:rPr>
    </w:lvl>
    <w:lvl w:ilvl="6" w:tplc="543E5BF6">
      <w:numFmt w:val="bullet"/>
      <w:lvlText w:val="•"/>
      <w:lvlJc w:val="left"/>
      <w:pPr>
        <w:ind w:left="5764" w:hanging="360"/>
      </w:pPr>
      <w:rPr>
        <w:rFonts w:hint="default"/>
      </w:rPr>
    </w:lvl>
    <w:lvl w:ilvl="7" w:tplc="413C28AA">
      <w:numFmt w:val="bullet"/>
      <w:lvlText w:val="•"/>
      <w:lvlJc w:val="left"/>
      <w:pPr>
        <w:ind w:left="6753" w:hanging="360"/>
      </w:pPr>
      <w:rPr>
        <w:rFonts w:hint="default"/>
      </w:rPr>
    </w:lvl>
    <w:lvl w:ilvl="8" w:tplc="7E5ACAEE">
      <w:numFmt w:val="bullet"/>
      <w:lvlText w:val="•"/>
      <w:lvlJc w:val="left"/>
      <w:pPr>
        <w:ind w:left="7742" w:hanging="360"/>
      </w:pPr>
      <w:rPr>
        <w:rFonts w:hint="default"/>
      </w:rPr>
    </w:lvl>
  </w:abstractNum>
  <w:abstractNum w:abstractNumId="1" w15:restartNumberingAfterBreak="0">
    <w:nsid w:val="03D36BDF"/>
    <w:multiLevelType w:val="hybridMultilevel"/>
    <w:tmpl w:val="4B86B266"/>
    <w:lvl w:ilvl="0" w:tplc="8C0AC692">
      <w:numFmt w:val="bullet"/>
      <w:lvlText w:val=""/>
      <w:lvlJc w:val="left"/>
      <w:pPr>
        <w:ind w:left="1540" w:hanging="360"/>
      </w:pPr>
      <w:rPr>
        <w:rFonts w:ascii="Symbol" w:eastAsia="Symbol" w:hAnsi="Symbol" w:cs="Symbol" w:hint="default"/>
        <w:w w:val="100"/>
        <w:sz w:val="24"/>
        <w:szCs w:val="24"/>
      </w:rPr>
    </w:lvl>
    <w:lvl w:ilvl="1" w:tplc="486242EE">
      <w:numFmt w:val="bullet"/>
      <w:lvlText w:val="•"/>
      <w:lvlJc w:val="left"/>
      <w:pPr>
        <w:ind w:left="2366" w:hanging="360"/>
      </w:pPr>
      <w:rPr>
        <w:rFonts w:hint="default"/>
      </w:rPr>
    </w:lvl>
    <w:lvl w:ilvl="2" w:tplc="1F824928">
      <w:numFmt w:val="bullet"/>
      <w:lvlText w:val="•"/>
      <w:lvlJc w:val="left"/>
      <w:pPr>
        <w:ind w:left="3192" w:hanging="360"/>
      </w:pPr>
      <w:rPr>
        <w:rFonts w:hint="default"/>
      </w:rPr>
    </w:lvl>
    <w:lvl w:ilvl="3" w:tplc="ED186268">
      <w:numFmt w:val="bullet"/>
      <w:lvlText w:val="•"/>
      <w:lvlJc w:val="left"/>
      <w:pPr>
        <w:ind w:left="4018" w:hanging="360"/>
      </w:pPr>
      <w:rPr>
        <w:rFonts w:hint="default"/>
      </w:rPr>
    </w:lvl>
    <w:lvl w:ilvl="4" w:tplc="CD5E33EC">
      <w:numFmt w:val="bullet"/>
      <w:lvlText w:val="•"/>
      <w:lvlJc w:val="left"/>
      <w:pPr>
        <w:ind w:left="4844" w:hanging="360"/>
      </w:pPr>
      <w:rPr>
        <w:rFonts w:hint="default"/>
      </w:rPr>
    </w:lvl>
    <w:lvl w:ilvl="5" w:tplc="5B38D6B0">
      <w:numFmt w:val="bullet"/>
      <w:lvlText w:val="•"/>
      <w:lvlJc w:val="left"/>
      <w:pPr>
        <w:ind w:left="5670" w:hanging="360"/>
      </w:pPr>
      <w:rPr>
        <w:rFonts w:hint="default"/>
      </w:rPr>
    </w:lvl>
    <w:lvl w:ilvl="6" w:tplc="D3F85D32">
      <w:numFmt w:val="bullet"/>
      <w:lvlText w:val="•"/>
      <w:lvlJc w:val="left"/>
      <w:pPr>
        <w:ind w:left="6496" w:hanging="360"/>
      </w:pPr>
      <w:rPr>
        <w:rFonts w:hint="default"/>
      </w:rPr>
    </w:lvl>
    <w:lvl w:ilvl="7" w:tplc="DD8E0ED2">
      <w:numFmt w:val="bullet"/>
      <w:lvlText w:val="•"/>
      <w:lvlJc w:val="left"/>
      <w:pPr>
        <w:ind w:left="7322" w:hanging="360"/>
      </w:pPr>
      <w:rPr>
        <w:rFonts w:hint="default"/>
      </w:rPr>
    </w:lvl>
    <w:lvl w:ilvl="8" w:tplc="0F06CE24">
      <w:numFmt w:val="bullet"/>
      <w:lvlText w:val="•"/>
      <w:lvlJc w:val="left"/>
      <w:pPr>
        <w:ind w:left="8148" w:hanging="360"/>
      </w:pPr>
      <w:rPr>
        <w:rFonts w:hint="default"/>
      </w:rPr>
    </w:lvl>
  </w:abstractNum>
  <w:abstractNum w:abstractNumId="2" w15:restartNumberingAfterBreak="0">
    <w:nsid w:val="059D7749"/>
    <w:multiLevelType w:val="hybridMultilevel"/>
    <w:tmpl w:val="1F624F4C"/>
    <w:lvl w:ilvl="0" w:tplc="79DC90BE">
      <w:start w:val="1"/>
      <w:numFmt w:val="lowerRoman"/>
      <w:lvlText w:val="%1."/>
      <w:lvlJc w:val="left"/>
      <w:pPr>
        <w:ind w:left="220" w:hanging="188"/>
        <w:jc w:val="right"/>
      </w:pPr>
      <w:rPr>
        <w:rFonts w:ascii="Times New Roman" w:eastAsia="Times New Roman" w:hAnsi="Times New Roman" w:cs="Times New Roman" w:hint="default"/>
        <w:w w:val="100"/>
        <w:sz w:val="23"/>
        <w:szCs w:val="23"/>
      </w:rPr>
    </w:lvl>
    <w:lvl w:ilvl="1" w:tplc="71A2E2D6">
      <w:numFmt w:val="bullet"/>
      <w:lvlText w:val="•"/>
      <w:lvlJc w:val="left"/>
      <w:pPr>
        <w:ind w:left="1202" w:hanging="188"/>
      </w:pPr>
      <w:rPr>
        <w:rFonts w:hint="default"/>
      </w:rPr>
    </w:lvl>
    <w:lvl w:ilvl="2" w:tplc="C77C83AA">
      <w:numFmt w:val="bullet"/>
      <w:lvlText w:val="•"/>
      <w:lvlJc w:val="left"/>
      <w:pPr>
        <w:ind w:left="2184" w:hanging="188"/>
      </w:pPr>
      <w:rPr>
        <w:rFonts w:hint="default"/>
      </w:rPr>
    </w:lvl>
    <w:lvl w:ilvl="3" w:tplc="AC84B93C">
      <w:numFmt w:val="bullet"/>
      <w:lvlText w:val="•"/>
      <w:lvlJc w:val="left"/>
      <w:pPr>
        <w:ind w:left="3166" w:hanging="188"/>
      </w:pPr>
      <w:rPr>
        <w:rFonts w:hint="default"/>
      </w:rPr>
    </w:lvl>
    <w:lvl w:ilvl="4" w:tplc="E8A83A2E">
      <w:numFmt w:val="bullet"/>
      <w:lvlText w:val="•"/>
      <w:lvlJc w:val="left"/>
      <w:pPr>
        <w:ind w:left="4148" w:hanging="188"/>
      </w:pPr>
      <w:rPr>
        <w:rFonts w:hint="default"/>
      </w:rPr>
    </w:lvl>
    <w:lvl w:ilvl="5" w:tplc="7EC831BE">
      <w:numFmt w:val="bullet"/>
      <w:lvlText w:val="•"/>
      <w:lvlJc w:val="left"/>
      <w:pPr>
        <w:ind w:left="5130" w:hanging="188"/>
      </w:pPr>
      <w:rPr>
        <w:rFonts w:hint="default"/>
      </w:rPr>
    </w:lvl>
    <w:lvl w:ilvl="6" w:tplc="AA0071CC">
      <w:numFmt w:val="bullet"/>
      <w:lvlText w:val="•"/>
      <w:lvlJc w:val="left"/>
      <w:pPr>
        <w:ind w:left="6112" w:hanging="188"/>
      </w:pPr>
      <w:rPr>
        <w:rFonts w:hint="default"/>
      </w:rPr>
    </w:lvl>
    <w:lvl w:ilvl="7" w:tplc="281E79E4">
      <w:numFmt w:val="bullet"/>
      <w:lvlText w:val="•"/>
      <w:lvlJc w:val="left"/>
      <w:pPr>
        <w:ind w:left="7094" w:hanging="188"/>
      </w:pPr>
      <w:rPr>
        <w:rFonts w:hint="default"/>
      </w:rPr>
    </w:lvl>
    <w:lvl w:ilvl="8" w:tplc="A12A55A6">
      <w:numFmt w:val="bullet"/>
      <w:lvlText w:val="•"/>
      <w:lvlJc w:val="left"/>
      <w:pPr>
        <w:ind w:left="8076" w:hanging="188"/>
      </w:pPr>
      <w:rPr>
        <w:rFonts w:hint="default"/>
      </w:rPr>
    </w:lvl>
  </w:abstractNum>
  <w:abstractNum w:abstractNumId="3" w15:restartNumberingAfterBreak="0">
    <w:nsid w:val="08D617AD"/>
    <w:multiLevelType w:val="hybridMultilevel"/>
    <w:tmpl w:val="203E3A9A"/>
    <w:lvl w:ilvl="0" w:tplc="8B78F794">
      <w:numFmt w:val="bullet"/>
      <w:lvlText w:val=""/>
      <w:lvlJc w:val="left"/>
      <w:pPr>
        <w:ind w:left="463" w:hanging="360"/>
      </w:pPr>
      <w:rPr>
        <w:rFonts w:ascii="Symbol" w:eastAsia="Symbol" w:hAnsi="Symbol" w:cs="Symbol" w:hint="default"/>
        <w:w w:val="100"/>
        <w:sz w:val="24"/>
        <w:szCs w:val="24"/>
      </w:rPr>
    </w:lvl>
    <w:lvl w:ilvl="1" w:tplc="B1B60F8A">
      <w:numFmt w:val="bullet"/>
      <w:lvlText w:val="•"/>
      <w:lvlJc w:val="left"/>
      <w:pPr>
        <w:ind w:left="1370" w:hanging="360"/>
      </w:pPr>
      <w:rPr>
        <w:rFonts w:hint="default"/>
      </w:rPr>
    </w:lvl>
    <w:lvl w:ilvl="2" w:tplc="851AD7BA">
      <w:numFmt w:val="bullet"/>
      <w:lvlText w:val="•"/>
      <w:lvlJc w:val="left"/>
      <w:pPr>
        <w:ind w:left="2281" w:hanging="360"/>
      </w:pPr>
      <w:rPr>
        <w:rFonts w:hint="default"/>
      </w:rPr>
    </w:lvl>
    <w:lvl w:ilvl="3" w:tplc="7E04F116">
      <w:numFmt w:val="bullet"/>
      <w:lvlText w:val="•"/>
      <w:lvlJc w:val="left"/>
      <w:pPr>
        <w:ind w:left="3192" w:hanging="360"/>
      </w:pPr>
      <w:rPr>
        <w:rFonts w:hint="default"/>
      </w:rPr>
    </w:lvl>
    <w:lvl w:ilvl="4" w:tplc="6192A092">
      <w:numFmt w:val="bullet"/>
      <w:lvlText w:val="•"/>
      <w:lvlJc w:val="left"/>
      <w:pPr>
        <w:ind w:left="4103" w:hanging="360"/>
      </w:pPr>
      <w:rPr>
        <w:rFonts w:hint="default"/>
      </w:rPr>
    </w:lvl>
    <w:lvl w:ilvl="5" w:tplc="922ABD74">
      <w:numFmt w:val="bullet"/>
      <w:lvlText w:val="•"/>
      <w:lvlJc w:val="left"/>
      <w:pPr>
        <w:ind w:left="5014" w:hanging="360"/>
      </w:pPr>
      <w:rPr>
        <w:rFonts w:hint="default"/>
      </w:rPr>
    </w:lvl>
    <w:lvl w:ilvl="6" w:tplc="90FC955C">
      <w:numFmt w:val="bullet"/>
      <w:lvlText w:val="•"/>
      <w:lvlJc w:val="left"/>
      <w:pPr>
        <w:ind w:left="5925" w:hanging="360"/>
      </w:pPr>
      <w:rPr>
        <w:rFonts w:hint="default"/>
      </w:rPr>
    </w:lvl>
    <w:lvl w:ilvl="7" w:tplc="977624FA">
      <w:numFmt w:val="bullet"/>
      <w:lvlText w:val="•"/>
      <w:lvlJc w:val="left"/>
      <w:pPr>
        <w:ind w:left="6835" w:hanging="360"/>
      </w:pPr>
      <w:rPr>
        <w:rFonts w:hint="default"/>
      </w:rPr>
    </w:lvl>
    <w:lvl w:ilvl="8" w:tplc="E098BDBC">
      <w:numFmt w:val="bullet"/>
      <w:lvlText w:val="•"/>
      <w:lvlJc w:val="left"/>
      <w:pPr>
        <w:ind w:left="7746" w:hanging="360"/>
      </w:pPr>
      <w:rPr>
        <w:rFonts w:hint="default"/>
      </w:rPr>
    </w:lvl>
  </w:abstractNum>
  <w:abstractNum w:abstractNumId="4" w15:restartNumberingAfterBreak="0">
    <w:nsid w:val="0B3810D3"/>
    <w:multiLevelType w:val="hybridMultilevel"/>
    <w:tmpl w:val="23DE6170"/>
    <w:lvl w:ilvl="0" w:tplc="6B32B57A">
      <w:start w:val="1"/>
      <w:numFmt w:val="lowerLetter"/>
      <w:lvlText w:val="%1."/>
      <w:lvlJc w:val="left"/>
      <w:pPr>
        <w:ind w:left="326" w:hanging="226"/>
      </w:pPr>
      <w:rPr>
        <w:rFonts w:ascii="Times New Roman" w:eastAsia="Times New Roman" w:hAnsi="Times New Roman" w:cs="Times New Roman" w:hint="default"/>
        <w:w w:val="100"/>
        <w:sz w:val="23"/>
        <w:szCs w:val="23"/>
      </w:rPr>
    </w:lvl>
    <w:lvl w:ilvl="1" w:tplc="8C6A3788">
      <w:numFmt w:val="bullet"/>
      <w:lvlText w:val="•"/>
      <w:lvlJc w:val="left"/>
      <w:pPr>
        <w:ind w:left="1268" w:hanging="226"/>
      </w:pPr>
      <w:rPr>
        <w:rFonts w:hint="default"/>
      </w:rPr>
    </w:lvl>
    <w:lvl w:ilvl="2" w:tplc="C62C2B4C">
      <w:numFmt w:val="bullet"/>
      <w:lvlText w:val="•"/>
      <w:lvlJc w:val="left"/>
      <w:pPr>
        <w:ind w:left="2216" w:hanging="226"/>
      </w:pPr>
      <w:rPr>
        <w:rFonts w:hint="default"/>
      </w:rPr>
    </w:lvl>
    <w:lvl w:ilvl="3" w:tplc="8D68416E">
      <w:numFmt w:val="bullet"/>
      <w:lvlText w:val="•"/>
      <w:lvlJc w:val="left"/>
      <w:pPr>
        <w:ind w:left="3164" w:hanging="226"/>
      </w:pPr>
      <w:rPr>
        <w:rFonts w:hint="default"/>
      </w:rPr>
    </w:lvl>
    <w:lvl w:ilvl="4" w:tplc="74508BCC">
      <w:numFmt w:val="bullet"/>
      <w:lvlText w:val="•"/>
      <w:lvlJc w:val="left"/>
      <w:pPr>
        <w:ind w:left="4112" w:hanging="226"/>
      </w:pPr>
      <w:rPr>
        <w:rFonts w:hint="default"/>
      </w:rPr>
    </w:lvl>
    <w:lvl w:ilvl="5" w:tplc="B150E576">
      <w:numFmt w:val="bullet"/>
      <w:lvlText w:val="•"/>
      <w:lvlJc w:val="left"/>
      <w:pPr>
        <w:ind w:left="5060" w:hanging="226"/>
      </w:pPr>
      <w:rPr>
        <w:rFonts w:hint="default"/>
      </w:rPr>
    </w:lvl>
    <w:lvl w:ilvl="6" w:tplc="A340553C">
      <w:numFmt w:val="bullet"/>
      <w:lvlText w:val="•"/>
      <w:lvlJc w:val="left"/>
      <w:pPr>
        <w:ind w:left="6008" w:hanging="226"/>
      </w:pPr>
      <w:rPr>
        <w:rFonts w:hint="default"/>
      </w:rPr>
    </w:lvl>
    <w:lvl w:ilvl="7" w:tplc="59802068">
      <w:numFmt w:val="bullet"/>
      <w:lvlText w:val="•"/>
      <w:lvlJc w:val="left"/>
      <w:pPr>
        <w:ind w:left="6956" w:hanging="226"/>
      </w:pPr>
      <w:rPr>
        <w:rFonts w:hint="default"/>
      </w:rPr>
    </w:lvl>
    <w:lvl w:ilvl="8" w:tplc="8F32DCA8">
      <w:numFmt w:val="bullet"/>
      <w:lvlText w:val="•"/>
      <w:lvlJc w:val="left"/>
      <w:pPr>
        <w:ind w:left="7904" w:hanging="226"/>
      </w:pPr>
      <w:rPr>
        <w:rFonts w:hint="default"/>
      </w:rPr>
    </w:lvl>
  </w:abstractNum>
  <w:abstractNum w:abstractNumId="5" w15:restartNumberingAfterBreak="0">
    <w:nsid w:val="0C6D5242"/>
    <w:multiLevelType w:val="hybridMultilevel"/>
    <w:tmpl w:val="CFC44A5C"/>
    <w:lvl w:ilvl="0" w:tplc="15524B5C">
      <w:start w:val="1"/>
      <w:numFmt w:val="lowerLetter"/>
      <w:lvlText w:val="%1."/>
      <w:lvlJc w:val="left"/>
      <w:pPr>
        <w:ind w:left="100" w:hanging="226"/>
      </w:pPr>
      <w:rPr>
        <w:rFonts w:ascii="Times New Roman" w:eastAsia="Times New Roman" w:hAnsi="Times New Roman" w:cs="Times New Roman" w:hint="default"/>
        <w:w w:val="100"/>
        <w:sz w:val="23"/>
        <w:szCs w:val="23"/>
      </w:rPr>
    </w:lvl>
    <w:lvl w:ilvl="1" w:tplc="72F49DE4">
      <w:numFmt w:val="bullet"/>
      <w:lvlText w:val="•"/>
      <w:lvlJc w:val="left"/>
      <w:pPr>
        <w:ind w:left="1070" w:hanging="226"/>
      </w:pPr>
      <w:rPr>
        <w:rFonts w:hint="default"/>
      </w:rPr>
    </w:lvl>
    <w:lvl w:ilvl="2" w:tplc="C074A7B4">
      <w:numFmt w:val="bullet"/>
      <w:lvlText w:val="•"/>
      <w:lvlJc w:val="left"/>
      <w:pPr>
        <w:ind w:left="2040" w:hanging="226"/>
      </w:pPr>
      <w:rPr>
        <w:rFonts w:hint="default"/>
      </w:rPr>
    </w:lvl>
    <w:lvl w:ilvl="3" w:tplc="3E64CCEC">
      <w:numFmt w:val="bullet"/>
      <w:lvlText w:val="•"/>
      <w:lvlJc w:val="left"/>
      <w:pPr>
        <w:ind w:left="3010" w:hanging="226"/>
      </w:pPr>
      <w:rPr>
        <w:rFonts w:hint="default"/>
      </w:rPr>
    </w:lvl>
    <w:lvl w:ilvl="4" w:tplc="20F82904">
      <w:numFmt w:val="bullet"/>
      <w:lvlText w:val="•"/>
      <w:lvlJc w:val="left"/>
      <w:pPr>
        <w:ind w:left="3980" w:hanging="226"/>
      </w:pPr>
      <w:rPr>
        <w:rFonts w:hint="default"/>
      </w:rPr>
    </w:lvl>
    <w:lvl w:ilvl="5" w:tplc="FC001CA2">
      <w:numFmt w:val="bullet"/>
      <w:lvlText w:val="•"/>
      <w:lvlJc w:val="left"/>
      <w:pPr>
        <w:ind w:left="4950" w:hanging="226"/>
      </w:pPr>
      <w:rPr>
        <w:rFonts w:hint="default"/>
      </w:rPr>
    </w:lvl>
    <w:lvl w:ilvl="6" w:tplc="CD5255D0">
      <w:numFmt w:val="bullet"/>
      <w:lvlText w:val="•"/>
      <w:lvlJc w:val="left"/>
      <w:pPr>
        <w:ind w:left="5920" w:hanging="226"/>
      </w:pPr>
      <w:rPr>
        <w:rFonts w:hint="default"/>
      </w:rPr>
    </w:lvl>
    <w:lvl w:ilvl="7" w:tplc="7D4C36EC">
      <w:numFmt w:val="bullet"/>
      <w:lvlText w:val="•"/>
      <w:lvlJc w:val="left"/>
      <w:pPr>
        <w:ind w:left="6890" w:hanging="226"/>
      </w:pPr>
      <w:rPr>
        <w:rFonts w:hint="default"/>
      </w:rPr>
    </w:lvl>
    <w:lvl w:ilvl="8" w:tplc="4C301BF6">
      <w:numFmt w:val="bullet"/>
      <w:lvlText w:val="•"/>
      <w:lvlJc w:val="left"/>
      <w:pPr>
        <w:ind w:left="7860" w:hanging="226"/>
      </w:pPr>
      <w:rPr>
        <w:rFonts w:hint="default"/>
      </w:rPr>
    </w:lvl>
  </w:abstractNum>
  <w:abstractNum w:abstractNumId="6" w15:restartNumberingAfterBreak="0">
    <w:nsid w:val="0C802EEB"/>
    <w:multiLevelType w:val="hybridMultilevel"/>
    <w:tmpl w:val="52DC49CC"/>
    <w:lvl w:ilvl="0" w:tplc="A294A378">
      <w:numFmt w:val="bullet"/>
      <w:lvlText w:val=""/>
      <w:lvlJc w:val="left"/>
      <w:pPr>
        <w:ind w:left="580" w:hanging="360"/>
      </w:pPr>
      <w:rPr>
        <w:rFonts w:ascii="Symbol" w:eastAsia="Symbol" w:hAnsi="Symbol" w:cs="Symbol" w:hint="default"/>
        <w:w w:val="100"/>
        <w:sz w:val="24"/>
        <w:szCs w:val="24"/>
      </w:rPr>
    </w:lvl>
    <w:lvl w:ilvl="1" w:tplc="BF1AEFB2">
      <w:numFmt w:val="bullet"/>
      <w:lvlText w:val="•"/>
      <w:lvlJc w:val="left"/>
      <w:pPr>
        <w:ind w:left="1502" w:hanging="360"/>
      </w:pPr>
      <w:rPr>
        <w:rFonts w:hint="default"/>
      </w:rPr>
    </w:lvl>
    <w:lvl w:ilvl="2" w:tplc="07080C86">
      <w:numFmt w:val="bullet"/>
      <w:lvlText w:val="•"/>
      <w:lvlJc w:val="left"/>
      <w:pPr>
        <w:ind w:left="2424" w:hanging="360"/>
      </w:pPr>
      <w:rPr>
        <w:rFonts w:hint="default"/>
      </w:rPr>
    </w:lvl>
    <w:lvl w:ilvl="3" w:tplc="CDC6BFB4">
      <w:numFmt w:val="bullet"/>
      <w:lvlText w:val="•"/>
      <w:lvlJc w:val="left"/>
      <w:pPr>
        <w:ind w:left="3346" w:hanging="360"/>
      </w:pPr>
      <w:rPr>
        <w:rFonts w:hint="default"/>
      </w:rPr>
    </w:lvl>
    <w:lvl w:ilvl="4" w:tplc="F4B8F176">
      <w:numFmt w:val="bullet"/>
      <w:lvlText w:val="•"/>
      <w:lvlJc w:val="left"/>
      <w:pPr>
        <w:ind w:left="4268" w:hanging="360"/>
      </w:pPr>
      <w:rPr>
        <w:rFonts w:hint="default"/>
      </w:rPr>
    </w:lvl>
    <w:lvl w:ilvl="5" w:tplc="FD681FD0">
      <w:numFmt w:val="bullet"/>
      <w:lvlText w:val="•"/>
      <w:lvlJc w:val="left"/>
      <w:pPr>
        <w:ind w:left="5190" w:hanging="360"/>
      </w:pPr>
      <w:rPr>
        <w:rFonts w:hint="default"/>
      </w:rPr>
    </w:lvl>
    <w:lvl w:ilvl="6" w:tplc="C2D4E728">
      <w:numFmt w:val="bullet"/>
      <w:lvlText w:val="•"/>
      <w:lvlJc w:val="left"/>
      <w:pPr>
        <w:ind w:left="6112" w:hanging="360"/>
      </w:pPr>
      <w:rPr>
        <w:rFonts w:hint="default"/>
      </w:rPr>
    </w:lvl>
    <w:lvl w:ilvl="7" w:tplc="A450F8FC">
      <w:numFmt w:val="bullet"/>
      <w:lvlText w:val="•"/>
      <w:lvlJc w:val="left"/>
      <w:pPr>
        <w:ind w:left="7034" w:hanging="360"/>
      </w:pPr>
      <w:rPr>
        <w:rFonts w:hint="default"/>
      </w:rPr>
    </w:lvl>
    <w:lvl w:ilvl="8" w:tplc="7E1EA168">
      <w:numFmt w:val="bullet"/>
      <w:lvlText w:val="•"/>
      <w:lvlJc w:val="left"/>
      <w:pPr>
        <w:ind w:left="7956" w:hanging="360"/>
      </w:pPr>
      <w:rPr>
        <w:rFonts w:hint="default"/>
      </w:rPr>
    </w:lvl>
  </w:abstractNum>
  <w:abstractNum w:abstractNumId="7" w15:restartNumberingAfterBreak="0">
    <w:nsid w:val="0EC54D33"/>
    <w:multiLevelType w:val="hybridMultilevel"/>
    <w:tmpl w:val="C6C06CE8"/>
    <w:lvl w:ilvl="0" w:tplc="98F4777C">
      <w:start w:val="1"/>
      <w:numFmt w:val="decimal"/>
      <w:lvlText w:val="(%1)"/>
      <w:lvlJc w:val="left"/>
      <w:pPr>
        <w:ind w:left="100" w:hanging="327"/>
      </w:pPr>
      <w:rPr>
        <w:rFonts w:ascii="Times New Roman" w:eastAsia="Times New Roman" w:hAnsi="Times New Roman" w:cs="Times New Roman" w:hint="default"/>
        <w:w w:val="100"/>
        <w:sz w:val="23"/>
        <w:szCs w:val="23"/>
      </w:rPr>
    </w:lvl>
    <w:lvl w:ilvl="1" w:tplc="70B06938">
      <w:numFmt w:val="bullet"/>
      <w:lvlText w:val="•"/>
      <w:lvlJc w:val="left"/>
      <w:pPr>
        <w:ind w:left="1058" w:hanging="327"/>
      </w:pPr>
      <w:rPr>
        <w:rFonts w:hint="default"/>
      </w:rPr>
    </w:lvl>
    <w:lvl w:ilvl="2" w:tplc="E980909A">
      <w:numFmt w:val="bullet"/>
      <w:lvlText w:val="•"/>
      <w:lvlJc w:val="left"/>
      <w:pPr>
        <w:ind w:left="2016" w:hanging="327"/>
      </w:pPr>
      <w:rPr>
        <w:rFonts w:hint="default"/>
      </w:rPr>
    </w:lvl>
    <w:lvl w:ilvl="3" w:tplc="06D6C002">
      <w:numFmt w:val="bullet"/>
      <w:lvlText w:val="•"/>
      <w:lvlJc w:val="left"/>
      <w:pPr>
        <w:ind w:left="2974" w:hanging="327"/>
      </w:pPr>
      <w:rPr>
        <w:rFonts w:hint="default"/>
      </w:rPr>
    </w:lvl>
    <w:lvl w:ilvl="4" w:tplc="8C728434">
      <w:numFmt w:val="bullet"/>
      <w:lvlText w:val="•"/>
      <w:lvlJc w:val="left"/>
      <w:pPr>
        <w:ind w:left="3932" w:hanging="327"/>
      </w:pPr>
      <w:rPr>
        <w:rFonts w:hint="default"/>
      </w:rPr>
    </w:lvl>
    <w:lvl w:ilvl="5" w:tplc="2C8695CE">
      <w:numFmt w:val="bullet"/>
      <w:lvlText w:val="•"/>
      <w:lvlJc w:val="left"/>
      <w:pPr>
        <w:ind w:left="4890" w:hanging="327"/>
      </w:pPr>
      <w:rPr>
        <w:rFonts w:hint="default"/>
      </w:rPr>
    </w:lvl>
    <w:lvl w:ilvl="6" w:tplc="A5F8B300">
      <w:numFmt w:val="bullet"/>
      <w:lvlText w:val="•"/>
      <w:lvlJc w:val="left"/>
      <w:pPr>
        <w:ind w:left="5848" w:hanging="327"/>
      </w:pPr>
      <w:rPr>
        <w:rFonts w:hint="default"/>
      </w:rPr>
    </w:lvl>
    <w:lvl w:ilvl="7" w:tplc="A7B8B576">
      <w:numFmt w:val="bullet"/>
      <w:lvlText w:val="•"/>
      <w:lvlJc w:val="left"/>
      <w:pPr>
        <w:ind w:left="6806" w:hanging="327"/>
      </w:pPr>
      <w:rPr>
        <w:rFonts w:hint="default"/>
      </w:rPr>
    </w:lvl>
    <w:lvl w:ilvl="8" w:tplc="F1366886">
      <w:numFmt w:val="bullet"/>
      <w:lvlText w:val="•"/>
      <w:lvlJc w:val="left"/>
      <w:pPr>
        <w:ind w:left="7764" w:hanging="327"/>
      </w:pPr>
      <w:rPr>
        <w:rFonts w:hint="default"/>
      </w:rPr>
    </w:lvl>
  </w:abstractNum>
  <w:abstractNum w:abstractNumId="8" w15:restartNumberingAfterBreak="0">
    <w:nsid w:val="11E24AC8"/>
    <w:multiLevelType w:val="hybridMultilevel"/>
    <w:tmpl w:val="1B784D50"/>
    <w:lvl w:ilvl="0" w:tplc="55C013CC">
      <w:numFmt w:val="bullet"/>
      <w:lvlText w:val=""/>
      <w:lvlJc w:val="left"/>
      <w:pPr>
        <w:ind w:left="463" w:hanging="360"/>
      </w:pPr>
      <w:rPr>
        <w:rFonts w:ascii="Symbol" w:eastAsia="Symbol" w:hAnsi="Symbol" w:cs="Symbol" w:hint="default"/>
        <w:w w:val="100"/>
        <w:sz w:val="24"/>
        <w:szCs w:val="24"/>
      </w:rPr>
    </w:lvl>
    <w:lvl w:ilvl="1" w:tplc="F488C202">
      <w:numFmt w:val="bullet"/>
      <w:lvlText w:val=""/>
      <w:lvlJc w:val="left"/>
      <w:pPr>
        <w:ind w:left="823" w:hanging="720"/>
      </w:pPr>
      <w:rPr>
        <w:rFonts w:ascii="Symbol" w:eastAsia="Symbol" w:hAnsi="Symbol" w:cs="Symbol" w:hint="default"/>
        <w:w w:val="100"/>
        <w:sz w:val="24"/>
        <w:szCs w:val="24"/>
      </w:rPr>
    </w:lvl>
    <w:lvl w:ilvl="2" w:tplc="7618D50E">
      <w:numFmt w:val="bullet"/>
      <w:lvlText w:val="•"/>
      <w:lvlJc w:val="left"/>
      <w:pPr>
        <w:ind w:left="1259" w:hanging="720"/>
      </w:pPr>
      <w:rPr>
        <w:rFonts w:hint="default"/>
      </w:rPr>
    </w:lvl>
    <w:lvl w:ilvl="3" w:tplc="14903CBE">
      <w:numFmt w:val="bullet"/>
      <w:lvlText w:val="•"/>
      <w:lvlJc w:val="left"/>
      <w:pPr>
        <w:ind w:left="1699" w:hanging="720"/>
      </w:pPr>
      <w:rPr>
        <w:rFonts w:hint="default"/>
      </w:rPr>
    </w:lvl>
    <w:lvl w:ilvl="4" w:tplc="D9B21474">
      <w:numFmt w:val="bullet"/>
      <w:lvlText w:val="•"/>
      <w:lvlJc w:val="left"/>
      <w:pPr>
        <w:ind w:left="2139" w:hanging="720"/>
      </w:pPr>
      <w:rPr>
        <w:rFonts w:hint="default"/>
      </w:rPr>
    </w:lvl>
    <w:lvl w:ilvl="5" w:tplc="F76ED9DE">
      <w:numFmt w:val="bullet"/>
      <w:lvlText w:val="•"/>
      <w:lvlJc w:val="left"/>
      <w:pPr>
        <w:ind w:left="2579" w:hanging="720"/>
      </w:pPr>
      <w:rPr>
        <w:rFonts w:hint="default"/>
      </w:rPr>
    </w:lvl>
    <w:lvl w:ilvl="6" w:tplc="ABECEAB2">
      <w:numFmt w:val="bullet"/>
      <w:lvlText w:val="•"/>
      <w:lvlJc w:val="left"/>
      <w:pPr>
        <w:ind w:left="3019" w:hanging="720"/>
      </w:pPr>
      <w:rPr>
        <w:rFonts w:hint="default"/>
      </w:rPr>
    </w:lvl>
    <w:lvl w:ilvl="7" w:tplc="36605676">
      <w:numFmt w:val="bullet"/>
      <w:lvlText w:val="•"/>
      <w:lvlJc w:val="left"/>
      <w:pPr>
        <w:ind w:left="3459" w:hanging="720"/>
      </w:pPr>
      <w:rPr>
        <w:rFonts w:hint="default"/>
      </w:rPr>
    </w:lvl>
    <w:lvl w:ilvl="8" w:tplc="85660110">
      <w:numFmt w:val="bullet"/>
      <w:lvlText w:val="•"/>
      <w:lvlJc w:val="left"/>
      <w:pPr>
        <w:ind w:left="3899" w:hanging="720"/>
      </w:pPr>
      <w:rPr>
        <w:rFonts w:hint="default"/>
      </w:rPr>
    </w:lvl>
  </w:abstractNum>
  <w:abstractNum w:abstractNumId="9" w15:restartNumberingAfterBreak="0">
    <w:nsid w:val="11FB6B5E"/>
    <w:multiLevelType w:val="hybridMultilevel"/>
    <w:tmpl w:val="7D44120C"/>
    <w:lvl w:ilvl="0" w:tplc="A1E2EAB2">
      <w:start w:val="1"/>
      <w:numFmt w:val="lowerLetter"/>
      <w:lvlText w:val="(%1)"/>
      <w:lvlJc w:val="left"/>
      <w:pPr>
        <w:ind w:left="580" w:hanging="360"/>
        <w:jc w:val="right"/>
      </w:pPr>
      <w:rPr>
        <w:rFonts w:ascii="Times New Roman" w:eastAsia="Times New Roman" w:hAnsi="Times New Roman" w:cs="Times New Roman" w:hint="default"/>
        <w:spacing w:val="-25"/>
        <w:w w:val="99"/>
        <w:sz w:val="24"/>
        <w:szCs w:val="24"/>
      </w:rPr>
    </w:lvl>
    <w:lvl w:ilvl="1" w:tplc="48263E00">
      <w:start w:val="1"/>
      <w:numFmt w:val="decimal"/>
      <w:lvlText w:val="(%2)"/>
      <w:lvlJc w:val="left"/>
      <w:pPr>
        <w:ind w:left="820" w:hanging="360"/>
      </w:pPr>
      <w:rPr>
        <w:rFonts w:ascii="Times New Roman" w:eastAsia="Times New Roman" w:hAnsi="Times New Roman" w:cs="Times New Roman" w:hint="default"/>
        <w:w w:val="99"/>
        <w:sz w:val="24"/>
        <w:szCs w:val="24"/>
      </w:rPr>
    </w:lvl>
    <w:lvl w:ilvl="2" w:tplc="D444ECF8">
      <w:start w:val="1"/>
      <w:numFmt w:val="lowerLetter"/>
      <w:lvlText w:val="(%3)"/>
      <w:lvlJc w:val="left"/>
      <w:pPr>
        <w:ind w:left="820" w:hanging="720"/>
        <w:jc w:val="right"/>
      </w:pPr>
      <w:rPr>
        <w:rFonts w:ascii="Times New Roman" w:eastAsia="Times New Roman" w:hAnsi="Times New Roman" w:cs="Times New Roman" w:hint="default"/>
        <w:spacing w:val="-3"/>
        <w:w w:val="99"/>
        <w:sz w:val="24"/>
        <w:szCs w:val="24"/>
      </w:rPr>
    </w:lvl>
    <w:lvl w:ilvl="3" w:tplc="A6C0B82A">
      <w:numFmt w:val="bullet"/>
      <w:lvlText w:val="•"/>
      <w:lvlJc w:val="left"/>
      <w:pPr>
        <w:ind w:left="2748" w:hanging="720"/>
      </w:pPr>
      <w:rPr>
        <w:rFonts w:hint="default"/>
      </w:rPr>
    </w:lvl>
    <w:lvl w:ilvl="4" w:tplc="A47CC82A">
      <w:numFmt w:val="bullet"/>
      <w:lvlText w:val="•"/>
      <w:lvlJc w:val="left"/>
      <w:pPr>
        <w:ind w:left="3713" w:hanging="720"/>
      </w:pPr>
      <w:rPr>
        <w:rFonts w:hint="default"/>
      </w:rPr>
    </w:lvl>
    <w:lvl w:ilvl="5" w:tplc="85C2E2DA">
      <w:numFmt w:val="bullet"/>
      <w:lvlText w:val="•"/>
      <w:lvlJc w:val="left"/>
      <w:pPr>
        <w:ind w:left="4677" w:hanging="720"/>
      </w:pPr>
      <w:rPr>
        <w:rFonts w:hint="default"/>
      </w:rPr>
    </w:lvl>
    <w:lvl w:ilvl="6" w:tplc="6DD28E76">
      <w:numFmt w:val="bullet"/>
      <w:lvlText w:val="•"/>
      <w:lvlJc w:val="left"/>
      <w:pPr>
        <w:ind w:left="5642" w:hanging="720"/>
      </w:pPr>
      <w:rPr>
        <w:rFonts w:hint="default"/>
      </w:rPr>
    </w:lvl>
    <w:lvl w:ilvl="7" w:tplc="DCB82AAA">
      <w:numFmt w:val="bullet"/>
      <w:lvlText w:val="•"/>
      <w:lvlJc w:val="left"/>
      <w:pPr>
        <w:ind w:left="6606" w:hanging="720"/>
      </w:pPr>
      <w:rPr>
        <w:rFonts w:hint="default"/>
      </w:rPr>
    </w:lvl>
    <w:lvl w:ilvl="8" w:tplc="1354F1F6">
      <w:numFmt w:val="bullet"/>
      <w:lvlText w:val="•"/>
      <w:lvlJc w:val="left"/>
      <w:pPr>
        <w:ind w:left="7571" w:hanging="720"/>
      </w:pPr>
      <w:rPr>
        <w:rFonts w:hint="default"/>
      </w:rPr>
    </w:lvl>
  </w:abstractNum>
  <w:abstractNum w:abstractNumId="10" w15:restartNumberingAfterBreak="0">
    <w:nsid w:val="122F40EA"/>
    <w:multiLevelType w:val="hybridMultilevel"/>
    <w:tmpl w:val="10108AB6"/>
    <w:lvl w:ilvl="0" w:tplc="C9C29174">
      <w:numFmt w:val="bullet"/>
      <w:lvlText w:val=""/>
      <w:lvlJc w:val="left"/>
      <w:pPr>
        <w:ind w:left="535" w:hanging="288"/>
      </w:pPr>
      <w:rPr>
        <w:rFonts w:ascii="Symbol" w:eastAsia="Symbol" w:hAnsi="Symbol" w:cs="Symbol" w:hint="default"/>
        <w:w w:val="100"/>
        <w:sz w:val="24"/>
        <w:szCs w:val="24"/>
      </w:rPr>
    </w:lvl>
    <w:lvl w:ilvl="1" w:tplc="ADE221E0">
      <w:numFmt w:val="bullet"/>
      <w:lvlText w:val="•"/>
      <w:lvlJc w:val="left"/>
      <w:pPr>
        <w:ind w:left="1402" w:hanging="288"/>
      </w:pPr>
      <w:rPr>
        <w:rFonts w:hint="default"/>
      </w:rPr>
    </w:lvl>
    <w:lvl w:ilvl="2" w:tplc="E6BC7B00">
      <w:numFmt w:val="bullet"/>
      <w:lvlText w:val="•"/>
      <w:lvlJc w:val="left"/>
      <w:pPr>
        <w:ind w:left="2264" w:hanging="288"/>
      </w:pPr>
      <w:rPr>
        <w:rFonts w:hint="default"/>
      </w:rPr>
    </w:lvl>
    <w:lvl w:ilvl="3" w:tplc="1F0ECFA6">
      <w:numFmt w:val="bullet"/>
      <w:lvlText w:val="•"/>
      <w:lvlJc w:val="left"/>
      <w:pPr>
        <w:ind w:left="3126" w:hanging="288"/>
      </w:pPr>
      <w:rPr>
        <w:rFonts w:hint="default"/>
      </w:rPr>
    </w:lvl>
    <w:lvl w:ilvl="4" w:tplc="ACE67D9E">
      <w:numFmt w:val="bullet"/>
      <w:lvlText w:val="•"/>
      <w:lvlJc w:val="left"/>
      <w:pPr>
        <w:ind w:left="3989" w:hanging="288"/>
      </w:pPr>
      <w:rPr>
        <w:rFonts w:hint="default"/>
      </w:rPr>
    </w:lvl>
    <w:lvl w:ilvl="5" w:tplc="B9B83830">
      <w:numFmt w:val="bullet"/>
      <w:lvlText w:val="•"/>
      <w:lvlJc w:val="left"/>
      <w:pPr>
        <w:ind w:left="4851" w:hanging="288"/>
      </w:pPr>
      <w:rPr>
        <w:rFonts w:hint="default"/>
      </w:rPr>
    </w:lvl>
    <w:lvl w:ilvl="6" w:tplc="03AC330C">
      <w:numFmt w:val="bullet"/>
      <w:lvlText w:val="•"/>
      <w:lvlJc w:val="left"/>
      <w:pPr>
        <w:ind w:left="5713" w:hanging="288"/>
      </w:pPr>
      <w:rPr>
        <w:rFonts w:hint="default"/>
      </w:rPr>
    </w:lvl>
    <w:lvl w:ilvl="7" w:tplc="9CA273A0">
      <w:numFmt w:val="bullet"/>
      <w:lvlText w:val="•"/>
      <w:lvlJc w:val="left"/>
      <w:pPr>
        <w:ind w:left="6575" w:hanging="288"/>
      </w:pPr>
      <w:rPr>
        <w:rFonts w:hint="default"/>
      </w:rPr>
    </w:lvl>
    <w:lvl w:ilvl="8" w:tplc="3E9A054A">
      <w:numFmt w:val="bullet"/>
      <w:lvlText w:val="•"/>
      <w:lvlJc w:val="left"/>
      <w:pPr>
        <w:ind w:left="7438" w:hanging="288"/>
      </w:pPr>
      <w:rPr>
        <w:rFonts w:hint="default"/>
      </w:rPr>
    </w:lvl>
  </w:abstractNum>
  <w:abstractNum w:abstractNumId="11" w15:restartNumberingAfterBreak="0">
    <w:nsid w:val="12B67631"/>
    <w:multiLevelType w:val="hybridMultilevel"/>
    <w:tmpl w:val="F5A67B8E"/>
    <w:lvl w:ilvl="0" w:tplc="7C821FCC">
      <w:numFmt w:val="bullet"/>
      <w:lvlText w:val=""/>
      <w:lvlJc w:val="left"/>
      <w:pPr>
        <w:ind w:left="535" w:hanging="288"/>
      </w:pPr>
      <w:rPr>
        <w:rFonts w:ascii="Symbol" w:eastAsia="Symbol" w:hAnsi="Symbol" w:cs="Symbol" w:hint="default"/>
        <w:w w:val="100"/>
        <w:sz w:val="24"/>
        <w:szCs w:val="24"/>
      </w:rPr>
    </w:lvl>
    <w:lvl w:ilvl="1" w:tplc="2A2C3DD6">
      <w:numFmt w:val="bullet"/>
      <w:lvlText w:val="•"/>
      <w:lvlJc w:val="left"/>
      <w:pPr>
        <w:ind w:left="1402" w:hanging="288"/>
      </w:pPr>
      <w:rPr>
        <w:rFonts w:hint="default"/>
      </w:rPr>
    </w:lvl>
    <w:lvl w:ilvl="2" w:tplc="A7A26760">
      <w:numFmt w:val="bullet"/>
      <w:lvlText w:val="•"/>
      <w:lvlJc w:val="left"/>
      <w:pPr>
        <w:ind w:left="2264" w:hanging="288"/>
      </w:pPr>
      <w:rPr>
        <w:rFonts w:hint="default"/>
      </w:rPr>
    </w:lvl>
    <w:lvl w:ilvl="3" w:tplc="3FE457E0">
      <w:numFmt w:val="bullet"/>
      <w:lvlText w:val="•"/>
      <w:lvlJc w:val="left"/>
      <w:pPr>
        <w:ind w:left="3126" w:hanging="288"/>
      </w:pPr>
      <w:rPr>
        <w:rFonts w:hint="default"/>
      </w:rPr>
    </w:lvl>
    <w:lvl w:ilvl="4" w:tplc="C2D4DD02">
      <w:numFmt w:val="bullet"/>
      <w:lvlText w:val="•"/>
      <w:lvlJc w:val="left"/>
      <w:pPr>
        <w:ind w:left="3989" w:hanging="288"/>
      </w:pPr>
      <w:rPr>
        <w:rFonts w:hint="default"/>
      </w:rPr>
    </w:lvl>
    <w:lvl w:ilvl="5" w:tplc="1E562D12">
      <w:numFmt w:val="bullet"/>
      <w:lvlText w:val="•"/>
      <w:lvlJc w:val="left"/>
      <w:pPr>
        <w:ind w:left="4851" w:hanging="288"/>
      </w:pPr>
      <w:rPr>
        <w:rFonts w:hint="default"/>
      </w:rPr>
    </w:lvl>
    <w:lvl w:ilvl="6" w:tplc="6F825736">
      <w:numFmt w:val="bullet"/>
      <w:lvlText w:val="•"/>
      <w:lvlJc w:val="left"/>
      <w:pPr>
        <w:ind w:left="5713" w:hanging="288"/>
      </w:pPr>
      <w:rPr>
        <w:rFonts w:hint="default"/>
      </w:rPr>
    </w:lvl>
    <w:lvl w:ilvl="7" w:tplc="2676E408">
      <w:numFmt w:val="bullet"/>
      <w:lvlText w:val="•"/>
      <w:lvlJc w:val="left"/>
      <w:pPr>
        <w:ind w:left="6575" w:hanging="288"/>
      </w:pPr>
      <w:rPr>
        <w:rFonts w:hint="default"/>
      </w:rPr>
    </w:lvl>
    <w:lvl w:ilvl="8" w:tplc="90DE026E">
      <w:numFmt w:val="bullet"/>
      <w:lvlText w:val="•"/>
      <w:lvlJc w:val="left"/>
      <w:pPr>
        <w:ind w:left="7438" w:hanging="288"/>
      </w:pPr>
      <w:rPr>
        <w:rFonts w:hint="default"/>
      </w:rPr>
    </w:lvl>
  </w:abstractNum>
  <w:abstractNum w:abstractNumId="12" w15:restartNumberingAfterBreak="0">
    <w:nsid w:val="12F023FB"/>
    <w:multiLevelType w:val="hybridMultilevel"/>
    <w:tmpl w:val="2FD2F030"/>
    <w:lvl w:ilvl="0" w:tplc="EF703EFE">
      <w:numFmt w:val="bullet"/>
      <w:lvlText w:val=""/>
      <w:lvlJc w:val="left"/>
      <w:pPr>
        <w:ind w:left="535" w:hanging="288"/>
      </w:pPr>
      <w:rPr>
        <w:rFonts w:ascii="Symbol" w:eastAsia="Symbol" w:hAnsi="Symbol" w:cs="Symbol" w:hint="default"/>
        <w:w w:val="100"/>
        <w:sz w:val="24"/>
        <w:szCs w:val="24"/>
      </w:rPr>
    </w:lvl>
    <w:lvl w:ilvl="1" w:tplc="216A4E32">
      <w:numFmt w:val="bullet"/>
      <w:lvlText w:val="•"/>
      <w:lvlJc w:val="left"/>
      <w:pPr>
        <w:ind w:left="1402" w:hanging="288"/>
      </w:pPr>
      <w:rPr>
        <w:rFonts w:hint="default"/>
      </w:rPr>
    </w:lvl>
    <w:lvl w:ilvl="2" w:tplc="277C2B94">
      <w:numFmt w:val="bullet"/>
      <w:lvlText w:val="•"/>
      <w:lvlJc w:val="left"/>
      <w:pPr>
        <w:ind w:left="2264" w:hanging="288"/>
      </w:pPr>
      <w:rPr>
        <w:rFonts w:hint="default"/>
      </w:rPr>
    </w:lvl>
    <w:lvl w:ilvl="3" w:tplc="2480AA68">
      <w:numFmt w:val="bullet"/>
      <w:lvlText w:val="•"/>
      <w:lvlJc w:val="left"/>
      <w:pPr>
        <w:ind w:left="3126" w:hanging="288"/>
      </w:pPr>
      <w:rPr>
        <w:rFonts w:hint="default"/>
      </w:rPr>
    </w:lvl>
    <w:lvl w:ilvl="4" w:tplc="E0EE98BE">
      <w:numFmt w:val="bullet"/>
      <w:lvlText w:val="•"/>
      <w:lvlJc w:val="left"/>
      <w:pPr>
        <w:ind w:left="3989" w:hanging="288"/>
      </w:pPr>
      <w:rPr>
        <w:rFonts w:hint="default"/>
      </w:rPr>
    </w:lvl>
    <w:lvl w:ilvl="5" w:tplc="37983AF2">
      <w:numFmt w:val="bullet"/>
      <w:lvlText w:val="•"/>
      <w:lvlJc w:val="left"/>
      <w:pPr>
        <w:ind w:left="4851" w:hanging="288"/>
      </w:pPr>
      <w:rPr>
        <w:rFonts w:hint="default"/>
      </w:rPr>
    </w:lvl>
    <w:lvl w:ilvl="6" w:tplc="CE2AA122">
      <w:numFmt w:val="bullet"/>
      <w:lvlText w:val="•"/>
      <w:lvlJc w:val="left"/>
      <w:pPr>
        <w:ind w:left="5713" w:hanging="288"/>
      </w:pPr>
      <w:rPr>
        <w:rFonts w:hint="default"/>
      </w:rPr>
    </w:lvl>
    <w:lvl w:ilvl="7" w:tplc="2794CF6E">
      <w:numFmt w:val="bullet"/>
      <w:lvlText w:val="•"/>
      <w:lvlJc w:val="left"/>
      <w:pPr>
        <w:ind w:left="6575" w:hanging="288"/>
      </w:pPr>
      <w:rPr>
        <w:rFonts w:hint="default"/>
      </w:rPr>
    </w:lvl>
    <w:lvl w:ilvl="8" w:tplc="42F04DB4">
      <w:numFmt w:val="bullet"/>
      <w:lvlText w:val="•"/>
      <w:lvlJc w:val="left"/>
      <w:pPr>
        <w:ind w:left="7438" w:hanging="288"/>
      </w:pPr>
      <w:rPr>
        <w:rFonts w:hint="default"/>
      </w:rPr>
    </w:lvl>
  </w:abstractNum>
  <w:abstractNum w:abstractNumId="13" w15:restartNumberingAfterBreak="0">
    <w:nsid w:val="13427368"/>
    <w:multiLevelType w:val="hybridMultilevel"/>
    <w:tmpl w:val="7F1A7654"/>
    <w:lvl w:ilvl="0" w:tplc="FDCAE1EE">
      <w:numFmt w:val="bullet"/>
      <w:lvlText w:val=""/>
      <w:lvlJc w:val="left"/>
      <w:pPr>
        <w:ind w:left="535" w:hanging="288"/>
      </w:pPr>
      <w:rPr>
        <w:rFonts w:ascii="Symbol" w:eastAsia="Symbol" w:hAnsi="Symbol" w:cs="Symbol" w:hint="default"/>
        <w:w w:val="100"/>
        <w:sz w:val="24"/>
        <w:szCs w:val="24"/>
      </w:rPr>
    </w:lvl>
    <w:lvl w:ilvl="1" w:tplc="E7F2F576">
      <w:numFmt w:val="bullet"/>
      <w:lvlText w:val="•"/>
      <w:lvlJc w:val="left"/>
      <w:pPr>
        <w:ind w:left="1402" w:hanging="288"/>
      </w:pPr>
      <w:rPr>
        <w:rFonts w:hint="default"/>
      </w:rPr>
    </w:lvl>
    <w:lvl w:ilvl="2" w:tplc="78ACC556">
      <w:numFmt w:val="bullet"/>
      <w:lvlText w:val="•"/>
      <w:lvlJc w:val="left"/>
      <w:pPr>
        <w:ind w:left="2264" w:hanging="288"/>
      </w:pPr>
      <w:rPr>
        <w:rFonts w:hint="default"/>
      </w:rPr>
    </w:lvl>
    <w:lvl w:ilvl="3" w:tplc="1F708FE0">
      <w:numFmt w:val="bullet"/>
      <w:lvlText w:val="•"/>
      <w:lvlJc w:val="left"/>
      <w:pPr>
        <w:ind w:left="3126" w:hanging="288"/>
      </w:pPr>
      <w:rPr>
        <w:rFonts w:hint="default"/>
      </w:rPr>
    </w:lvl>
    <w:lvl w:ilvl="4" w:tplc="2E944DDE">
      <w:numFmt w:val="bullet"/>
      <w:lvlText w:val="•"/>
      <w:lvlJc w:val="left"/>
      <w:pPr>
        <w:ind w:left="3989" w:hanging="288"/>
      </w:pPr>
      <w:rPr>
        <w:rFonts w:hint="default"/>
      </w:rPr>
    </w:lvl>
    <w:lvl w:ilvl="5" w:tplc="C46CFED8">
      <w:numFmt w:val="bullet"/>
      <w:lvlText w:val="•"/>
      <w:lvlJc w:val="left"/>
      <w:pPr>
        <w:ind w:left="4851" w:hanging="288"/>
      </w:pPr>
      <w:rPr>
        <w:rFonts w:hint="default"/>
      </w:rPr>
    </w:lvl>
    <w:lvl w:ilvl="6" w:tplc="2D2C4594">
      <w:numFmt w:val="bullet"/>
      <w:lvlText w:val="•"/>
      <w:lvlJc w:val="left"/>
      <w:pPr>
        <w:ind w:left="5713" w:hanging="288"/>
      </w:pPr>
      <w:rPr>
        <w:rFonts w:hint="default"/>
      </w:rPr>
    </w:lvl>
    <w:lvl w:ilvl="7" w:tplc="C98EDAC0">
      <w:numFmt w:val="bullet"/>
      <w:lvlText w:val="•"/>
      <w:lvlJc w:val="left"/>
      <w:pPr>
        <w:ind w:left="6575" w:hanging="288"/>
      </w:pPr>
      <w:rPr>
        <w:rFonts w:hint="default"/>
      </w:rPr>
    </w:lvl>
    <w:lvl w:ilvl="8" w:tplc="9E6E8450">
      <w:numFmt w:val="bullet"/>
      <w:lvlText w:val="•"/>
      <w:lvlJc w:val="left"/>
      <w:pPr>
        <w:ind w:left="7438" w:hanging="288"/>
      </w:pPr>
      <w:rPr>
        <w:rFonts w:hint="default"/>
      </w:rPr>
    </w:lvl>
  </w:abstractNum>
  <w:abstractNum w:abstractNumId="14" w15:restartNumberingAfterBreak="0">
    <w:nsid w:val="13444AED"/>
    <w:multiLevelType w:val="hybridMultilevel"/>
    <w:tmpl w:val="3FBA33E4"/>
    <w:lvl w:ilvl="0" w:tplc="06F6710C">
      <w:numFmt w:val="bullet"/>
      <w:lvlText w:val=""/>
      <w:lvlJc w:val="left"/>
      <w:pPr>
        <w:ind w:left="535" w:hanging="288"/>
      </w:pPr>
      <w:rPr>
        <w:rFonts w:ascii="Symbol" w:eastAsia="Symbol" w:hAnsi="Symbol" w:cs="Symbol" w:hint="default"/>
        <w:w w:val="100"/>
        <w:sz w:val="24"/>
        <w:szCs w:val="24"/>
      </w:rPr>
    </w:lvl>
    <w:lvl w:ilvl="1" w:tplc="7070DE56">
      <w:numFmt w:val="bullet"/>
      <w:lvlText w:val="•"/>
      <w:lvlJc w:val="left"/>
      <w:pPr>
        <w:ind w:left="1402" w:hanging="288"/>
      </w:pPr>
      <w:rPr>
        <w:rFonts w:hint="default"/>
      </w:rPr>
    </w:lvl>
    <w:lvl w:ilvl="2" w:tplc="037E75A0">
      <w:numFmt w:val="bullet"/>
      <w:lvlText w:val="•"/>
      <w:lvlJc w:val="left"/>
      <w:pPr>
        <w:ind w:left="2264" w:hanging="288"/>
      </w:pPr>
      <w:rPr>
        <w:rFonts w:hint="default"/>
      </w:rPr>
    </w:lvl>
    <w:lvl w:ilvl="3" w:tplc="00F289D0">
      <w:numFmt w:val="bullet"/>
      <w:lvlText w:val="•"/>
      <w:lvlJc w:val="left"/>
      <w:pPr>
        <w:ind w:left="3126" w:hanging="288"/>
      </w:pPr>
      <w:rPr>
        <w:rFonts w:hint="default"/>
      </w:rPr>
    </w:lvl>
    <w:lvl w:ilvl="4" w:tplc="6CF2D818">
      <w:numFmt w:val="bullet"/>
      <w:lvlText w:val="•"/>
      <w:lvlJc w:val="left"/>
      <w:pPr>
        <w:ind w:left="3989" w:hanging="288"/>
      </w:pPr>
      <w:rPr>
        <w:rFonts w:hint="default"/>
      </w:rPr>
    </w:lvl>
    <w:lvl w:ilvl="5" w:tplc="AD647F90">
      <w:numFmt w:val="bullet"/>
      <w:lvlText w:val="•"/>
      <w:lvlJc w:val="left"/>
      <w:pPr>
        <w:ind w:left="4851" w:hanging="288"/>
      </w:pPr>
      <w:rPr>
        <w:rFonts w:hint="default"/>
      </w:rPr>
    </w:lvl>
    <w:lvl w:ilvl="6" w:tplc="3CB2CE22">
      <w:numFmt w:val="bullet"/>
      <w:lvlText w:val="•"/>
      <w:lvlJc w:val="left"/>
      <w:pPr>
        <w:ind w:left="5713" w:hanging="288"/>
      </w:pPr>
      <w:rPr>
        <w:rFonts w:hint="default"/>
      </w:rPr>
    </w:lvl>
    <w:lvl w:ilvl="7" w:tplc="A1A0076E">
      <w:numFmt w:val="bullet"/>
      <w:lvlText w:val="•"/>
      <w:lvlJc w:val="left"/>
      <w:pPr>
        <w:ind w:left="6575" w:hanging="288"/>
      </w:pPr>
      <w:rPr>
        <w:rFonts w:hint="default"/>
      </w:rPr>
    </w:lvl>
    <w:lvl w:ilvl="8" w:tplc="682613C4">
      <w:numFmt w:val="bullet"/>
      <w:lvlText w:val="•"/>
      <w:lvlJc w:val="left"/>
      <w:pPr>
        <w:ind w:left="7438" w:hanging="288"/>
      </w:pPr>
      <w:rPr>
        <w:rFonts w:hint="default"/>
      </w:rPr>
    </w:lvl>
  </w:abstractNum>
  <w:abstractNum w:abstractNumId="15" w15:restartNumberingAfterBreak="0">
    <w:nsid w:val="138F018D"/>
    <w:multiLevelType w:val="hybridMultilevel"/>
    <w:tmpl w:val="5528372E"/>
    <w:lvl w:ilvl="0" w:tplc="55040208">
      <w:numFmt w:val="bullet"/>
      <w:lvlText w:val=""/>
      <w:lvlJc w:val="left"/>
      <w:pPr>
        <w:ind w:left="1180" w:hanging="720"/>
      </w:pPr>
      <w:rPr>
        <w:rFonts w:ascii="Symbol" w:eastAsia="Symbol" w:hAnsi="Symbol" w:cs="Symbol" w:hint="default"/>
        <w:w w:val="100"/>
        <w:sz w:val="24"/>
        <w:szCs w:val="24"/>
      </w:rPr>
    </w:lvl>
    <w:lvl w:ilvl="1" w:tplc="560C9688">
      <w:numFmt w:val="bullet"/>
      <w:lvlText w:val="•"/>
      <w:lvlJc w:val="left"/>
      <w:pPr>
        <w:ind w:left="2032" w:hanging="720"/>
      </w:pPr>
      <w:rPr>
        <w:rFonts w:hint="default"/>
      </w:rPr>
    </w:lvl>
    <w:lvl w:ilvl="2" w:tplc="708C1170">
      <w:numFmt w:val="bullet"/>
      <w:lvlText w:val="•"/>
      <w:lvlJc w:val="left"/>
      <w:pPr>
        <w:ind w:left="2884" w:hanging="720"/>
      </w:pPr>
      <w:rPr>
        <w:rFonts w:hint="default"/>
      </w:rPr>
    </w:lvl>
    <w:lvl w:ilvl="3" w:tplc="52109218">
      <w:numFmt w:val="bullet"/>
      <w:lvlText w:val="•"/>
      <w:lvlJc w:val="left"/>
      <w:pPr>
        <w:ind w:left="3736" w:hanging="720"/>
      </w:pPr>
      <w:rPr>
        <w:rFonts w:hint="default"/>
      </w:rPr>
    </w:lvl>
    <w:lvl w:ilvl="4" w:tplc="0FE6337A">
      <w:numFmt w:val="bullet"/>
      <w:lvlText w:val="•"/>
      <w:lvlJc w:val="left"/>
      <w:pPr>
        <w:ind w:left="4588" w:hanging="720"/>
      </w:pPr>
      <w:rPr>
        <w:rFonts w:hint="default"/>
      </w:rPr>
    </w:lvl>
    <w:lvl w:ilvl="5" w:tplc="25D4BF6E">
      <w:numFmt w:val="bullet"/>
      <w:lvlText w:val="•"/>
      <w:lvlJc w:val="left"/>
      <w:pPr>
        <w:ind w:left="5440" w:hanging="720"/>
      </w:pPr>
      <w:rPr>
        <w:rFonts w:hint="default"/>
      </w:rPr>
    </w:lvl>
    <w:lvl w:ilvl="6" w:tplc="8CBEC712">
      <w:numFmt w:val="bullet"/>
      <w:lvlText w:val="•"/>
      <w:lvlJc w:val="left"/>
      <w:pPr>
        <w:ind w:left="6292" w:hanging="720"/>
      </w:pPr>
      <w:rPr>
        <w:rFonts w:hint="default"/>
      </w:rPr>
    </w:lvl>
    <w:lvl w:ilvl="7" w:tplc="B946689C">
      <w:numFmt w:val="bullet"/>
      <w:lvlText w:val="•"/>
      <w:lvlJc w:val="left"/>
      <w:pPr>
        <w:ind w:left="7144" w:hanging="720"/>
      </w:pPr>
      <w:rPr>
        <w:rFonts w:hint="default"/>
      </w:rPr>
    </w:lvl>
    <w:lvl w:ilvl="8" w:tplc="C4EE98B4">
      <w:numFmt w:val="bullet"/>
      <w:lvlText w:val="•"/>
      <w:lvlJc w:val="left"/>
      <w:pPr>
        <w:ind w:left="7996" w:hanging="720"/>
      </w:pPr>
      <w:rPr>
        <w:rFonts w:hint="default"/>
      </w:rPr>
    </w:lvl>
  </w:abstractNum>
  <w:abstractNum w:abstractNumId="16" w15:restartNumberingAfterBreak="0">
    <w:nsid w:val="13BD667F"/>
    <w:multiLevelType w:val="hybridMultilevel"/>
    <w:tmpl w:val="CE227496"/>
    <w:lvl w:ilvl="0" w:tplc="155A8D1C">
      <w:start w:val="1"/>
      <w:numFmt w:val="lowerRoman"/>
      <w:lvlText w:val="(%1)"/>
      <w:lvlJc w:val="left"/>
      <w:pPr>
        <w:ind w:left="100" w:hanging="286"/>
      </w:pPr>
      <w:rPr>
        <w:rFonts w:ascii="Times New Roman" w:eastAsia="Times New Roman" w:hAnsi="Times New Roman" w:cs="Times New Roman" w:hint="default"/>
        <w:w w:val="99"/>
        <w:sz w:val="24"/>
        <w:szCs w:val="24"/>
      </w:rPr>
    </w:lvl>
    <w:lvl w:ilvl="1" w:tplc="DE8400C4">
      <w:numFmt w:val="bullet"/>
      <w:lvlText w:val="•"/>
      <w:lvlJc w:val="left"/>
      <w:pPr>
        <w:ind w:left="523" w:hanging="286"/>
      </w:pPr>
      <w:rPr>
        <w:rFonts w:hint="default"/>
      </w:rPr>
    </w:lvl>
    <w:lvl w:ilvl="2" w:tplc="B7D27BE6">
      <w:numFmt w:val="bullet"/>
      <w:lvlText w:val="•"/>
      <w:lvlJc w:val="left"/>
      <w:pPr>
        <w:ind w:left="946" w:hanging="286"/>
      </w:pPr>
      <w:rPr>
        <w:rFonts w:hint="default"/>
      </w:rPr>
    </w:lvl>
    <w:lvl w:ilvl="3" w:tplc="9AC046E4">
      <w:numFmt w:val="bullet"/>
      <w:lvlText w:val="•"/>
      <w:lvlJc w:val="left"/>
      <w:pPr>
        <w:ind w:left="1369" w:hanging="286"/>
      </w:pPr>
      <w:rPr>
        <w:rFonts w:hint="default"/>
      </w:rPr>
    </w:lvl>
    <w:lvl w:ilvl="4" w:tplc="00BA24F0">
      <w:numFmt w:val="bullet"/>
      <w:lvlText w:val="•"/>
      <w:lvlJc w:val="left"/>
      <w:pPr>
        <w:ind w:left="1793" w:hanging="286"/>
      </w:pPr>
      <w:rPr>
        <w:rFonts w:hint="default"/>
      </w:rPr>
    </w:lvl>
    <w:lvl w:ilvl="5" w:tplc="7CC2B8B4">
      <w:numFmt w:val="bullet"/>
      <w:lvlText w:val="•"/>
      <w:lvlJc w:val="left"/>
      <w:pPr>
        <w:ind w:left="2216" w:hanging="286"/>
      </w:pPr>
      <w:rPr>
        <w:rFonts w:hint="default"/>
      </w:rPr>
    </w:lvl>
    <w:lvl w:ilvl="6" w:tplc="4BCAD762">
      <w:numFmt w:val="bullet"/>
      <w:lvlText w:val="•"/>
      <w:lvlJc w:val="left"/>
      <w:pPr>
        <w:ind w:left="2639" w:hanging="286"/>
      </w:pPr>
      <w:rPr>
        <w:rFonts w:hint="default"/>
      </w:rPr>
    </w:lvl>
    <w:lvl w:ilvl="7" w:tplc="82184202">
      <w:numFmt w:val="bullet"/>
      <w:lvlText w:val="•"/>
      <w:lvlJc w:val="left"/>
      <w:pPr>
        <w:ind w:left="3062" w:hanging="286"/>
      </w:pPr>
      <w:rPr>
        <w:rFonts w:hint="default"/>
      </w:rPr>
    </w:lvl>
    <w:lvl w:ilvl="8" w:tplc="A4864CCC">
      <w:numFmt w:val="bullet"/>
      <w:lvlText w:val="•"/>
      <w:lvlJc w:val="left"/>
      <w:pPr>
        <w:ind w:left="3486" w:hanging="286"/>
      </w:pPr>
      <w:rPr>
        <w:rFonts w:hint="default"/>
      </w:rPr>
    </w:lvl>
  </w:abstractNum>
  <w:abstractNum w:abstractNumId="17" w15:restartNumberingAfterBreak="0">
    <w:nsid w:val="140E1936"/>
    <w:multiLevelType w:val="hybridMultilevel"/>
    <w:tmpl w:val="BF4A0836"/>
    <w:lvl w:ilvl="0" w:tplc="E39690F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9722A7"/>
    <w:multiLevelType w:val="hybridMultilevel"/>
    <w:tmpl w:val="175C70E0"/>
    <w:lvl w:ilvl="0" w:tplc="BFD49A8A">
      <w:start w:val="1"/>
      <w:numFmt w:val="upperLetter"/>
      <w:lvlText w:val="%1."/>
      <w:lvlJc w:val="left"/>
      <w:pPr>
        <w:ind w:left="120" w:hanging="720"/>
      </w:pPr>
      <w:rPr>
        <w:rFonts w:ascii="Times New Roman" w:eastAsia="Times New Roman" w:hAnsi="Times New Roman" w:cs="Times New Roman" w:hint="default"/>
        <w:b/>
        <w:bCs/>
        <w:spacing w:val="-1"/>
        <w:w w:val="99"/>
        <w:sz w:val="24"/>
        <w:szCs w:val="24"/>
      </w:rPr>
    </w:lvl>
    <w:lvl w:ilvl="1" w:tplc="1472DB80">
      <w:start w:val="1"/>
      <w:numFmt w:val="decimal"/>
      <w:lvlText w:val="(%2)"/>
      <w:lvlJc w:val="left"/>
      <w:pPr>
        <w:ind w:left="820" w:hanging="360"/>
      </w:pPr>
      <w:rPr>
        <w:rFonts w:ascii="Times New Roman" w:eastAsia="Times New Roman" w:hAnsi="Times New Roman" w:cs="Times New Roman" w:hint="default"/>
        <w:w w:val="99"/>
        <w:sz w:val="24"/>
        <w:szCs w:val="24"/>
      </w:rPr>
    </w:lvl>
    <w:lvl w:ilvl="2" w:tplc="6AB8ACF6">
      <w:numFmt w:val="bullet"/>
      <w:lvlText w:val="•"/>
      <w:lvlJc w:val="left"/>
      <w:pPr>
        <w:ind w:left="1788" w:hanging="360"/>
      </w:pPr>
      <w:rPr>
        <w:rFonts w:hint="default"/>
      </w:rPr>
    </w:lvl>
    <w:lvl w:ilvl="3" w:tplc="0EA2B2C8">
      <w:numFmt w:val="bullet"/>
      <w:lvlText w:val="•"/>
      <w:lvlJc w:val="left"/>
      <w:pPr>
        <w:ind w:left="2757" w:hanging="360"/>
      </w:pPr>
      <w:rPr>
        <w:rFonts w:hint="default"/>
      </w:rPr>
    </w:lvl>
    <w:lvl w:ilvl="4" w:tplc="4B86DC56">
      <w:numFmt w:val="bullet"/>
      <w:lvlText w:val="•"/>
      <w:lvlJc w:val="left"/>
      <w:pPr>
        <w:ind w:left="3726" w:hanging="360"/>
      </w:pPr>
      <w:rPr>
        <w:rFonts w:hint="default"/>
      </w:rPr>
    </w:lvl>
    <w:lvl w:ilvl="5" w:tplc="65F62BCA">
      <w:numFmt w:val="bullet"/>
      <w:lvlText w:val="•"/>
      <w:lvlJc w:val="left"/>
      <w:pPr>
        <w:ind w:left="4695" w:hanging="360"/>
      </w:pPr>
      <w:rPr>
        <w:rFonts w:hint="default"/>
      </w:rPr>
    </w:lvl>
    <w:lvl w:ilvl="6" w:tplc="6982004C">
      <w:numFmt w:val="bullet"/>
      <w:lvlText w:val="•"/>
      <w:lvlJc w:val="left"/>
      <w:pPr>
        <w:ind w:left="5664" w:hanging="360"/>
      </w:pPr>
      <w:rPr>
        <w:rFonts w:hint="default"/>
      </w:rPr>
    </w:lvl>
    <w:lvl w:ilvl="7" w:tplc="DAFE061A">
      <w:numFmt w:val="bullet"/>
      <w:lvlText w:val="•"/>
      <w:lvlJc w:val="left"/>
      <w:pPr>
        <w:ind w:left="6633" w:hanging="360"/>
      </w:pPr>
      <w:rPr>
        <w:rFonts w:hint="default"/>
      </w:rPr>
    </w:lvl>
    <w:lvl w:ilvl="8" w:tplc="66E86692">
      <w:numFmt w:val="bullet"/>
      <w:lvlText w:val="•"/>
      <w:lvlJc w:val="left"/>
      <w:pPr>
        <w:ind w:left="7602" w:hanging="360"/>
      </w:pPr>
      <w:rPr>
        <w:rFonts w:hint="default"/>
      </w:rPr>
    </w:lvl>
  </w:abstractNum>
  <w:abstractNum w:abstractNumId="19" w15:restartNumberingAfterBreak="0">
    <w:nsid w:val="150D47FE"/>
    <w:multiLevelType w:val="hybridMultilevel"/>
    <w:tmpl w:val="3DB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243233"/>
    <w:multiLevelType w:val="hybridMultilevel"/>
    <w:tmpl w:val="0F9655C2"/>
    <w:lvl w:ilvl="0" w:tplc="52AAB8F6">
      <w:start w:val="1"/>
      <w:numFmt w:val="lowerLetter"/>
      <w:lvlText w:val="(%1)"/>
      <w:lvlJc w:val="left"/>
      <w:pPr>
        <w:ind w:left="580" w:hanging="360"/>
      </w:pPr>
      <w:rPr>
        <w:rFonts w:ascii="Times New Roman" w:eastAsia="Times New Roman" w:hAnsi="Times New Roman" w:cs="Times New Roman" w:hint="default"/>
        <w:spacing w:val="-25"/>
        <w:w w:val="99"/>
        <w:sz w:val="24"/>
        <w:szCs w:val="24"/>
      </w:rPr>
    </w:lvl>
    <w:lvl w:ilvl="1" w:tplc="6310BDBE">
      <w:start w:val="1"/>
      <w:numFmt w:val="decimal"/>
      <w:lvlText w:val="(%2)"/>
      <w:lvlJc w:val="left"/>
      <w:pPr>
        <w:ind w:left="940" w:hanging="360"/>
      </w:pPr>
      <w:rPr>
        <w:rFonts w:ascii="Times New Roman" w:eastAsia="Times New Roman" w:hAnsi="Times New Roman" w:cs="Times New Roman" w:hint="default"/>
        <w:w w:val="99"/>
        <w:sz w:val="24"/>
        <w:szCs w:val="24"/>
      </w:rPr>
    </w:lvl>
    <w:lvl w:ilvl="2" w:tplc="B71AD572">
      <w:numFmt w:val="bullet"/>
      <w:lvlText w:val="•"/>
      <w:lvlJc w:val="left"/>
      <w:pPr>
        <w:ind w:left="1924" w:hanging="360"/>
      </w:pPr>
      <w:rPr>
        <w:rFonts w:hint="default"/>
      </w:rPr>
    </w:lvl>
    <w:lvl w:ilvl="3" w:tplc="0492BC84">
      <w:numFmt w:val="bullet"/>
      <w:lvlText w:val="•"/>
      <w:lvlJc w:val="left"/>
      <w:pPr>
        <w:ind w:left="2908" w:hanging="360"/>
      </w:pPr>
      <w:rPr>
        <w:rFonts w:hint="default"/>
      </w:rPr>
    </w:lvl>
    <w:lvl w:ilvl="4" w:tplc="B80C550E">
      <w:numFmt w:val="bullet"/>
      <w:lvlText w:val="•"/>
      <w:lvlJc w:val="left"/>
      <w:pPr>
        <w:ind w:left="3893" w:hanging="360"/>
      </w:pPr>
      <w:rPr>
        <w:rFonts w:hint="default"/>
      </w:rPr>
    </w:lvl>
    <w:lvl w:ilvl="5" w:tplc="7F58BA10">
      <w:numFmt w:val="bullet"/>
      <w:lvlText w:val="•"/>
      <w:lvlJc w:val="left"/>
      <w:pPr>
        <w:ind w:left="4877" w:hanging="360"/>
      </w:pPr>
      <w:rPr>
        <w:rFonts w:hint="default"/>
      </w:rPr>
    </w:lvl>
    <w:lvl w:ilvl="6" w:tplc="78CCB392">
      <w:numFmt w:val="bullet"/>
      <w:lvlText w:val="•"/>
      <w:lvlJc w:val="left"/>
      <w:pPr>
        <w:ind w:left="5862" w:hanging="360"/>
      </w:pPr>
      <w:rPr>
        <w:rFonts w:hint="default"/>
      </w:rPr>
    </w:lvl>
    <w:lvl w:ilvl="7" w:tplc="706A16A2">
      <w:numFmt w:val="bullet"/>
      <w:lvlText w:val="•"/>
      <w:lvlJc w:val="left"/>
      <w:pPr>
        <w:ind w:left="6846" w:hanging="360"/>
      </w:pPr>
      <w:rPr>
        <w:rFonts w:hint="default"/>
      </w:rPr>
    </w:lvl>
    <w:lvl w:ilvl="8" w:tplc="8688A27E">
      <w:numFmt w:val="bullet"/>
      <w:lvlText w:val="•"/>
      <w:lvlJc w:val="left"/>
      <w:pPr>
        <w:ind w:left="7831" w:hanging="360"/>
      </w:pPr>
      <w:rPr>
        <w:rFonts w:hint="default"/>
      </w:rPr>
    </w:lvl>
  </w:abstractNum>
  <w:abstractNum w:abstractNumId="21" w15:restartNumberingAfterBreak="0">
    <w:nsid w:val="165D1681"/>
    <w:multiLevelType w:val="hybridMultilevel"/>
    <w:tmpl w:val="083EAA4C"/>
    <w:lvl w:ilvl="0" w:tplc="A6AA6DDE">
      <w:start w:val="1"/>
      <w:numFmt w:val="decimal"/>
      <w:lvlText w:val="(%1)"/>
      <w:lvlJc w:val="left"/>
      <w:pPr>
        <w:ind w:left="400" w:hanging="314"/>
      </w:pPr>
      <w:rPr>
        <w:rFonts w:ascii="Times New Roman" w:eastAsia="Times New Roman" w:hAnsi="Times New Roman" w:cs="Times New Roman" w:hint="default"/>
        <w:w w:val="100"/>
        <w:sz w:val="22"/>
        <w:szCs w:val="22"/>
      </w:rPr>
    </w:lvl>
    <w:lvl w:ilvl="1" w:tplc="4EC086D6">
      <w:numFmt w:val="bullet"/>
      <w:lvlText w:val="•"/>
      <w:lvlJc w:val="left"/>
      <w:pPr>
        <w:ind w:left="1364" w:hanging="314"/>
      </w:pPr>
      <w:rPr>
        <w:rFonts w:hint="default"/>
      </w:rPr>
    </w:lvl>
    <w:lvl w:ilvl="2" w:tplc="5BD2D9AA">
      <w:numFmt w:val="bullet"/>
      <w:lvlText w:val="•"/>
      <w:lvlJc w:val="left"/>
      <w:pPr>
        <w:ind w:left="2328" w:hanging="314"/>
      </w:pPr>
      <w:rPr>
        <w:rFonts w:hint="default"/>
      </w:rPr>
    </w:lvl>
    <w:lvl w:ilvl="3" w:tplc="CC94D5F8">
      <w:numFmt w:val="bullet"/>
      <w:lvlText w:val="•"/>
      <w:lvlJc w:val="left"/>
      <w:pPr>
        <w:ind w:left="3292" w:hanging="314"/>
      </w:pPr>
      <w:rPr>
        <w:rFonts w:hint="default"/>
      </w:rPr>
    </w:lvl>
    <w:lvl w:ilvl="4" w:tplc="1A8828DE">
      <w:numFmt w:val="bullet"/>
      <w:lvlText w:val="•"/>
      <w:lvlJc w:val="left"/>
      <w:pPr>
        <w:ind w:left="4256" w:hanging="314"/>
      </w:pPr>
      <w:rPr>
        <w:rFonts w:hint="default"/>
      </w:rPr>
    </w:lvl>
    <w:lvl w:ilvl="5" w:tplc="3E523608">
      <w:numFmt w:val="bullet"/>
      <w:lvlText w:val="•"/>
      <w:lvlJc w:val="left"/>
      <w:pPr>
        <w:ind w:left="5220" w:hanging="314"/>
      </w:pPr>
      <w:rPr>
        <w:rFonts w:hint="default"/>
      </w:rPr>
    </w:lvl>
    <w:lvl w:ilvl="6" w:tplc="4F2A66B8">
      <w:numFmt w:val="bullet"/>
      <w:lvlText w:val="•"/>
      <w:lvlJc w:val="left"/>
      <w:pPr>
        <w:ind w:left="6184" w:hanging="314"/>
      </w:pPr>
      <w:rPr>
        <w:rFonts w:hint="default"/>
      </w:rPr>
    </w:lvl>
    <w:lvl w:ilvl="7" w:tplc="286E87D8">
      <w:numFmt w:val="bullet"/>
      <w:lvlText w:val="•"/>
      <w:lvlJc w:val="left"/>
      <w:pPr>
        <w:ind w:left="7148" w:hanging="314"/>
      </w:pPr>
      <w:rPr>
        <w:rFonts w:hint="default"/>
      </w:rPr>
    </w:lvl>
    <w:lvl w:ilvl="8" w:tplc="07AA887A">
      <w:numFmt w:val="bullet"/>
      <w:lvlText w:val="•"/>
      <w:lvlJc w:val="left"/>
      <w:pPr>
        <w:ind w:left="8112" w:hanging="314"/>
      </w:pPr>
      <w:rPr>
        <w:rFonts w:hint="default"/>
      </w:rPr>
    </w:lvl>
  </w:abstractNum>
  <w:abstractNum w:abstractNumId="22" w15:restartNumberingAfterBreak="0">
    <w:nsid w:val="17265400"/>
    <w:multiLevelType w:val="hybridMultilevel"/>
    <w:tmpl w:val="B6489F9C"/>
    <w:lvl w:ilvl="0" w:tplc="D3E6CC68">
      <w:numFmt w:val="bullet"/>
      <w:lvlText w:val=""/>
      <w:lvlJc w:val="left"/>
      <w:pPr>
        <w:ind w:left="820" w:hanging="360"/>
      </w:pPr>
      <w:rPr>
        <w:rFonts w:ascii="Symbol" w:eastAsia="Symbol" w:hAnsi="Symbol" w:cs="Symbol" w:hint="default"/>
        <w:w w:val="100"/>
        <w:sz w:val="24"/>
        <w:szCs w:val="24"/>
      </w:rPr>
    </w:lvl>
    <w:lvl w:ilvl="1" w:tplc="70D4092A">
      <w:numFmt w:val="bullet"/>
      <w:lvlText w:val="•"/>
      <w:lvlJc w:val="left"/>
      <w:pPr>
        <w:ind w:left="1718" w:hanging="360"/>
      </w:pPr>
      <w:rPr>
        <w:rFonts w:hint="default"/>
      </w:rPr>
    </w:lvl>
    <w:lvl w:ilvl="2" w:tplc="0B6CB32A">
      <w:numFmt w:val="bullet"/>
      <w:lvlText w:val="•"/>
      <w:lvlJc w:val="left"/>
      <w:pPr>
        <w:ind w:left="2616" w:hanging="360"/>
      </w:pPr>
      <w:rPr>
        <w:rFonts w:hint="default"/>
      </w:rPr>
    </w:lvl>
    <w:lvl w:ilvl="3" w:tplc="E1CCFCBC">
      <w:numFmt w:val="bullet"/>
      <w:lvlText w:val="•"/>
      <w:lvlJc w:val="left"/>
      <w:pPr>
        <w:ind w:left="3514" w:hanging="360"/>
      </w:pPr>
      <w:rPr>
        <w:rFonts w:hint="default"/>
      </w:rPr>
    </w:lvl>
    <w:lvl w:ilvl="4" w:tplc="6980CA28">
      <w:numFmt w:val="bullet"/>
      <w:lvlText w:val="•"/>
      <w:lvlJc w:val="left"/>
      <w:pPr>
        <w:ind w:left="4412" w:hanging="360"/>
      </w:pPr>
      <w:rPr>
        <w:rFonts w:hint="default"/>
      </w:rPr>
    </w:lvl>
    <w:lvl w:ilvl="5" w:tplc="EF0EA678">
      <w:numFmt w:val="bullet"/>
      <w:lvlText w:val="•"/>
      <w:lvlJc w:val="left"/>
      <w:pPr>
        <w:ind w:left="5310" w:hanging="360"/>
      </w:pPr>
      <w:rPr>
        <w:rFonts w:hint="default"/>
      </w:rPr>
    </w:lvl>
    <w:lvl w:ilvl="6" w:tplc="EEB40A3C">
      <w:numFmt w:val="bullet"/>
      <w:lvlText w:val="•"/>
      <w:lvlJc w:val="left"/>
      <w:pPr>
        <w:ind w:left="6208" w:hanging="360"/>
      </w:pPr>
      <w:rPr>
        <w:rFonts w:hint="default"/>
      </w:rPr>
    </w:lvl>
    <w:lvl w:ilvl="7" w:tplc="1D2EB136">
      <w:numFmt w:val="bullet"/>
      <w:lvlText w:val="•"/>
      <w:lvlJc w:val="left"/>
      <w:pPr>
        <w:ind w:left="7106" w:hanging="360"/>
      </w:pPr>
      <w:rPr>
        <w:rFonts w:hint="default"/>
      </w:rPr>
    </w:lvl>
    <w:lvl w:ilvl="8" w:tplc="00C28A96">
      <w:numFmt w:val="bullet"/>
      <w:lvlText w:val="•"/>
      <w:lvlJc w:val="left"/>
      <w:pPr>
        <w:ind w:left="8004" w:hanging="360"/>
      </w:pPr>
      <w:rPr>
        <w:rFonts w:hint="default"/>
      </w:rPr>
    </w:lvl>
  </w:abstractNum>
  <w:abstractNum w:abstractNumId="23" w15:restartNumberingAfterBreak="0">
    <w:nsid w:val="1AD05F10"/>
    <w:multiLevelType w:val="hybridMultilevel"/>
    <w:tmpl w:val="7AEAC346"/>
    <w:lvl w:ilvl="0" w:tplc="0E0C4EBE">
      <w:numFmt w:val="bullet"/>
      <w:lvlText w:val=""/>
      <w:lvlJc w:val="left"/>
      <w:pPr>
        <w:ind w:left="580" w:hanging="360"/>
      </w:pPr>
      <w:rPr>
        <w:rFonts w:ascii="Symbol" w:eastAsia="Symbol" w:hAnsi="Symbol" w:cs="Symbol" w:hint="default"/>
        <w:w w:val="100"/>
        <w:sz w:val="24"/>
        <w:szCs w:val="24"/>
      </w:rPr>
    </w:lvl>
    <w:lvl w:ilvl="1" w:tplc="4738AB4C">
      <w:numFmt w:val="bullet"/>
      <w:lvlText w:val="•"/>
      <w:lvlJc w:val="left"/>
      <w:pPr>
        <w:ind w:left="1526" w:hanging="360"/>
      </w:pPr>
      <w:rPr>
        <w:rFonts w:hint="default"/>
      </w:rPr>
    </w:lvl>
    <w:lvl w:ilvl="2" w:tplc="F1F24FFC">
      <w:numFmt w:val="bullet"/>
      <w:lvlText w:val="•"/>
      <w:lvlJc w:val="left"/>
      <w:pPr>
        <w:ind w:left="2472" w:hanging="360"/>
      </w:pPr>
      <w:rPr>
        <w:rFonts w:hint="default"/>
      </w:rPr>
    </w:lvl>
    <w:lvl w:ilvl="3" w:tplc="E2B49DF0">
      <w:numFmt w:val="bullet"/>
      <w:lvlText w:val="•"/>
      <w:lvlJc w:val="left"/>
      <w:pPr>
        <w:ind w:left="3418" w:hanging="360"/>
      </w:pPr>
      <w:rPr>
        <w:rFonts w:hint="default"/>
      </w:rPr>
    </w:lvl>
    <w:lvl w:ilvl="4" w:tplc="AD506E2A">
      <w:numFmt w:val="bullet"/>
      <w:lvlText w:val="•"/>
      <w:lvlJc w:val="left"/>
      <w:pPr>
        <w:ind w:left="4364" w:hanging="360"/>
      </w:pPr>
      <w:rPr>
        <w:rFonts w:hint="default"/>
      </w:rPr>
    </w:lvl>
    <w:lvl w:ilvl="5" w:tplc="E06C3792">
      <w:numFmt w:val="bullet"/>
      <w:lvlText w:val="•"/>
      <w:lvlJc w:val="left"/>
      <w:pPr>
        <w:ind w:left="5310" w:hanging="360"/>
      </w:pPr>
      <w:rPr>
        <w:rFonts w:hint="default"/>
      </w:rPr>
    </w:lvl>
    <w:lvl w:ilvl="6" w:tplc="6724586E">
      <w:numFmt w:val="bullet"/>
      <w:lvlText w:val="•"/>
      <w:lvlJc w:val="left"/>
      <w:pPr>
        <w:ind w:left="6256" w:hanging="360"/>
      </w:pPr>
      <w:rPr>
        <w:rFonts w:hint="default"/>
      </w:rPr>
    </w:lvl>
    <w:lvl w:ilvl="7" w:tplc="F1ACF102">
      <w:numFmt w:val="bullet"/>
      <w:lvlText w:val="•"/>
      <w:lvlJc w:val="left"/>
      <w:pPr>
        <w:ind w:left="7202" w:hanging="360"/>
      </w:pPr>
      <w:rPr>
        <w:rFonts w:hint="default"/>
      </w:rPr>
    </w:lvl>
    <w:lvl w:ilvl="8" w:tplc="87C03220">
      <w:numFmt w:val="bullet"/>
      <w:lvlText w:val="•"/>
      <w:lvlJc w:val="left"/>
      <w:pPr>
        <w:ind w:left="8148" w:hanging="360"/>
      </w:pPr>
      <w:rPr>
        <w:rFonts w:hint="default"/>
      </w:rPr>
    </w:lvl>
  </w:abstractNum>
  <w:abstractNum w:abstractNumId="24" w15:restartNumberingAfterBreak="0">
    <w:nsid w:val="1B8A3F3B"/>
    <w:multiLevelType w:val="hybridMultilevel"/>
    <w:tmpl w:val="EF6C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A5139B"/>
    <w:multiLevelType w:val="hybridMultilevel"/>
    <w:tmpl w:val="8D488878"/>
    <w:lvl w:ilvl="0" w:tplc="DDAEEFAA">
      <w:start w:val="1"/>
      <w:numFmt w:val="decimal"/>
      <w:lvlText w:val="%1."/>
      <w:lvlJc w:val="left"/>
      <w:pPr>
        <w:ind w:left="820" w:hanging="360"/>
      </w:pPr>
      <w:rPr>
        <w:rFonts w:ascii="Times New Roman" w:eastAsia="Times New Roman" w:hAnsi="Times New Roman" w:cs="Times New Roman" w:hint="default"/>
        <w:spacing w:val="-2"/>
        <w:w w:val="99"/>
        <w:sz w:val="24"/>
        <w:szCs w:val="24"/>
      </w:rPr>
    </w:lvl>
    <w:lvl w:ilvl="1" w:tplc="F7F65962">
      <w:numFmt w:val="bullet"/>
      <w:lvlText w:val="•"/>
      <w:lvlJc w:val="left"/>
      <w:pPr>
        <w:ind w:left="1716" w:hanging="360"/>
      </w:pPr>
      <w:rPr>
        <w:rFonts w:hint="default"/>
      </w:rPr>
    </w:lvl>
    <w:lvl w:ilvl="2" w:tplc="77A456BA">
      <w:numFmt w:val="bullet"/>
      <w:lvlText w:val="•"/>
      <w:lvlJc w:val="left"/>
      <w:pPr>
        <w:ind w:left="2612" w:hanging="360"/>
      </w:pPr>
      <w:rPr>
        <w:rFonts w:hint="default"/>
      </w:rPr>
    </w:lvl>
    <w:lvl w:ilvl="3" w:tplc="B3D8E244">
      <w:numFmt w:val="bullet"/>
      <w:lvlText w:val="•"/>
      <w:lvlJc w:val="left"/>
      <w:pPr>
        <w:ind w:left="3508" w:hanging="360"/>
      </w:pPr>
      <w:rPr>
        <w:rFonts w:hint="default"/>
      </w:rPr>
    </w:lvl>
    <w:lvl w:ilvl="4" w:tplc="CF101778">
      <w:numFmt w:val="bullet"/>
      <w:lvlText w:val="•"/>
      <w:lvlJc w:val="left"/>
      <w:pPr>
        <w:ind w:left="4404" w:hanging="360"/>
      </w:pPr>
      <w:rPr>
        <w:rFonts w:hint="default"/>
      </w:rPr>
    </w:lvl>
    <w:lvl w:ilvl="5" w:tplc="AE22C138">
      <w:numFmt w:val="bullet"/>
      <w:lvlText w:val="•"/>
      <w:lvlJc w:val="left"/>
      <w:pPr>
        <w:ind w:left="5300" w:hanging="360"/>
      </w:pPr>
      <w:rPr>
        <w:rFonts w:hint="default"/>
      </w:rPr>
    </w:lvl>
    <w:lvl w:ilvl="6" w:tplc="F97CA69C">
      <w:numFmt w:val="bullet"/>
      <w:lvlText w:val="•"/>
      <w:lvlJc w:val="left"/>
      <w:pPr>
        <w:ind w:left="6196" w:hanging="360"/>
      </w:pPr>
      <w:rPr>
        <w:rFonts w:hint="default"/>
      </w:rPr>
    </w:lvl>
    <w:lvl w:ilvl="7" w:tplc="38BC0AA0">
      <w:numFmt w:val="bullet"/>
      <w:lvlText w:val="•"/>
      <w:lvlJc w:val="left"/>
      <w:pPr>
        <w:ind w:left="7092" w:hanging="360"/>
      </w:pPr>
      <w:rPr>
        <w:rFonts w:hint="default"/>
      </w:rPr>
    </w:lvl>
    <w:lvl w:ilvl="8" w:tplc="0E8ED790">
      <w:numFmt w:val="bullet"/>
      <w:lvlText w:val="•"/>
      <w:lvlJc w:val="left"/>
      <w:pPr>
        <w:ind w:left="7988" w:hanging="360"/>
      </w:pPr>
      <w:rPr>
        <w:rFonts w:hint="default"/>
      </w:rPr>
    </w:lvl>
  </w:abstractNum>
  <w:abstractNum w:abstractNumId="26" w15:restartNumberingAfterBreak="0">
    <w:nsid w:val="1CC84BDC"/>
    <w:multiLevelType w:val="hybridMultilevel"/>
    <w:tmpl w:val="E86873E0"/>
    <w:lvl w:ilvl="0" w:tplc="D5EE9DB6">
      <w:numFmt w:val="bullet"/>
      <w:lvlText w:val=""/>
      <w:lvlJc w:val="left"/>
      <w:pPr>
        <w:ind w:left="820" w:hanging="360"/>
      </w:pPr>
      <w:rPr>
        <w:rFonts w:ascii="Symbol" w:eastAsia="Symbol" w:hAnsi="Symbol" w:cs="Symbol" w:hint="default"/>
        <w:w w:val="100"/>
        <w:sz w:val="24"/>
        <w:szCs w:val="24"/>
      </w:rPr>
    </w:lvl>
    <w:lvl w:ilvl="1" w:tplc="FEF0DD92">
      <w:numFmt w:val="bullet"/>
      <w:lvlText w:val="•"/>
      <w:lvlJc w:val="left"/>
      <w:pPr>
        <w:ind w:left="1718" w:hanging="360"/>
      </w:pPr>
      <w:rPr>
        <w:rFonts w:hint="default"/>
      </w:rPr>
    </w:lvl>
    <w:lvl w:ilvl="2" w:tplc="E3B2C076">
      <w:numFmt w:val="bullet"/>
      <w:lvlText w:val="•"/>
      <w:lvlJc w:val="left"/>
      <w:pPr>
        <w:ind w:left="2616" w:hanging="360"/>
      </w:pPr>
      <w:rPr>
        <w:rFonts w:hint="default"/>
      </w:rPr>
    </w:lvl>
    <w:lvl w:ilvl="3" w:tplc="063A4C2A">
      <w:numFmt w:val="bullet"/>
      <w:lvlText w:val="•"/>
      <w:lvlJc w:val="left"/>
      <w:pPr>
        <w:ind w:left="3514" w:hanging="360"/>
      </w:pPr>
      <w:rPr>
        <w:rFonts w:hint="default"/>
      </w:rPr>
    </w:lvl>
    <w:lvl w:ilvl="4" w:tplc="40A6AF9E">
      <w:numFmt w:val="bullet"/>
      <w:lvlText w:val="•"/>
      <w:lvlJc w:val="left"/>
      <w:pPr>
        <w:ind w:left="4412" w:hanging="360"/>
      </w:pPr>
      <w:rPr>
        <w:rFonts w:hint="default"/>
      </w:rPr>
    </w:lvl>
    <w:lvl w:ilvl="5" w:tplc="CCCC59A8">
      <w:numFmt w:val="bullet"/>
      <w:lvlText w:val="•"/>
      <w:lvlJc w:val="left"/>
      <w:pPr>
        <w:ind w:left="5310" w:hanging="360"/>
      </w:pPr>
      <w:rPr>
        <w:rFonts w:hint="default"/>
      </w:rPr>
    </w:lvl>
    <w:lvl w:ilvl="6" w:tplc="1826B818">
      <w:numFmt w:val="bullet"/>
      <w:lvlText w:val="•"/>
      <w:lvlJc w:val="left"/>
      <w:pPr>
        <w:ind w:left="6208" w:hanging="360"/>
      </w:pPr>
      <w:rPr>
        <w:rFonts w:hint="default"/>
      </w:rPr>
    </w:lvl>
    <w:lvl w:ilvl="7" w:tplc="F08E35AC">
      <w:numFmt w:val="bullet"/>
      <w:lvlText w:val="•"/>
      <w:lvlJc w:val="left"/>
      <w:pPr>
        <w:ind w:left="7106" w:hanging="360"/>
      </w:pPr>
      <w:rPr>
        <w:rFonts w:hint="default"/>
      </w:rPr>
    </w:lvl>
    <w:lvl w:ilvl="8" w:tplc="75F827CC">
      <w:numFmt w:val="bullet"/>
      <w:lvlText w:val="•"/>
      <w:lvlJc w:val="left"/>
      <w:pPr>
        <w:ind w:left="8004" w:hanging="360"/>
      </w:pPr>
      <w:rPr>
        <w:rFonts w:hint="default"/>
      </w:rPr>
    </w:lvl>
  </w:abstractNum>
  <w:abstractNum w:abstractNumId="27" w15:restartNumberingAfterBreak="0">
    <w:nsid w:val="20DD7B80"/>
    <w:multiLevelType w:val="hybridMultilevel"/>
    <w:tmpl w:val="69880734"/>
    <w:lvl w:ilvl="0" w:tplc="AFAA81B2">
      <w:start w:val="1"/>
      <w:numFmt w:val="lowerLetter"/>
      <w:lvlText w:val="%1."/>
      <w:lvlJc w:val="left"/>
      <w:pPr>
        <w:ind w:left="100" w:hanging="226"/>
      </w:pPr>
      <w:rPr>
        <w:rFonts w:ascii="Times New Roman" w:eastAsia="Times New Roman" w:hAnsi="Times New Roman" w:cs="Times New Roman" w:hint="default"/>
        <w:w w:val="100"/>
        <w:sz w:val="23"/>
        <w:szCs w:val="23"/>
      </w:rPr>
    </w:lvl>
    <w:lvl w:ilvl="1" w:tplc="1A44F73A">
      <w:numFmt w:val="bullet"/>
      <w:lvlText w:val="•"/>
      <w:lvlJc w:val="left"/>
      <w:pPr>
        <w:ind w:left="1044" w:hanging="226"/>
      </w:pPr>
      <w:rPr>
        <w:rFonts w:hint="default"/>
      </w:rPr>
    </w:lvl>
    <w:lvl w:ilvl="2" w:tplc="1EBC7170">
      <w:numFmt w:val="bullet"/>
      <w:lvlText w:val="•"/>
      <w:lvlJc w:val="left"/>
      <w:pPr>
        <w:ind w:left="1988" w:hanging="226"/>
      </w:pPr>
      <w:rPr>
        <w:rFonts w:hint="default"/>
      </w:rPr>
    </w:lvl>
    <w:lvl w:ilvl="3" w:tplc="48CC439A">
      <w:numFmt w:val="bullet"/>
      <w:lvlText w:val="•"/>
      <w:lvlJc w:val="left"/>
      <w:pPr>
        <w:ind w:left="2932" w:hanging="226"/>
      </w:pPr>
      <w:rPr>
        <w:rFonts w:hint="default"/>
      </w:rPr>
    </w:lvl>
    <w:lvl w:ilvl="4" w:tplc="CC58FDF2">
      <w:numFmt w:val="bullet"/>
      <w:lvlText w:val="•"/>
      <w:lvlJc w:val="left"/>
      <w:pPr>
        <w:ind w:left="3876" w:hanging="226"/>
      </w:pPr>
      <w:rPr>
        <w:rFonts w:hint="default"/>
      </w:rPr>
    </w:lvl>
    <w:lvl w:ilvl="5" w:tplc="C1C406AA">
      <w:numFmt w:val="bullet"/>
      <w:lvlText w:val="•"/>
      <w:lvlJc w:val="left"/>
      <w:pPr>
        <w:ind w:left="4820" w:hanging="226"/>
      </w:pPr>
      <w:rPr>
        <w:rFonts w:hint="default"/>
      </w:rPr>
    </w:lvl>
    <w:lvl w:ilvl="6" w:tplc="01E07196">
      <w:numFmt w:val="bullet"/>
      <w:lvlText w:val="•"/>
      <w:lvlJc w:val="left"/>
      <w:pPr>
        <w:ind w:left="5764" w:hanging="226"/>
      </w:pPr>
      <w:rPr>
        <w:rFonts w:hint="default"/>
      </w:rPr>
    </w:lvl>
    <w:lvl w:ilvl="7" w:tplc="16F4DA22">
      <w:numFmt w:val="bullet"/>
      <w:lvlText w:val="•"/>
      <w:lvlJc w:val="left"/>
      <w:pPr>
        <w:ind w:left="6708" w:hanging="226"/>
      </w:pPr>
      <w:rPr>
        <w:rFonts w:hint="default"/>
      </w:rPr>
    </w:lvl>
    <w:lvl w:ilvl="8" w:tplc="D6229566">
      <w:numFmt w:val="bullet"/>
      <w:lvlText w:val="•"/>
      <w:lvlJc w:val="left"/>
      <w:pPr>
        <w:ind w:left="7652" w:hanging="226"/>
      </w:pPr>
      <w:rPr>
        <w:rFonts w:hint="default"/>
      </w:rPr>
    </w:lvl>
  </w:abstractNum>
  <w:abstractNum w:abstractNumId="28" w15:restartNumberingAfterBreak="0">
    <w:nsid w:val="20E225DD"/>
    <w:multiLevelType w:val="hybridMultilevel"/>
    <w:tmpl w:val="B5028B52"/>
    <w:lvl w:ilvl="0" w:tplc="38EAB9EA">
      <w:start w:val="2"/>
      <w:numFmt w:val="upperLetter"/>
      <w:lvlText w:val="(%1)"/>
      <w:lvlJc w:val="left"/>
      <w:pPr>
        <w:ind w:left="820" w:hanging="360"/>
      </w:pPr>
      <w:rPr>
        <w:rFonts w:ascii="Times New Roman" w:eastAsia="Times New Roman" w:hAnsi="Times New Roman" w:cs="Times New Roman" w:hint="default"/>
        <w:spacing w:val="-3"/>
        <w:w w:val="99"/>
        <w:sz w:val="24"/>
        <w:szCs w:val="24"/>
      </w:rPr>
    </w:lvl>
    <w:lvl w:ilvl="1" w:tplc="B8EA571E">
      <w:numFmt w:val="bullet"/>
      <w:lvlText w:val="•"/>
      <w:lvlJc w:val="left"/>
      <w:pPr>
        <w:ind w:left="1180" w:hanging="360"/>
      </w:pPr>
      <w:rPr>
        <w:rFonts w:hint="default"/>
      </w:rPr>
    </w:lvl>
    <w:lvl w:ilvl="2" w:tplc="7116F55C">
      <w:numFmt w:val="bullet"/>
      <w:lvlText w:val="•"/>
      <w:lvlJc w:val="left"/>
      <w:pPr>
        <w:ind w:left="2071" w:hanging="360"/>
      </w:pPr>
      <w:rPr>
        <w:rFonts w:hint="default"/>
      </w:rPr>
    </w:lvl>
    <w:lvl w:ilvl="3" w:tplc="4B1A8350">
      <w:numFmt w:val="bullet"/>
      <w:lvlText w:val="•"/>
      <w:lvlJc w:val="left"/>
      <w:pPr>
        <w:ind w:left="2962" w:hanging="360"/>
      </w:pPr>
      <w:rPr>
        <w:rFonts w:hint="default"/>
      </w:rPr>
    </w:lvl>
    <w:lvl w:ilvl="4" w:tplc="3154C3B2">
      <w:numFmt w:val="bullet"/>
      <w:lvlText w:val="•"/>
      <w:lvlJc w:val="left"/>
      <w:pPr>
        <w:ind w:left="3853" w:hanging="360"/>
      </w:pPr>
      <w:rPr>
        <w:rFonts w:hint="default"/>
      </w:rPr>
    </w:lvl>
    <w:lvl w:ilvl="5" w:tplc="0840F95A">
      <w:numFmt w:val="bullet"/>
      <w:lvlText w:val="•"/>
      <w:lvlJc w:val="left"/>
      <w:pPr>
        <w:ind w:left="4744" w:hanging="360"/>
      </w:pPr>
      <w:rPr>
        <w:rFonts w:hint="default"/>
      </w:rPr>
    </w:lvl>
    <w:lvl w:ilvl="6" w:tplc="A33EF2E4">
      <w:numFmt w:val="bullet"/>
      <w:lvlText w:val="•"/>
      <w:lvlJc w:val="left"/>
      <w:pPr>
        <w:ind w:left="5635" w:hanging="360"/>
      </w:pPr>
      <w:rPr>
        <w:rFonts w:hint="default"/>
      </w:rPr>
    </w:lvl>
    <w:lvl w:ilvl="7" w:tplc="BA68BA4A">
      <w:numFmt w:val="bullet"/>
      <w:lvlText w:val="•"/>
      <w:lvlJc w:val="left"/>
      <w:pPr>
        <w:ind w:left="6526" w:hanging="360"/>
      </w:pPr>
      <w:rPr>
        <w:rFonts w:hint="default"/>
      </w:rPr>
    </w:lvl>
    <w:lvl w:ilvl="8" w:tplc="4CE0B56A">
      <w:numFmt w:val="bullet"/>
      <w:lvlText w:val="•"/>
      <w:lvlJc w:val="left"/>
      <w:pPr>
        <w:ind w:left="7417" w:hanging="360"/>
      </w:pPr>
      <w:rPr>
        <w:rFonts w:hint="default"/>
      </w:rPr>
    </w:lvl>
  </w:abstractNum>
  <w:abstractNum w:abstractNumId="29" w15:restartNumberingAfterBreak="0">
    <w:nsid w:val="22FA1427"/>
    <w:multiLevelType w:val="hybridMultilevel"/>
    <w:tmpl w:val="B2A04C8C"/>
    <w:lvl w:ilvl="0" w:tplc="F774DCBE">
      <w:start w:val="1"/>
      <w:numFmt w:val="decimal"/>
      <w:lvlText w:val="(%1)"/>
      <w:lvlJc w:val="left"/>
      <w:pPr>
        <w:ind w:left="460" w:hanging="360"/>
      </w:pPr>
      <w:rPr>
        <w:rFonts w:ascii="Times New Roman" w:eastAsia="Times New Roman" w:hAnsi="Times New Roman" w:cs="Times New Roman" w:hint="default"/>
        <w:w w:val="99"/>
        <w:sz w:val="24"/>
        <w:szCs w:val="24"/>
      </w:rPr>
    </w:lvl>
    <w:lvl w:ilvl="1" w:tplc="146CE23A">
      <w:start w:val="1"/>
      <w:numFmt w:val="lowerLetter"/>
      <w:lvlText w:val="(%2)"/>
      <w:lvlJc w:val="left"/>
      <w:pPr>
        <w:ind w:left="820" w:hanging="360"/>
      </w:pPr>
      <w:rPr>
        <w:rFonts w:ascii="Times New Roman" w:eastAsia="Times New Roman" w:hAnsi="Times New Roman" w:cs="Times New Roman" w:hint="default"/>
        <w:spacing w:val="-25"/>
        <w:w w:val="99"/>
        <w:sz w:val="24"/>
        <w:szCs w:val="24"/>
      </w:rPr>
    </w:lvl>
    <w:lvl w:ilvl="2" w:tplc="5030CECA">
      <w:numFmt w:val="bullet"/>
      <w:lvlText w:val="•"/>
      <w:lvlJc w:val="left"/>
      <w:pPr>
        <w:ind w:left="1780" w:hanging="360"/>
      </w:pPr>
      <w:rPr>
        <w:rFonts w:hint="default"/>
      </w:rPr>
    </w:lvl>
    <w:lvl w:ilvl="3" w:tplc="C914ADF4">
      <w:numFmt w:val="bullet"/>
      <w:lvlText w:val="•"/>
      <w:lvlJc w:val="left"/>
      <w:pPr>
        <w:ind w:left="2740" w:hanging="360"/>
      </w:pPr>
      <w:rPr>
        <w:rFonts w:hint="default"/>
      </w:rPr>
    </w:lvl>
    <w:lvl w:ilvl="4" w:tplc="1A966F34">
      <w:numFmt w:val="bullet"/>
      <w:lvlText w:val="•"/>
      <w:lvlJc w:val="left"/>
      <w:pPr>
        <w:ind w:left="3700" w:hanging="360"/>
      </w:pPr>
      <w:rPr>
        <w:rFonts w:hint="default"/>
      </w:rPr>
    </w:lvl>
    <w:lvl w:ilvl="5" w:tplc="B120BAB6">
      <w:numFmt w:val="bullet"/>
      <w:lvlText w:val="•"/>
      <w:lvlJc w:val="left"/>
      <w:pPr>
        <w:ind w:left="4660" w:hanging="360"/>
      </w:pPr>
      <w:rPr>
        <w:rFonts w:hint="default"/>
      </w:rPr>
    </w:lvl>
    <w:lvl w:ilvl="6" w:tplc="6BB2EC2A">
      <w:numFmt w:val="bullet"/>
      <w:lvlText w:val="•"/>
      <w:lvlJc w:val="left"/>
      <w:pPr>
        <w:ind w:left="5620" w:hanging="360"/>
      </w:pPr>
      <w:rPr>
        <w:rFonts w:hint="default"/>
      </w:rPr>
    </w:lvl>
    <w:lvl w:ilvl="7" w:tplc="B06E18CA">
      <w:numFmt w:val="bullet"/>
      <w:lvlText w:val="•"/>
      <w:lvlJc w:val="left"/>
      <w:pPr>
        <w:ind w:left="6580" w:hanging="360"/>
      </w:pPr>
      <w:rPr>
        <w:rFonts w:hint="default"/>
      </w:rPr>
    </w:lvl>
    <w:lvl w:ilvl="8" w:tplc="7730F9E8">
      <w:numFmt w:val="bullet"/>
      <w:lvlText w:val="•"/>
      <w:lvlJc w:val="left"/>
      <w:pPr>
        <w:ind w:left="7540" w:hanging="360"/>
      </w:pPr>
      <w:rPr>
        <w:rFonts w:hint="default"/>
      </w:rPr>
    </w:lvl>
  </w:abstractNum>
  <w:abstractNum w:abstractNumId="30" w15:restartNumberingAfterBreak="0">
    <w:nsid w:val="24870151"/>
    <w:multiLevelType w:val="hybridMultilevel"/>
    <w:tmpl w:val="6BF61914"/>
    <w:lvl w:ilvl="0" w:tplc="5346FE14">
      <w:start w:val="1"/>
      <w:numFmt w:val="decimal"/>
      <w:lvlText w:val="%1)"/>
      <w:lvlJc w:val="left"/>
      <w:pPr>
        <w:ind w:left="220" w:hanging="257"/>
      </w:pPr>
      <w:rPr>
        <w:rFonts w:ascii="Times New Roman" w:eastAsia="Times New Roman" w:hAnsi="Times New Roman" w:cs="Times New Roman" w:hint="default"/>
        <w:w w:val="100"/>
        <w:sz w:val="23"/>
        <w:szCs w:val="23"/>
      </w:rPr>
    </w:lvl>
    <w:lvl w:ilvl="1" w:tplc="CC2EAB20">
      <w:numFmt w:val="bullet"/>
      <w:lvlText w:val="•"/>
      <w:lvlJc w:val="left"/>
      <w:pPr>
        <w:ind w:left="1202" w:hanging="257"/>
      </w:pPr>
      <w:rPr>
        <w:rFonts w:hint="default"/>
      </w:rPr>
    </w:lvl>
    <w:lvl w:ilvl="2" w:tplc="67CA2B38">
      <w:numFmt w:val="bullet"/>
      <w:lvlText w:val="•"/>
      <w:lvlJc w:val="left"/>
      <w:pPr>
        <w:ind w:left="2184" w:hanging="257"/>
      </w:pPr>
      <w:rPr>
        <w:rFonts w:hint="default"/>
      </w:rPr>
    </w:lvl>
    <w:lvl w:ilvl="3" w:tplc="62BC2C84">
      <w:numFmt w:val="bullet"/>
      <w:lvlText w:val="•"/>
      <w:lvlJc w:val="left"/>
      <w:pPr>
        <w:ind w:left="3166" w:hanging="257"/>
      </w:pPr>
      <w:rPr>
        <w:rFonts w:hint="default"/>
      </w:rPr>
    </w:lvl>
    <w:lvl w:ilvl="4" w:tplc="21F62840">
      <w:numFmt w:val="bullet"/>
      <w:lvlText w:val="•"/>
      <w:lvlJc w:val="left"/>
      <w:pPr>
        <w:ind w:left="4148" w:hanging="257"/>
      </w:pPr>
      <w:rPr>
        <w:rFonts w:hint="default"/>
      </w:rPr>
    </w:lvl>
    <w:lvl w:ilvl="5" w:tplc="6DCEF1AC">
      <w:numFmt w:val="bullet"/>
      <w:lvlText w:val="•"/>
      <w:lvlJc w:val="left"/>
      <w:pPr>
        <w:ind w:left="5130" w:hanging="257"/>
      </w:pPr>
      <w:rPr>
        <w:rFonts w:hint="default"/>
      </w:rPr>
    </w:lvl>
    <w:lvl w:ilvl="6" w:tplc="DDDE50B6">
      <w:numFmt w:val="bullet"/>
      <w:lvlText w:val="•"/>
      <w:lvlJc w:val="left"/>
      <w:pPr>
        <w:ind w:left="6112" w:hanging="257"/>
      </w:pPr>
      <w:rPr>
        <w:rFonts w:hint="default"/>
      </w:rPr>
    </w:lvl>
    <w:lvl w:ilvl="7" w:tplc="B4DE56D2">
      <w:numFmt w:val="bullet"/>
      <w:lvlText w:val="•"/>
      <w:lvlJc w:val="left"/>
      <w:pPr>
        <w:ind w:left="7094" w:hanging="257"/>
      </w:pPr>
      <w:rPr>
        <w:rFonts w:hint="default"/>
      </w:rPr>
    </w:lvl>
    <w:lvl w:ilvl="8" w:tplc="3D904704">
      <w:numFmt w:val="bullet"/>
      <w:lvlText w:val="•"/>
      <w:lvlJc w:val="left"/>
      <w:pPr>
        <w:ind w:left="8076" w:hanging="257"/>
      </w:pPr>
      <w:rPr>
        <w:rFonts w:hint="default"/>
      </w:rPr>
    </w:lvl>
  </w:abstractNum>
  <w:abstractNum w:abstractNumId="31" w15:restartNumberingAfterBreak="0">
    <w:nsid w:val="26513172"/>
    <w:multiLevelType w:val="hybridMultilevel"/>
    <w:tmpl w:val="5614992A"/>
    <w:lvl w:ilvl="0" w:tplc="5F40A554">
      <w:start w:val="2"/>
      <w:numFmt w:val="upperLetter"/>
      <w:lvlText w:val="(%1)"/>
      <w:lvlJc w:val="left"/>
      <w:pPr>
        <w:ind w:left="1180" w:hanging="360"/>
      </w:pPr>
      <w:rPr>
        <w:rFonts w:ascii="Times New Roman" w:eastAsia="Times New Roman" w:hAnsi="Times New Roman" w:cs="Times New Roman" w:hint="default"/>
        <w:spacing w:val="-3"/>
        <w:w w:val="99"/>
        <w:sz w:val="24"/>
        <w:szCs w:val="24"/>
      </w:rPr>
    </w:lvl>
    <w:lvl w:ilvl="1" w:tplc="209202C4">
      <w:numFmt w:val="bullet"/>
      <w:lvlText w:val="•"/>
      <w:lvlJc w:val="left"/>
      <w:pPr>
        <w:ind w:left="2018" w:hanging="360"/>
      </w:pPr>
      <w:rPr>
        <w:rFonts w:hint="default"/>
      </w:rPr>
    </w:lvl>
    <w:lvl w:ilvl="2" w:tplc="689ECADA">
      <w:numFmt w:val="bullet"/>
      <w:lvlText w:val="•"/>
      <w:lvlJc w:val="left"/>
      <w:pPr>
        <w:ind w:left="2856" w:hanging="360"/>
      </w:pPr>
      <w:rPr>
        <w:rFonts w:hint="default"/>
      </w:rPr>
    </w:lvl>
    <w:lvl w:ilvl="3" w:tplc="A79EC6A2">
      <w:numFmt w:val="bullet"/>
      <w:lvlText w:val="•"/>
      <w:lvlJc w:val="left"/>
      <w:pPr>
        <w:ind w:left="3694" w:hanging="360"/>
      </w:pPr>
      <w:rPr>
        <w:rFonts w:hint="default"/>
      </w:rPr>
    </w:lvl>
    <w:lvl w:ilvl="4" w:tplc="E070EA4C">
      <w:numFmt w:val="bullet"/>
      <w:lvlText w:val="•"/>
      <w:lvlJc w:val="left"/>
      <w:pPr>
        <w:ind w:left="4532" w:hanging="360"/>
      </w:pPr>
      <w:rPr>
        <w:rFonts w:hint="default"/>
      </w:rPr>
    </w:lvl>
    <w:lvl w:ilvl="5" w:tplc="F84C15F4">
      <w:numFmt w:val="bullet"/>
      <w:lvlText w:val="•"/>
      <w:lvlJc w:val="left"/>
      <w:pPr>
        <w:ind w:left="5370" w:hanging="360"/>
      </w:pPr>
      <w:rPr>
        <w:rFonts w:hint="default"/>
      </w:rPr>
    </w:lvl>
    <w:lvl w:ilvl="6" w:tplc="94D2B3D6">
      <w:numFmt w:val="bullet"/>
      <w:lvlText w:val="•"/>
      <w:lvlJc w:val="left"/>
      <w:pPr>
        <w:ind w:left="6208" w:hanging="360"/>
      </w:pPr>
      <w:rPr>
        <w:rFonts w:hint="default"/>
      </w:rPr>
    </w:lvl>
    <w:lvl w:ilvl="7" w:tplc="A6E08FD0">
      <w:numFmt w:val="bullet"/>
      <w:lvlText w:val="•"/>
      <w:lvlJc w:val="left"/>
      <w:pPr>
        <w:ind w:left="7046" w:hanging="360"/>
      </w:pPr>
      <w:rPr>
        <w:rFonts w:hint="default"/>
      </w:rPr>
    </w:lvl>
    <w:lvl w:ilvl="8" w:tplc="A8B6BCB6">
      <w:numFmt w:val="bullet"/>
      <w:lvlText w:val="•"/>
      <w:lvlJc w:val="left"/>
      <w:pPr>
        <w:ind w:left="7884" w:hanging="360"/>
      </w:pPr>
      <w:rPr>
        <w:rFonts w:hint="default"/>
      </w:rPr>
    </w:lvl>
  </w:abstractNum>
  <w:abstractNum w:abstractNumId="32" w15:restartNumberingAfterBreak="0">
    <w:nsid w:val="280C0100"/>
    <w:multiLevelType w:val="hybridMultilevel"/>
    <w:tmpl w:val="29C0136A"/>
    <w:lvl w:ilvl="0" w:tplc="2482E6C6">
      <w:start w:val="2"/>
      <w:numFmt w:val="upperLetter"/>
      <w:lvlText w:val="(%1)"/>
      <w:lvlJc w:val="left"/>
      <w:pPr>
        <w:ind w:left="820" w:hanging="360"/>
      </w:pPr>
      <w:rPr>
        <w:rFonts w:ascii="Times New Roman" w:eastAsia="Times New Roman" w:hAnsi="Times New Roman" w:cs="Times New Roman" w:hint="default"/>
        <w:spacing w:val="-3"/>
        <w:w w:val="99"/>
        <w:sz w:val="24"/>
        <w:szCs w:val="24"/>
      </w:rPr>
    </w:lvl>
    <w:lvl w:ilvl="1" w:tplc="C9F0B228">
      <w:numFmt w:val="bullet"/>
      <w:lvlText w:val="•"/>
      <w:lvlJc w:val="left"/>
      <w:pPr>
        <w:ind w:left="1656" w:hanging="360"/>
      </w:pPr>
      <w:rPr>
        <w:rFonts w:hint="default"/>
      </w:rPr>
    </w:lvl>
    <w:lvl w:ilvl="2" w:tplc="4B903362">
      <w:numFmt w:val="bullet"/>
      <w:lvlText w:val="•"/>
      <w:lvlJc w:val="left"/>
      <w:pPr>
        <w:ind w:left="2492" w:hanging="360"/>
      </w:pPr>
      <w:rPr>
        <w:rFonts w:hint="default"/>
      </w:rPr>
    </w:lvl>
    <w:lvl w:ilvl="3" w:tplc="925EB3BC">
      <w:numFmt w:val="bullet"/>
      <w:lvlText w:val="•"/>
      <w:lvlJc w:val="left"/>
      <w:pPr>
        <w:ind w:left="3328" w:hanging="360"/>
      </w:pPr>
      <w:rPr>
        <w:rFonts w:hint="default"/>
      </w:rPr>
    </w:lvl>
    <w:lvl w:ilvl="4" w:tplc="E5023F9E">
      <w:numFmt w:val="bullet"/>
      <w:lvlText w:val="•"/>
      <w:lvlJc w:val="left"/>
      <w:pPr>
        <w:ind w:left="4164" w:hanging="360"/>
      </w:pPr>
      <w:rPr>
        <w:rFonts w:hint="default"/>
      </w:rPr>
    </w:lvl>
    <w:lvl w:ilvl="5" w:tplc="F800AF2C">
      <w:numFmt w:val="bullet"/>
      <w:lvlText w:val="•"/>
      <w:lvlJc w:val="left"/>
      <w:pPr>
        <w:ind w:left="5000" w:hanging="360"/>
      </w:pPr>
      <w:rPr>
        <w:rFonts w:hint="default"/>
      </w:rPr>
    </w:lvl>
    <w:lvl w:ilvl="6" w:tplc="AF8C359E">
      <w:numFmt w:val="bullet"/>
      <w:lvlText w:val="•"/>
      <w:lvlJc w:val="left"/>
      <w:pPr>
        <w:ind w:left="5836" w:hanging="360"/>
      </w:pPr>
      <w:rPr>
        <w:rFonts w:hint="default"/>
      </w:rPr>
    </w:lvl>
    <w:lvl w:ilvl="7" w:tplc="68668E8A">
      <w:numFmt w:val="bullet"/>
      <w:lvlText w:val="•"/>
      <w:lvlJc w:val="left"/>
      <w:pPr>
        <w:ind w:left="6672" w:hanging="360"/>
      </w:pPr>
      <w:rPr>
        <w:rFonts w:hint="default"/>
      </w:rPr>
    </w:lvl>
    <w:lvl w:ilvl="8" w:tplc="D10C6B68">
      <w:numFmt w:val="bullet"/>
      <w:lvlText w:val="•"/>
      <w:lvlJc w:val="left"/>
      <w:pPr>
        <w:ind w:left="7508" w:hanging="360"/>
      </w:pPr>
      <w:rPr>
        <w:rFonts w:hint="default"/>
      </w:rPr>
    </w:lvl>
  </w:abstractNum>
  <w:abstractNum w:abstractNumId="33" w15:restartNumberingAfterBreak="0">
    <w:nsid w:val="28713F90"/>
    <w:multiLevelType w:val="hybridMultilevel"/>
    <w:tmpl w:val="8894340E"/>
    <w:lvl w:ilvl="0" w:tplc="5F244E2A">
      <w:start w:val="1"/>
      <w:numFmt w:val="upperLetter"/>
      <w:lvlText w:val="(%1)"/>
      <w:lvlJc w:val="left"/>
      <w:pPr>
        <w:ind w:left="120" w:hanging="392"/>
      </w:pPr>
      <w:rPr>
        <w:rFonts w:ascii="Times New Roman" w:eastAsia="Times New Roman" w:hAnsi="Times New Roman" w:cs="Times New Roman" w:hint="default"/>
        <w:spacing w:val="-3"/>
        <w:w w:val="99"/>
        <w:sz w:val="24"/>
        <w:szCs w:val="24"/>
      </w:rPr>
    </w:lvl>
    <w:lvl w:ilvl="1" w:tplc="2A80BDF2">
      <w:numFmt w:val="bullet"/>
      <w:lvlText w:val="•"/>
      <w:lvlJc w:val="left"/>
      <w:pPr>
        <w:ind w:left="571" w:hanging="392"/>
      </w:pPr>
      <w:rPr>
        <w:rFonts w:hint="default"/>
      </w:rPr>
    </w:lvl>
    <w:lvl w:ilvl="2" w:tplc="600AFC9C">
      <w:numFmt w:val="bullet"/>
      <w:lvlText w:val="•"/>
      <w:lvlJc w:val="left"/>
      <w:pPr>
        <w:ind w:left="1023" w:hanging="392"/>
      </w:pPr>
      <w:rPr>
        <w:rFonts w:hint="default"/>
      </w:rPr>
    </w:lvl>
    <w:lvl w:ilvl="3" w:tplc="73422F66">
      <w:numFmt w:val="bullet"/>
      <w:lvlText w:val="•"/>
      <w:lvlJc w:val="left"/>
      <w:pPr>
        <w:ind w:left="1475" w:hanging="392"/>
      </w:pPr>
      <w:rPr>
        <w:rFonts w:hint="default"/>
      </w:rPr>
    </w:lvl>
    <w:lvl w:ilvl="4" w:tplc="D700D45C">
      <w:numFmt w:val="bullet"/>
      <w:lvlText w:val="•"/>
      <w:lvlJc w:val="left"/>
      <w:pPr>
        <w:ind w:left="1927" w:hanging="392"/>
      </w:pPr>
      <w:rPr>
        <w:rFonts w:hint="default"/>
      </w:rPr>
    </w:lvl>
    <w:lvl w:ilvl="5" w:tplc="7B8890A0">
      <w:numFmt w:val="bullet"/>
      <w:lvlText w:val="•"/>
      <w:lvlJc w:val="left"/>
      <w:pPr>
        <w:ind w:left="2379" w:hanging="392"/>
      </w:pPr>
      <w:rPr>
        <w:rFonts w:hint="default"/>
      </w:rPr>
    </w:lvl>
    <w:lvl w:ilvl="6" w:tplc="C7AEE9AE">
      <w:numFmt w:val="bullet"/>
      <w:lvlText w:val="•"/>
      <w:lvlJc w:val="left"/>
      <w:pPr>
        <w:ind w:left="2831" w:hanging="392"/>
      </w:pPr>
      <w:rPr>
        <w:rFonts w:hint="default"/>
      </w:rPr>
    </w:lvl>
    <w:lvl w:ilvl="7" w:tplc="6090CE3A">
      <w:numFmt w:val="bullet"/>
      <w:lvlText w:val="•"/>
      <w:lvlJc w:val="left"/>
      <w:pPr>
        <w:ind w:left="3282" w:hanging="392"/>
      </w:pPr>
      <w:rPr>
        <w:rFonts w:hint="default"/>
      </w:rPr>
    </w:lvl>
    <w:lvl w:ilvl="8" w:tplc="24E48D40">
      <w:numFmt w:val="bullet"/>
      <w:lvlText w:val="•"/>
      <w:lvlJc w:val="left"/>
      <w:pPr>
        <w:ind w:left="3734" w:hanging="392"/>
      </w:pPr>
      <w:rPr>
        <w:rFonts w:hint="default"/>
      </w:rPr>
    </w:lvl>
  </w:abstractNum>
  <w:abstractNum w:abstractNumId="34" w15:restartNumberingAfterBreak="0">
    <w:nsid w:val="29833083"/>
    <w:multiLevelType w:val="hybridMultilevel"/>
    <w:tmpl w:val="BB7406FE"/>
    <w:lvl w:ilvl="0" w:tplc="7E7E1A14">
      <w:numFmt w:val="bullet"/>
      <w:lvlText w:val="o"/>
      <w:lvlJc w:val="left"/>
      <w:pPr>
        <w:ind w:left="820" w:hanging="360"/>
      </w:pPr>
      <w:rPr>
        <w:rFonts w:ascii="Courier New" w:eastAsia="Courier New" w:hAnsi="Courier New" w:cs="Courier New" w:hint="default"/>
        <w:w w:val="100"/>
        <w:sz w:val="24"/>
        <w:szCs w:val="24"/>
      </w:rPr>
    </w:lvl>
    <w:lvl w:ilvl="1" w:tplc="FB5487F0">
      <w:numFmt w:val="bullet"/>
      <w:lvlText w:val="•"/>
      <w:lvlJc w:val="left"/>
      <w:pPr>
        <w:ind w:left="1718" w:hanging="360"/>
      </w:pPr>
      <w:rPr>
        <w:rFonts w:hint="default"/>
      </w:rPr>
    </w:lvl>
    <w:lvl w:ilvl="2" w:tplc="7FFC57F4">
      <w:numFmt w:val="bullet"/>
      <w:lvlText w:val="•"/>
      <w:lvlJc w:val="left"/>
      <w:pPr>
        <w:ind w:left="2616" w:hanging="360"/>
      </w:pPr>
      <w:rPr>
        <w:rFonts w:hint="default"/>
      </w:rPr>
    </w:lvl>
    <w:lvl w:ilvl="3" w:tplc="C6FA08A0">
      <w:numFmt w:val="bullet"/>
      <w:lvlText w:val="•"/>
      <w:lvlJc w:val="left"/>
      <w:pPr>
        <w:ind w:left="3514" w:hanging="360"/>
      </w:pPr>
      <w:rPr>
        <w:rFonts w:hint="default"/>
      </w:rPr>
    </w:lvl>
    <w:lvl w:ilvl="4" w:tplc="60EEE13E">
      <w:numFmt w:val="bullet"/>
      <w:lvlText w:val="•"/>
      <w:lvlJc w:val="left"/>
      <w:pPr>
        <w:ind w:left="4412" w:hanging="360"/>
      </w:pPr>
      <w:rPr>
        <w:rFonts w:hint="default"/>
      </w:rPr>
    </w:lvl>
    <w:lvl w:ilvl="5" w:tplc="C50AAE8A">
      <w:numFmt w:val="bullet"/>
      <w:lvlText w:val="•"/>
      <w:lvlJc w:val="left"/>
      <w:pPr>
        <w:ind w:left="5310" w:hanging="360"/>
      </w:pPr>
      <w:rPr>
        <w:rFonts w:hint="default"/>
      </w:rPr>
    </w:lvl>
    <w:lvl w:ilvl="6" w:tplc="81E24FAC">
      <w:numFmt w:val="bullet"/>
      <w:lvlText w:val="•"/>
      <w:lvlJc w:val="left"/>
      <w:pPr>
        <w:ind w:left="6208" w:hanging="360"/>
      </w:pPr>
      <w:rPr>
        <w:rFonts w:hint="default"/>
      </w:rPr>
    </w:lvl>
    <w:lvl w:ilvl="7" w:tplc="DC4CC894">
      <w:numFmt w:val="bullet"/>
      <w:lvlText w:val="•"/>
      <w:lvlJc w:val="left"/>
      <w:pPr>
        <w:ind w:left="7106" w:hanging="360"/>
      </w:pPr>
      <w:rPr>
        <w:rFonts w:hint="default"/>
      </w:rPr>
    </w:lvl>
    <w:lvl w:ilvl="8" w:tplc="4E06C534">
      <w:numFmt w:val="bullet"/>
      <w:lvlText w:val="•"/>
      <w:lvlJc w:val="left"/>
      <w:pPr>
        <w:ind w:left="8004" w:hanging="360"/>
      </w:pPr>
      <w:rPr>
        <w:rFonts w:hint="default"/>
      </w:rPr>
    </w:lvl>
  </w:abstractNum>
  <w:abstractNum w:abstractNumId="35" w15:restartNumberingAfterBreak="0">
    <w:nsid w:val="2AD2640D"/>
    <w:multiLevelType w:val="hybridMultilevel"/>
    <w:tmpl w:val="08E80ED0"/>
    <w:lvl w:ilvl="0" w:tplc="C29A3C3C">
      <w:start w:val="2"/>
      <w:numFmt w:val="decimal"/>
      <w:lvlText w:val="(%1)"/>
      <w:lvlJc w:val="left"/>
      <w:pPr>
        <w:ind w:left="100" w:hanging="339"/>
      </w:pPr>
      <w:rPr>
        <w:rFonts w:ascii="Times New Roman" w:eastAsia="Times New Roman" w:hAnsi="Times New Roman" w:cs="Times New Roman" w:hint="default"/>
        <w:w w:val="99"/>
        <w:sz w:val="24"/>
        <w:szCs w:val="24"/>
      </w:rPr>
    </w:lvl>
    <w:lvl w:ilvl="1" w:tplc="32B003CE">
      <w:numFmt w:val="bullet"/>
      <w:lvlText w:val="•"/>
      <w:lvlJc w:val="left"/>
      <w:pPr>
        <w:ind w:left="537" w:hanging="339"/>
      </w:pPr>
      <w:rPr>
        <w:rFonts w:hint="default"/>
      </w:rPr>
    </w:lvl>
    <w:lvl w:ilvl="2" w:tplc="5D40EA5C">
      <w:numFmt w:val="bullet"/>
      <w:lvlText w:val="•"/>
      <w:lvlJc w:val="left"/>
      <w:pPr>
        <w:ind w:left="975" w:hanging="339"/>
      </w:pPr>
      <w:rPr>
        <w:rFonts w:hint="default"/>
      </w:rPr>
    </w:lvl>
    <w:lvl w:ilvl="3" w:tplc="60B2EDA8">
      <w:numFmt w:val="bullet"/>
      <w:lvlText w:val="•"/>
      <w:lvlJc w:val="left"/>
      <w:pPr>
        <w:ind w:left="1412" w:hanging="339"/>
      </w:pPr>
      <w:rPr>
        <w:rFonts w:hint="default"/>
      </w:rPr>
    </w:lvl>
    <w:lvl w:ilvl="4" w:tplc="C4DA9C84">
      <w:numFmt w:val="bullet"/>
      <w:lvlText w:val="•"/>
      <w:lvlJc w:val="left"/>
      <w:pPr>
        <w:ind w:left="1850" w:hanging="339"/>
      </w:pPr>
      <w:rPr>
        <w:rFonts w:hint="default"/>
      </w:rPr>
    </w:lvl>
    <w:lvl w:ilvl="5" w:tplc="00EA513C">
      <w:numFmt w:val="bullet"/>
      <w:lvlText w:val="•"/>
      <w:lvlJc w:val="left"/>
      <w:pPr>
        <w:ind w:left="2287" w:hanging="339"/>
      </w:pPr>
      <w:rPr>
        <w:rFonts w:hint="default"/>
      </w:rPr>
    </w:lvl>
    <w:lvl w:ilvl="6" w:tplc="BF22EE44">
      <w:numFmt w:val="bullet"/>
      <w:lvlText w:val="•"/>
      <w:lvlJc w:val="left"/>
      <w:pPr>
        <w:ind w:left="2725" w:hanging="339"/>
      </w:pPr>
      <w:rPr>
        <w:rFonts w:hint="default"/>
      </w:rPr>
    </w:lvl>
    <w:lvl w:ilvl="7" w:tplc="2E583E1C">
      <w:numFmt w:val="bullet"/>
      <w:lvlText w:val="•"/>
      <w:lvlJc w:val="left"/>
      <w:pPr>
        <w:ind w:left="3162" w:hanging="339"/>
      </w:pPr>
      <w:rPr>
        <w:rFonts w:hint="default"/>
      </w:rPr>
    </w:lvl>
    <w:lvl w:ilvl="8" w:tplc="02304826">
      <w:numFmt w:val="bullet"/>
      <w:lvlText w:val="•"/>
      <w:lvlJc w:val="left"/>
      <w:pPr>
        <w:ind w:left="3600" w:hanging="339"/>
      </w:pPr>
      <w:rPr>
        <w:rFonts w:hint="default"/>
      </w:rPr>
    </w:lvl>
  </w:abstractNum>
  <w:abstractNum w:abstractNumId="36" w15:restartNumberingAfterBreak="0">
    <w:nsid w:val="2E511343"/>
    <w:multiLevelType w:val="hybridMultilevel"/>
    <w:tmpl w:val="5FBAD696"/>
    <w:lvl w:ilvl="0" w:tplc="C65A2250">
      <w:numFmt w:val="bullet"/>
      <w:lvlText w:val=""/>
      <w:lvlJc w:val="left"/>
      <w:pPr>
        <w:ind w:left="607" w:hanging="288"/>
      </w:pPr>
      <w:rPr>
        <w:rFonts w:ascii="Symbol" w:eastAsia="Symbol" w:hAnsi="Symbol" w:cs="Symbol" w:hint="default"/>
        <w:w w:val="100"/>
        <w:sz w:val="24"/>
        <w:szCs w:val="24"/>
      </w:rPr>
    </w:lvl>
    <w:lvl w:ilvl="1" w:tplc="B5F05952">
      <w:numFmt w:val="bullet"/>
      <w:lvlText w:val="•"/>
      <w:lvlJc w:val="left"/>
      <w:pPr>
        <w:ind w:left="1456" w:hanging="288"/>
      </w:pPr>
      <w:rPr>
        <w:rFonts w:hint="default"/>
      </w:rPr>
    </w:lvl>
    <w:lvl w:ilvl="2" w:tplc="2A16EF16">
      <w:numFmt w:val="bullet"/>
      <w:lvlText w:val="•"/>
      <w:lvlJc w:val="left"/>
      <w:pPr>
        <w:ind w:left="2312" w:hanging="288"/>
      </w:pPr>
      <w:rPr>
        <w:rFonts w:hint="default"/>
      </w:rPr>
    </w:lvl>
    <w:lvl w:ilvl="3" w:tplc="B8308AD4">
      <w:numFmt w:val="bullet"/>
      <w:lvlText w:val="•"/>
      <w:lvlJc w:val="left"/>
      <w:pPr>
        <w:ind w:left="3168" w:hanging="288"/>
      </w:pPr>
      <w:rPr>
        <w:rFonts w:hint="default"/>
      </w:rPr>
    </w:lvl>
    <w:lvl w:ilvl="4" w:tplc="582848DA">
      <w:numFmt w:val="bullet"/>
      <w:lvlText w:val="•"/>
      <w:lvlJc w:val="left"/>
      <w:pPr>
        <w:ind w:left="4025" w:hanging="288"/>
      </w:pPr>
      <w:rPr>
        <w:rFonts w:hint="default"/>
      </w:rPr>
    </w:lvl>
    <w:lvl w:ilvl="5" w:tplc="435237BE">
      <w:numFmt w:val="bullet"/>
      <w:lvlText w:val="•"/>
      <w:lvlJc w:val="left"/>
      <w:pPr>
        <w:ind w:left="4881" w:hanging="288"/>
      </w:pPr>
      <w:rPr>
        <w:rFonts w:hint="default"/>
      </w:rPr>
    </w:lvl>
    <w:lvl w:ilvl="6" w:tplc="C45A28B0">
      <w:numFmt w:val="bullet"/>
      <w:lvlText w:val="•"/>
      <w:lvlJc w:val="left"/>
      <w:pPr>
        <w:ind w:left="5737" w:hanging="288"/>
      </w:pPr>
      <w:rPr>
        <w:rFonts w:hint="default"/>
      </w:rPr>
    </w:lvl>
    <w:lvl w:ilvl="7" w:tplc="4B402376">
      <w:numFmt w:val="bullet"/>
      <w:lvlText w:val="•"/>
      <w:lvlJc w:val="left"/>
      <w:pPr>
        <w:ind w:left="6593" w:hanging="288"/>
      </w:pPr>
      <w:rPr>
        <w:rFonts w:hint="default"/>
      </w:rPr>
    </w:lvl>
    <w:lvl w:ilvl="8" w:tplc="F2E27DD0">
      <w:numFmt w:val="bullet"/>
      <w:lvlText w:val="•"/>
      <w:lvlJc w:val="left"/>
      <w:pPr>
        <w:ind w:left="7450" w:hanging="288"/>
      </w:pPr>
      <w:rPr>
        <w:rFonts w:hint="default"/>
      </w:rPr>
    </w:lvl>
  </w:abstractNum>
  <w:abstractNum w:abstractNumId="37" w15:restartNumberingAfterBreak="0">
    <w:nsid w:val="32151479"/>
    <w:multiLevelType w:val="hybridMultilevel"/>
    <w:tmpl w:val="24DA3ABE"/>
    <w:lvl w:ilvl="0" w:tplc="0AF6F518">
      <w:numFmt w:val="bullet"/>
      <w:lvlText w:val=""/>
      <w:lvlJc w:val="left"/>
      <w:pPr>
        <w:ind w:left="535" w:hanging="288"/>
      </w:pPr>
      <w:rPr>
        <w:rFonts w:ascii="Symbol" w:eastAsia="Symbol" w:hAnsi="Symbol" w:cs="Symbol" w:hint="default"/>
        <w:w w:val="100"/>
        <w:sz w:val="24"/>
        <w:szCs w:val="24"/>
      </w:rPr>
    </w:lvl>
    <w:lvl w:ilvl="1" w:tplc="504C0710">
      <w:numFmt w:val="bullet"/>
      <w:lvlText w:val="•"/>
      <w:lvlJc w:val="left"/>
      <w:pPr>
        <w:ind w:left="1402" w:hanging="288"/>
      </w:pPr>
      <w:rPr>
        <w:rFonts w:hint="default"/>
      </w:rPr>
    </w:lvl>
    <w:lvl w:ilvl="2" w:tplc="32125B0C">
      <w:numFmt w:val="bullet"/>
      <w:lvlText w:val="•"/>
      <w:lvlJc w:val="left"/>
      <w:pPr>
        <w:ind w:left="2264" w:hanging="288"/>
      </w:pPr>
      <w:rPr>
        <w:rFonts w:hint="default"/>
      </w:rPr>
    </w:lvl>
    <w:lvl w:ilvl="3" w:tplc="2F344754">
      <w:numFmt w:val="bullet"/>
      <w:lvlText w:val="•"/>
      <w:lvlJc w:val="left"/>
      <w:pPr>
        <w:ind w:left="3126" w:hanging="288"/>
      </w:pPr>
      <w:rPr>
        <w:rFonts w:hint="default"/>
      </w:rPr>
    </w:lvl>
    <w:lvl w:ilvl="4" w:tplc="BB94B5B8">
      <w:numFmt w:val="bullet"/>
      <w:lvlText w:val="•"/>
      <w:lvlJc w:val="left"/>
      <w:pPr>
        <w:ind w:left="3989" w:hanging="288"/>
      </w:pPr>
      <w:rPr>
        <w:rFonts w:hint="default"/>
      </w:rPr>
    </w:lvl>
    <w:lvl w:ilvl="5" w:tplc="EA6CC160">
      <w:numFmt w:val="bullet"/>
      <w:lvlText w:val="•"/>
      <w:lvlJc w:val="left"/>
      <w:pPr>
        <w:ind w:left="4851" w:hanging="288"/>
      </w:pPr>
      <w:rPr>
        <w:rFonts w:hint="default"/>
      </w:rPr>
    </w:lvl>
    <w:lvl w:ilvl="6" w:tplc="34425852">
      <w:numFmt w:val="bullet"/>
      <w:lvlText w:val="•"/>
      <w:lvlJc w:val="left"/>
      <w:pPr>
        <w:ind w:left="5713" w:hanging="288"/>
      </w:pPr>
      <w:rPr>
        <w:rFonts w:hint="default"/>
      </w:rPr>
    </w:lvl>
    <w:lvl w:ilvl="7" w:tplc="A57E6802">
      <w:numFmt w:val="bullet"/>
      <w:lvlText w:val="•"/>
      <w:lvlJc w:val="left"/>
      <w:pPr>
        <w:ind w:left="6575" w:hanging="288"/>
      </w:pPr>
      <w:rPr>
        <w:rFonts w:hint="default"/>
      </w:rPr>
    </w:lvl>
    <w:lvl w:ilvl="8" w:tplc="77F2DD82">
      <w:numFmt w:val="bullet"/>
      <w:lvlText w:val="•"/>
      <w:lvlJc w:val="left"/>
      <w:pPr>
        <w:ind w:left="7438" w:hanging="288"/>
      </w:pPr>
      <w:rPr>
        <w:rFonts w:hint="default"/>
      </w:rPr>
    </w:lvl>
  </w:abstractNum>
  <w:abstractNum w:abstractNumId="38" w15:restartNumberingAfterBreak="0">
    <w:nsid w:val="33994494"/>
    <w:multiLevelType w:val="multilevel"/>
    <w:tmpl w:val="FE92CF32"/>
    <w:lvl w:ilvl="0">
      <w:start w:val="4"/>
      <w:numFmt w:val="upperRoman"/>
      <w:lvlText w:val="%1"/>
      <w:lvlJc w:val="left"/>
      <w:pPr>
        <w:ind w:left="842" w:hanging="742"/>
      </w:pPr>
      <w:rPr>
        <w:rFonts w:hint="default"/>
      </w:rPr>
    </w:lvl>
    <w:lvl w:ilvl="1">
      <w:start w:val="1"/>
      <w:numFmt w:val="upperLetter"/>
      <w:lvlText w:val="%1.%2."/>
      <w:lvlJc w:val="left"/>
      <w:pPr>
        <w:ind w:left="100" w:hanging="742"/>
        <w:jc w:val="right"/>
      </w:pPr>
      <w:rPr>
        <w:rFonts w:ascii="Times New Roman" w:eastAsia="Times New Roman" w:hAnsi="Times New Roman" w:cs="Times New Roman" w:hint="default"/>
        <w:b/>
        <w:bCs/>
        <w:spacing w:val="-4"/>
        <w:w w:val="99"/>
        <w:sz w:val="24"/>
        <w:szCs w:val="24"/>
      </w:rPr>
    </w:lvl>
    <w:lvl w:ilvl="2">
      <w:numFmt w:val="bullet"/>
      <w:lvlText w:val=""/>
      <w:lvlJc w:val="left"/>
      <w:pPr>
        <w:ind w:left="580" w:hanging="360"/>
      </w:pPr>
      <w:rPr>
        <w:rFonts w:ascii="Symbol" w:eastAsia="Symbol" w:hAnsi="Symbol" w:cs="Symbol" w:hint="default"/>
        <w:w w:val="100"/>
        <w:sz w:val="24"/>
        <w:szCs w:val="24"/>
      </w:rPr>
    </w:lvl>
    <w:lvl w:ilvl="3">
      <w:numFmt w:val="bullet"/>
      <w:lvlText w:val="•"/>
      <w:lvlJc w:val="left"/>
      <w:pPr>
        <w:ind w:left="1920" w:hanging="360"/>
      </w:pPr>
      <w:rPr>
        <w:rFonts w:hint="default"/>
      </w:rPr>
    </w:lvl>
    <w:lvl w:ilvl="4">
      <w:numFmt w:val="bullet"/>
      <w:lvlText w:val="•"/>
      <w:lvlJc w:val="left"/>
      <w:pPr>
        <w:ind w:left="3000" w:hanging="360"/>
      </w:pPr>
      <w:rPr>
        <w:rFonts w:hint="default"/>
      </w:rPr>
    </w:lvl>
    <w:lvl w:ilvl="5">
      <w:numFmt w:val="bullet"/>
      <w:lvlText w:val="•"/>
      <w:lvlJc w:val="left"/>
      <w:pPr>
        <w:ind w:left="4080" w:hanging="360"/>
      </w:pPr>
      <w:rPr>
        <w:rFonts w:hint="default"/>
      </w:rPr>
    </w:lvl>
    <w:lvl w:ilvl="6">
      <w:numFmt w:val="bullet"/>
      <w:lvlText w:val="•"/>
      <w:lvlJc w:val="left"/>
      <w:pPr>
        <w:ind w:left="5160" w:hanging="360"/>
      </w:pPr>
      <w:rPr>
        <w:rFonts w:hint="default"/>
      </w:rPr>
    </w:lvl>
    <w:lvl w:ilvl="7">
      <w:numFmt w:val="bullet"/>
      <w:lvlText w:val="•"/>
      <w:lvlJc w:val="left"/>
      <w:pPr>
        <w:ind w:left="6240" w:hanging="360"/>
      </w:pPr>
      <w:rPr>
        <w:rFonts w:hint="default"/>
      </w:rPr>
    </w:lvl>
    <w:lvl w:ilvl="8">
      <w:numFmt w:val="bullet"/>
      <w:lvlText w:val="•"/>
      <w:lvlJc w:val="left"/>
      <w:pPr>
        <w:ind w:left="7320" w:hanging="360"/>
      </w:pPr>
      <w:rPr>
        <w:rFonts w:hint="default"/>
      </w:rPr>
    </w:lvl>
  </w:abstractNum>
  <w:abstractNum w:abstractNumId="39" w15:restartNumberingAfterBreak="0">
    <w:nsid w:val="35040B94"/>
    <w:multiLevelType w:val="hybridMultilevel"/>
    <w:tmpl w:val="B4F25E6E"/>
    <w:lvl w:ilvl="0" w:tplc="FE106DC2">
      <w:numFmt w:val="bullet"/>
      <w:lvlText w:val=""/>
      <w:lvlJc w:val="left"/>
      <w:pPr>
        <w:ind w:left="580" w:hanging="360"/>
      </w:pPr>
      <w:rPr>
        <w:rFonts w:ascii="Symbol" w:eastAsia="Symbol" w:hAnsi="Symbol" w:cs="Symbol" w:hint="default"/>
        <w:w w:val="100"/>
        <w:sz w:val="24"/>
        <w:szCs w:val="24"/>
      </w:rPr>
    </w:lvl>
    <w:lvl w:ilvl="1" w:tplc="3606D8C2">
      <w:numFmt w:val="bullet"/>
      <w:lvlText w:val="•"/>
      <w:lvlJc w:val="left"/>
      <w:pPr>
        <w:ind w:left="1502" w:hanging="360"/>
      </w:pPr>
      <w:rPr>
        <w:rFonts w:hint="default"/>
      </w:rPr>
    </w:lvl>
    <w:lvl w:ilvl="2" w:tplc="1854B6F2">
      <w:numFmt w:val="bullet"/>
      <w:lvlText w:val="•"/>
      <w:lvlJc w:val="left"/>
      <w:pPr>
        <w:ind w:left="2424" w:hanging="360"/>
      </w:pPr>
      <w:rPr>
        <w:rFonts w:hint="default"/>
      </w:rPr>
    </w:lvl>
    <w:lvl w:ilvl="3" w:tplc="FFB2DF6A">
      <w:numFmt w:val="bullet"/>
      <w:lvlText w:val="•"/>
      <w:lvlJc w:val="left"/>
      <w:pPr>
        <w:ind w:left="3346" w:hanging="360"/>
      </w:pPr>
      <w:rPr>
        <w:rFonts w:hint="default"/>
      </w:rPr>
    </w:lvl>
    <w:lvl w:ilvl="4" w:tplc="7E5C1990">
      <w:numFmt w:val="bullet"/>
      <w:lvlText w:val="•"/>
      <w:lvlJc w:val="left"/>
      <w:pPr>
        <w:ind w:left="4268" w:hanging="360"/>
      </w:pPr>
      <w:rPr>
        <w:rFonts w:hint="default"/>
      </w:rPr>
    </w:lvl>
    <w:lvl w:ilvl="5" w:tplc="EA4AB584">
      <w:numFmt w:val="bullet"/>
      <w:lvlText w:val="•"/>
      <w:lvlJc w:val="left"/>
      <w:pPr>
        <w:ind w:left="5190" w:hanging="360"/>
      </w:pPr>
      <w:rPr>
        <w:rFonts w:hint="default"/>
      </w:rPr>
    </w:lvl>
    <w:lvl w:ilvl="6" w:tplc="FFF03ED6">
      <w:numFmt w:val="bullet"/>
      <w:lvlText w:val="•"/>
      <w:lvlJc w:val="left"/>
      <w:pPr>
        <w:ind w:left="6112" w:hanging="360"/>
      </w:pPr>
      <w:rPr>
        <w:rFonts w:hint="default"/>
      </w:rPr>
    </w:lvl>
    <w:lvl w:ilvl="7" w:tplc="F30A61CA">
      <w:numFmt w:val="bullet"/>
      <w:lvlText w:val="•"/>
      <w:lvlJc w:val="left"/>
      <w:pPr>
        <w:ind w:left="7034" w:hanging="360"/>
      </w:pPr>
      <w:rPr>
        <w:rFonts w:hint="default"/>
      </w:rPr>
    </w:lvl>
    <w:lvl w:ilvl="8" w:tplc="2208F228">
      <w:numFmt w:val="bullet"/>
      <w:lvlText w:val="•"/>
      <w:lvlJc w:val="left"/>
      <w:pPr>
        <w:ind w:left="7956" w:hanging="360"/>
      </w:pPr>
      <w:rPr>
        <w:rFonts w:hint="default"/>
      </w:rPr>
    </w:lvl>
  </w:abstractNum>
  <w:abstractNum w:abstractNumId="40" w15:restartNumberingAfterBreak="0">
    <w:nsid w:val="3510764F"/>
    <w:multiLevelType w:val="hybridMultilevel"/>
    <w:tmpl w:val="F72CE368"/>
    <w:lvl w:ilvl="0" w:tplc="CFC44BA4">
      <w:numFmt w:val="bullet"/>
      <w:lvlText w:val=""/>
      <w:lvlJc w:val="left"/>
      <w:pPr>
        <w:ind w:left="535" w:hanging="288"/>
      </w:pPr>
      <w:rPr>
        <w:rFonts w:ascii="Symbol" w:eastAsia="Symbol" w:hAnsi="Symbol" w:cs="Symbol" w:hint="default"/>
        <w:w w:val="100"/>
        <w:sz w:val="24"/>
        <w:szCs w:val="24"/>
      </w:rPr>
    </w:lvl>
    <w:lvl w:ilvl="1" w:tplc="44E8FEFC">
      <w:numFmt w:val="bullet"/>
      <w:lvlText w:val="•"/>
      <w:lvlJc w:val="left"/>
      <w:pPr>
        <w:ind w:left="1402" w:hanging="288"/>
      </w:pPr>
      <w:rPr>
        <w:rFonts w:hint="default"/>
      </w:rPr>
    </w:lvl>
    <w:lvl w:ilvl="2" w:tplc="9DC2839A">
      <w:numFmt w:val="bullet"/>
      <w:lvlText w:val="•"/>
      <w:lvlJc w:val="left"/>
      <w:pPr>
        <w:ind w:left="2264" w:hanging="288"/>
      </w:pPr>
      <w:rPr>
        <w:rFonts w:hint="default"/>
      </w:rPr>
    </w:lvl>
    <w:lvl w:ilvl="3" w:tplc="2F8674C0">
      <w:numFmt w:val="bullet"/>
      <w:lvlText w:val="•"/>
      <w:lvlJc w:val="left"/>
      <w:pPr>
        <w:ind w:left="3126" w:hanging="288"/>
      </w:pPr>
      <w:rPr>
        <w:rFonts w:hint="default"/>
      </w:rPr>
    </w:lvl>
    <w:lvl w:ilvl="4" w:tplc="741842B8">
      <w:numFmt w:val="bullet"/>
      <w:lvlText w:val="•"/>
      <w:lvlJc w:val="left"/>
      <w:pPr>
        <w:ind w:left="3989" w:hanging="288"/>
      </w:pPr>
      <w:rPr>
        <w:rFonts w:hint="default"/>
      </w:rPr>
    </w:lvl>
    <w:lvl w:ilvl="5" w:tplc="FF027320">
      <w:numFmt w:val="bullet"/>
      <w:lvlText w:val="•"/>
      <w:lvlJc w:val="left"/>
      <w:pPr>
        <w:ind w:left="4851" w:hanging="288"/>
      </w:pPr>
      <w:rPr>
        <w:rFonts w:hint="default"/>
      </w:rPr>
    </w:lvl>
    <w:lvl w:ilvl="6" w:tplc="F2AEC6BA">
      <w:numFmt w:val="bullet"/>
      <w:lvlText w:val="•"/>
      <w:lvlJc w:val="left"/>
      <w:pPr>
        <w:ind w:left="5713" w:hanging="288"/>
      </w:pPr>
      <w:rPr>
        <w:rFonts w:hint="default"/>
      </w:rPr>
    </w:lvl>
    <w:lvl w:ilvl="7" w:tplc="730CFD60">
      <w:numFmt w:val="bullet"/>
      <w:lvlText w:val="•"/>
      <w:lvlJc w:val="left"/>
      <w:pPr>
        <w:ind w:left="6575" w:hanging="288"/>
      </w:pPr>
      <w:rPr>
        <w:rFonts w:hint="default"/>
      </w:rPr>
    </w:lvl>
    <w:lvl w:ilvl="8" w:tplc="DAA22260">
      <w:numFmt w:val="bullet"/>
      <w:lvlText w:val="•"/>
      <w:lvlJc w:val="left"/>
      <w:pPr>
        <w:ind w:left="7438" w:hanging="288"/>
      </w:pPr>
      <w:rPr>
        <w:rFonts w:hint="default"/>
      </w:rPr>
    </w:lvl>
  </w:abstractNum>
  <w:abstractNum w:abstractNumId="41" w15:restartNumberingAfterBreak="0">
    <w:nsid w:val="35774601"/>
    <w:multiLevelType w:val="hybridMultilevel"/>
    <w:tmpl w:val="B9F207D8"/>
    <w:lvl w:ilvl="0" w:tplc="68ECB3BE">
      <w:numFmt w:val="bullet"/>
      <w:lvlText w:val=""/>
      <w:lvlJc w:val="left"/>
      <w:pPr>
        <w:ind w:left="540" w:hanging="360"/>
      </w:pPr>
      <w:rPr>
        <w:rFonts w:ascii="Symbol" w:eastAsia="Symbol" w:hAnsi="Symbol" w:cs="Symbol" w:hint="default"/>
        <w:w w:val="100"/>
        <w:sz w:val="24"/>
        <w:szCs w:val="24"/>
      </w:rPr>
    </w:lvl>
    <w:lvl w:ilvl="1" w:tplc="33F6B7D4">
      <w:numFmt w:val="bullet"/>
      <w:lvlText w:val="•"/>
      <w:lvlJc w:val="left"/>
      <w:pPr>
        <w:ind w:left="1446" w:hanging="360"/>
      </w:pPr>
      <w:rPr>
        <w:rFonts w:hint="default"/>
      </w:rPr>
    </w:lvl>
    <w:lvl w:ilvl="2" w:tplc="E6F2575C">
      <w:numFmt w:val="bullet"/>
      <w:lvlText w:val="•"/>
      <w:lvlJc w:val="left"/>
      <w:pPr>
        <w:ind w:left="2352" w:hanging="360"/>
      </w:pPr>
      <w:rPr>
        <w:rFonts w:hint="default"/>
      </w:rPr>
    </w:lvl>
    <w:lvl w:ilvl="3" w:tplc="DDEC2100">
      <w:numFmt w:val="bullet"/>
      <w:lvlText w:val="•"/>
      <w:lvlJc w:val="left"/>
      <w:pPr>
        <w:ind w:left="3258" w:hanging="360"/>
      </w:pPr>
      <w:rPr>
        <w:rFonts w:hint="default"/>
      </w:rPr>
    </w:lvl>
    <w:lvl w:ilvl="4" w:tplc="532891F6">
      <w:numFmt w:val="bullet"/>
      <w:lvlText w:val="•"/>
      <w:lvlJc w:val="left"/>
      <w:pPr>
        <w:ind w:left="4164" w:hanging="360"/>
      </w:pPr>
      <w:rPr>
        <w:rFonts w:hint="default"/>
      </w:rPr>
    </w:lvl>
    <w:lvl w:ilvl="5" w:tplc="F0F0D630">
      <w:numFmt w:val="bullet"/>
      <w:lvlText w:val="•"/>
      <w:lvlJc w:val="left"/>
      <w:pPr>
        <w:ind w:left="5070" w:hanging="360"/>
      </w:pPr>
      <w:rPr>
        <w:rFonts w:hint="default"/>
      </w:rPr>
    </w:lvl>
    <w:lvl w:ilvl="6" w:tplc="9DD6C43A">
      <w:numFmt w:val="bullet"/>
      <w:lvlText w:val="•"/>
      <w:lvlJc w:val="left"/>
      <w:pPr>
        <w:ind w:left="5976" w:hanging="360"/>
      </w:pPr>
      <w:rPr>
        <w:rFonts w:hint="default"/>
      </w:rPr>
    </w:lvl>
    <w:lvl w:ilvl="7" w:tplc="991A27DA">
      <w:numFmt w:val="bullet"/>
      <w:lvlText w:val="•"/>
      <w:lvlJc w:val="left"/>
      <w:pPr>
        <w:ind w:left="6882" w:hanging="360"/>
      </w:pPr>
      <w:rPr>
        <w:rFonts w:hint="default"/>
      </w:rPr>
    </w:lvl>
    <w:lvl w:ilvl="8" w:tplc="1E5E47DE">
      <w:numFmt w:val="bullet"/>
      <w:lvlText w:val="•"/>
      <w:lvlJc w:val="left"/>
      <w:pPr>
        <w:ind w:left="7788" w:hanging="360"/>
      </w:pPr>
      <w:rPr>
        <w:rFonts w:hint="default"/>
      </w:rPr>
    </w:lvl>
  </w:abstractNum>
  <w:abstractNum w:abstractNumId="42" w15:restartNumberingAfterBreak="0">
    <w:nsid w:val="37FD24E9"/>
    <w:multiLevelType w:val="hybridMultilevel"/>
    <w:tmpl w:val="7608B43E"/>
    <w:lvl w:ilvl="0" w:tplc="5ACCE0D8">
      <w:start w:val="1"/>
      <w:numFmt w:val="lowerLetter"/>
      <w:lvlText w:val="(%1)"/>
      <w:lvlJc w:val="left"/>
      <w:pPr>
        <w:ind w:left="220" w:hanging="339"/>
      </w:pPr>
      <w:rPr>
        <w:rFonts w:ascii="Times New Roman" w:eastAsia="Times New Roman" w:hAnsi="Times New Roman" w:cs="Times New Roman" w:hint="default"/>
        <w:b/>
        <w:bCs/>
        <w:i/>
        <w:w w:val="99"/>
        <w:sz w:val="24"/>
        <w:szCs w:val="24"/>
      </w:rPr>
    </w:lvl>
    <w:lvl w:ilvl="1" w:tplc="7CA67AB8">
      <w:start w:val="1"/>
      <w:numFmt w:val="decimal"/>
      <w:lvlText w:val="(%2)"/>
      <w:lvlJc w:val="left"/>
      <w:pPr>
        <w:ind w:left="220" w:hanging="339"/>
      </w:pPr>
      <w:rPr>
        <w:rFonts w:ascii="Times New Roman" w:eastAsia="Times New Roman" w:hAnsi="Times New Roman" w:cs="Times New Roman" w:hint="default"/>
        <w:w w:val="99"/>
        <w:sz w:val="24"/>
        <w:szCs w:val="24"/>
      </w:rPr>
    </w:lvl>
    <w:lvl w:ilvl="2" w:tplc="5D54DFE8">
      <w:start w:val="1"/>
      <w:numFmt w:val="lowerRoman"/>
      <w:lvlText w:val="(%3)"/>
      <w:lvlJc w:val="left"/>
      <w:pPr>
        <w:ind w:left="120" w:hanging="286"/>
      </w:pPr>
      <w:rPr>
        <w:rFonts w:ascii="Times New Roman" w:eastAsia="Times New Roman" w:hAnsi="Times New Roman" w:cs="Times New Roman" w:hint="default"/>
        <w:w w:val="99"/>
        <w:sz w:val="24"/>
        <w:szCs w:val="24"/>
      </w:rPr>
    </w:lvl>
    <w:lvl w:ilvl="3" w:tplc="5FEA22DC">
      <w:start w:val="1"/>
      <w:numFmt w:val="upperLetter"/>
      <w:lvlText w:val="(%4)"/>
      <w:lvlJc w:val="left"/>
      <w:pPr>
        <w:ind w:left="120" w:hanging="392"/>
      </w:pPr>
      <w:rPr>
        <w:rFonts w:ascii="Times New Roman" w:eastAsia="Times New Roman" w:hAnsi="Times New Roman" w:cs="Times New Roman" w:hint="default"/>
        <w:spacing w:val="-2"/>
        <w:w w:val="99"/>
        <w:sz w:val="24"/>
        <w:szCs w:val="24"/>
      </w:rPr>
    </w:lvl>
    <w:lvl w:ilvl="4" w:tplc="9A5069CA">
      <w:numFmt w:val="bullet"/>
      <w:lvlText w:val="•"/>
      <w:lvlJc w:val="left"/>
      <w:pPr>
        <w:ind w:left="1670" w:hanging="392"/>
      </w:pPr>
      <w:rPr>
        <w:rFonts w:hint="default"/>
      </w:rPr>
    </w:lvl>
    <w:lvl w:ilvl="5" w:tplc="F7DC4942">
      <w:numFmt w:val="bullet"/>
      <w:lvlText w:val="•"/>
      <w:lvlJc w:val="left"/>
      <w:pPr>
        <w:ind w:left="2154" w:hanging="392"/>
      </w:pPr>
      <w:rPr>
        <w:rFonts w:hint="default"/>
      </w:rPr>
    </w:lvl>
    <w:lvl w:ilvl="6" w:tplc="B56EB06E">
      <w:numFmt w:val="bullet"/>
      <w:lvlText w:val="•"/>
      <w:lvlJc w:val="left"/>
      <w:pPr>
        <w:ind w:left="2638" w:hanging="392"/>
      </w:pPr>
      <w:rPr>
        <w:rFonts w:hint="default"/>
      </w:rPr>
    </w:lvl>
    <w:lvl w:ilvl="7" w:tplc="FB06C1AE">
      <w:numFmt w:val="bullet"/>
      <w:lvlText w:val="•"/>
      <w:lvlJc w:val="left"/>
      <w:pPr>
        <w:ind w:left="3121" w:hanging="392"/>
      </w:pPr>
      <w:rPr>
        <w:rFonts w:hint="default"/>
      </w:rPr>
    </w:lvl>
    <w:lvl w:ilvl="8" w:tplc="A2F89382">
      <w:numFmt w:val="bullet"/>
      <w:lvlText w:val="•"/>
      <w:lvlJc w:val="left"/>
      <w:pPr>
        <w:ind w:left="3605" w:hanging="392"/>
      </w:pPr>
      <w:rPr>
        <w:rFonts w:hint="default"/>
      </w:rPr>
    </w:lvl>
  </w:abstractNum>
  <w:abstractNum w:abstractNumId="43" w15:restartNumberingAfterBreak="0">
    <w:nsid w:val="3810734E"/>
    <w:multiLevelType w:val="hybridMultilevel"/>
    <w:tmpl w:val="96EA012C"/>
    <w:lvl w:ilvl="0" w:tplc="326E0216">
      <w:numFmt w:val="bullet"/>
      <w:lvlText w:val=""/>
      <w:lvlJc w:val="left"/>
      <w:pPr>
        <w:ind w:left="535" w:hanging="288"/>
      </w:pPr>
      <w:rPr>
        <w:rFonts w:ascii="Symbol" w:eastAsia="Symbol" w:hAnsi="Symbol" w:cs="Symbol" w:hint="default"/>
        <w:w w:val="100"/>
        <w:sz w:val="24"/>
        <w:szCs w:val="24"/>
      </w:rPr>
    </w:lvl>
    <w:lvl w:ilvl="1" w:tplc="5E60F600">
      <w:numFmt w:val="bullet"/>
      <w:lvlText w:val="•"/>
      <w:lvlJc w:val="left"/>
      <w:pPr>
        <w:ind w:left="1402" w:hanging="288"/>
      </w:pPr>
      <w:rPr>
        <w:rFonts w:hint="default"/>
      </w:rPr>
    </w:lvl>
    <w:lvl w:ilvl="2" w:tplc="257C5076">
      <w:numFmt w:val="bullet"/>
      <w:lvlText w:val="•"/>
      <w:lvlJc w:val="left"/>
      <w:pPr>
        <w:ind w:left="2264" w:hanging="288"/>
      </w:pPr>
      <w:rPr>
        <w:rFonts w:hint="default"/>
      </w:rPr>
    </w:lvl>
    <w:lvl w:ilvl="3" w:tplc="36E43BB0">
      <w:numFmt w:val="bullet"/>
      <w:lvlText w:val="•"/>
      <w:lvlJc w:val="left"/>
      <w:pPr>
        <w:ind w:left="3126" w:hanging="288"/>
      </w:pPr>
      <w:rPr>
        <w:rFonts w:hint="default"/>
      </w:rPr>
    </w:lvl>
    <w:lvl w:ilvl="4" w:tplc="5EFE948C">
      <w:numFmt w:val="bullet"/>
      <w:lvlText w:val="•"/>
      <w:lvlJc w:val="left"/>
      <w:pPr>
        <w:ind w:left="3989" w:hanging="288"/>
      </w:pPr>
      <w:rPr>
        <w:rFonts w:hint="default"/>
      </w:rPr>
    </w:lvl>
    <w:lvl w:ilvl="5" w:tplc="52DC52BE">
      <w:numFmt w:val="bullet"/>
      <w:lvlText w:val="•"/>
      <w:lvlJc w:val="left"/>
      <w:pPr>
        <w:ind w:left="4851" w:hanging="288"/>
      </w:pPr>
      <w:rPr>
        <w:rFonts w:hint="default"/>
      </w:rPr>
    </w:lvl>
    <w:lvl w:ilvl="6" w:tplc="D5E44996">
      <w:numFmt w:val="bullet"/>
      <w:lvlText w:val="•"/>
      <w:lvlJc w:val="left"/>
      <w:pPr>
        <w:ind w:left="5713" w:hanging="288"/>
      </w:pPr>
      <w:rPr>
        <w:rFonts w:hint="default"/>
      </w:rPr>
    </w:lvl>
    <w:lvl w:ilvl="7" w:tplc="930462F6">
      <w:numFmt w:val="bullet"/>
      <w:lvlText w:val="•"/>
      <w:lvlJc w:val="left"/>
      <w:pPr>
        <w:ind w:left="6575" w:hanging="288"/>
      </w:pPr>
      <w:rPr>
        <w:rFonts w:hint="default"/>
      </w:rPr>
    </w:lvl>
    <w:lvl w:ilvl="8" w:tplc="F36AEE10">
      <w:numFmt w:val="bullet"/>
      <w:lvlText w:val="•"/>
      <w:lvlJc w:val="left"/>
      <w:pPr>
        <w:ind w:left="7438" w:hanging="288"/>
      </w:pPr>
      <w:rPr>
        <w:rFonts w:hint="default"/>
      </w:rPr>
    </w:lvl>
  </w:abstractNum>
  <w:abstractNum w:abstractNumId="44" w15:restartNumberingAfterBreak="0">
    <w:nsid w:val="38431644"/>
    <w:multiLevelType w:val="hybridMultilevel"/>
    <w:tmpl w:val="ABD0D16E"/>
    <w:lvl w:ilvl="0" w:tplc="102E191E">
      <w:numFmt w:val="bullet"/>
      <w:lvlText w:val=""/>
      <w:lvlJc w:val="left"/>
      <w:pPr>
        <w:ind w:left="535" w:hanging="288"/>
      </w:pPr>
      <w:rPr>
        <w:rFonts w:ascii="Symbol" w:eastAsia="Symbol" w:hAnsi="Symbol" w:cs="Symbol" w:hint="default"/>
        <w:w w:val="100"/>
        <w:sz w:val="24"/>
        <w:szCs w:val="24"/>
      </w:rPr>
    </w:lvl>
    <w:lvl w:ilvl="1" w:tplc="0DE4526A">
      <w:numFmt w:val="bullet"/>
      <w:lvlText w:val="•"/>
      <w:lvlJc w:val="left"/>
      <w:pPr>
        <w:ind w:left="1402" w:hanging="288"/>
      </w:pPr>
      <w:rPr>
        <w:rFonts w:hint="default"/>
      </w:rPr>
    </w:lvl>
    <w:lvl w:ilvl="2" w:tplc="3E1E866C">
      <w:numFmt w:val="bullet"/>
      <w:lvlText w:val="•"/>
      <w:lvlJc w:val="left"/>
      <w:pPr>
        <w:ind w:left="2264" w:hanging="288"/>
      </w:pPr>
      <w:rPr>
        <w:rFonts w:hint="default"/>
      </w:rPr>
    </w:lvl>
    <w:lvl w:ilvl="3" w:tplc="533ED128">
      <w:numFmt w:val="bullet"/>
      <w:lvlText w:val="•"/>
      <w:lvlJc w:val="left"/>
      <w:pPr>
        <w:ind w:left="3126" w:hanging="288"/>
      </w:pPr>
      <w:rPr>
        <w:rFonts w:hint="default"/>
      </w:rPr>
    </w:lvl>
    <w:lvl w:ilvl="4" w:tplc="845AE9FE">
      <w:numFmt w:val="bullet"/>
      <w:lvlText w:val="•"/>
      <w:lvlJc w:val="left"/>
      <w:pPr>
        <w:ind w:left="3989" w:hanging="288"/>
      </w:pPr>
      <w:rPr>
        <w:rFonts w:hint="default"/>
      </w:rPr>
    </w:lvl>
    <w:lvl w:ilvl="5" w:tplc="58A6344C">
      <w:numFmt w:val="bullet"/>
      <w:lvlText w:val="•"/>
      <w:lvlJc w:val="left"/>
      <w:pPr>
        <w:ind w:left="4851" w:hanging="288"/>
      </w:pPr>
      <w:rPr>
        <w:rFonts w:hint="default"/>
      </w:rPr>
    </w:lvl>
    <w:lvl w:ilvl="6" w:tplc="CB840C7A">
      <w:numFmt w:val="bullet"/>
      <w:lvlText w:val="•"/>
      <w:lvlJc w:val="left"/>
      <w:pPr>
        <w:ind w:left="5713" w:hanging="288"/>
      </w:pPr>
      <w:rPr>
        <w:rFonts w:hint="default"/>
      </w:rPr>
    </w:lvl>
    <w:lvl w:ilvl="7" w:tplc="01D80556">
      <w:numFmt w:val="bullet"/>
      <w:lvlText w:val="•"/>
      <w:lvlJc w:val="left"/>
      <w:pPr>
        <w:ind w:left="6575" w:hanging="288"/>
      </w:pPr>
      <w:rPr>
        <w:rFonts w:hint="default"/>
      </w:rPr>
    </w:lvl>
    <w:lvl w:ilvl="8" w:tplc="0AA014DA">
      <w:numFmt w:val="bullet"/>
      <w:lvlText w:val="•"/>
      <w:lvlJc w:val="left"/>
      <w:pPr>
        <w:ind w:left="7438" w:hanging="288"/>
      </w:pPr>
      <w:rPr>
        <w:rFonts w:hint="default"/>
      </w:rPr>
    </w:lvl>
  </w:abstractNum>
  <w:abstractNum w:abstractNumId="45" w15:restartNumberingAfterBreak="0">
    <w:nsid w:val="38695809"/>
    <w:multiLevelType w:val="hybridMultilevel"/>
    <w:tmpl w:val="35F8C632"/>
    <w:lvl w:ilvl="0" w:tplc="E87C970C">
      <w:numFmt w:val="bullet"/>
      <w:lvlText w:val=""/>
      <w:lvlJc w:val="left"/>
      <w:pPr>
        <w:ind w:left="535" w:hanging="288"/>
      </w:pPr>
      <w:rPr>
        <w:rFonts w:ascii="Symbol" w:eastAsia="Symbol" w:hAnsi="Symbol" w:cs="Symbol" w:hint="default"/>
        <w:w w:val="100"/>
        <w:sz w:val="24"/>
        <w:szCs w:val="24"/>
      </w:rPr>
    </w:lvl>
    <w:lvl w:ilvl="1" w:tplc="2C146098">
      <w:numFmt w:val="bullet"/>
      <w:lvlText w:val="•"/>
      <w:lvlJc w:val="left"/>
      <w:pPr>
        <w:ind w:left="1402" w:hanging="288"/>
      </w:pPr>
      <w:rPr>
        <w:rFonts w:hint="default"/>
      </w:rPr>
    </w:lvl>
    <w:lvl w:ilvl="2" w:tplc="3270703C">
      <w:numFmt w:val="bullet"/>
      <w:lvlText w:val="•"/>
      <w:lvlJc w:val="left"/>
      <w:pPr>
        <w:ind w:left="2264" w:hanging="288"/>
      </w:pPr>
      <w:rPr>
        <w:rFonts w:hint="default"/>
      </w:rPr>
    </w:lvl>
    <w:lvl w:ilvl="3" w:tplc="469AF4AA">
      <w:numFmt w:val="bullet"/>
      <w:lvlText w:val="•"/>
      <w:lvlJc w:val="left"/>
      <w:pPr>
        <w:ind w:left="3126" w:hanging="288"/>
      </w:pPr>
      <w:rPr>
        <w:rFonts w:hint="default"/>
      </w:rPr>
    </w:lvl>
    <w:lvl w:ilvl="4" w:tplc="DBFA831E">
      <w:numFmt w:val="bullet"/>
      <w:lvlText w:val="•"/>
      <w:lvlJc w:val="left"/>
      <w:pPr>
        <w:ind w:left="3989" w:hanging="288"/>
      </w:pPr>
      <w:rPr>
        <w:rFonts w:hint="default"/>
      </w:rPr>
    </w:lvl>
    <w:lvl w:ilvl="5" w:tplc="BEB2385E">
      <w:numFmt w:val="bullet"/>
      <w:lvlText w:val="•"/>
      <w:lvlJc w:val="left"/>
      <w:pPr>
        <w:ind w:left="4851" w:hanging="288"/>
      </w:pPr>
      <w:rPr>
        <w:rFonts w:hint="default"/>
      </w:rPr>
    </w:lvl>
    <w:lvl w:ilvl="6" w:tplc="EFCC2AD4">
      <w:numFmt w:val="bullet"/>
      <w:lvlText w:val="•"/>
      <w:lvlJc w:val="left"/>
      <w:pPr>
        <w:ind w:left="5713" w:hanging="288"/>
      </w:pPr>
      <w:rPr>
        <w:rFonts w:hint="default"/>
      </w:rPr>
    </w:lvl>
    <w:lvl w:ilvl="7" w:tplc="50DC903E">
      <w:numFmt w:val="bullet"/>
      <w:lvlText w:val="•"/>
      <w:lvlJc w:val="left"/>
      <w:pPr>
        <w:ind w:left="6575" w:hanging="288"/>
      </w:pPr>
      <w:rPr>
        <w:rFonts w:hint="default"/>
      </w:rPr>
    </w:lvl>
    <w:lvl w:ilvl="8" w:tplc="2A9E65D6">
      <w:numFmt w:val="bullet"/>
      <w:lvlText w:val="•"/>
      <w:lvlJc w:val="left"/>
      <w:pPr>
        <w:ind w:left="7438" w:hanging="288"/>
      </w:pPr>
      <w:rPr>
        <w:rFonts w:hint="default"/>
      </w:rPr>
    </w:lvl>
  </w:abstractNum>
  <w:abstractNum w:abstractNumId="46" w15:restartNumberingAfterBreak="0">
    <w:nsid w:val="39BA5CDB"/>
    <w:multiLevelType w:val="hybridMultilevel"/>
    <w:tmpl w:val="FDAA14F0"/>
    <w:lvl w:ilvl="0" w:tplc="8ACAFFD0">
      <w:numFmt w:val="bullet"/>
      <w:lvlText w:val=""/>
      <w:lvlJc w:val="left"/>
      <w:pPr>
        <w:ind w:left="535" w:hanging="288"/>
      </w:pPr>
      <w:rPr>
        <w:rFonts w:ascii="Symbol" w:eastAsia="Symbol" w:hAnsi="Symbol" w:cs="Symbol" w:hint="default"/>
        <w:w w:val="100"/>
        <w:sz w:val="24"/>
        <w:szCs w:val="24"/>
      </w:rPr>
    </w:lvl>
    <w:lvl w:ilvl="1" w:tplc="8B14F494">
      <w:numFmt w:val="bullet"/>
      <w:lvlText w:val="•"/>
      <w:lvlJc w:val="left"/>
      <w:pPr>
        <w:ind w:left="1402" w:hanging="288"/>
      </w:pPr>
      <w:rPr>
        <w:rFonts w:hint="default"/>
      </w:rPr>
    </w:lvl>
    <w:lvl w:ilvl="2" w:tplc="61904BA8">
      <w:numFmt w:val="bullet"/>
      <w:lvlText w:val="•"/>
      <w:lvlJc w:val="left"/>
      <w:pPr>
        <w:ind w:left="2264" w:hanging="288"/>
      </w:pPr>
      <w:rPr>
        <w:rFonts w:hint="default"/>
      </w:rPr>
    </w:lvl>
    <w:lvl w:ilvl="3" w:tplc="DF881A0C">
      <w:numFmt w:val="bullet"/>
      <w:lvlText w:val="•"/>
      <w:lvlJc w:val="left"/>
      <w:pPr>
        <w:ind w:left="3126" w:hanging="288"/>
      </w:pPr>
      <w:rPr>
        <w:rFonts w:hint="default"/>
      </w:rPr>
    </w:lvl>
    <w:lvl w:ilvl="4" w:tplc="AFA60240">
      <w:numFmt w:val="bullet"/>
      <w:lvlText w:val="•"/>
      <w:lvlJc w:val="left"/>
      <w:pPr>
        <w:ind w:left="3989" w:hanging="288"/>
      </w:pPr>
      <w:rPr>
        <w:rFonts w:hint="default"/>
      </w:rPr>
    </w:lvl>
    <w:lvl w:ilvl="5" w:tplc="BEDEDE5A">
      <w:numFmt w:val="bullet"/>
      <w:lvlText w:val="•"/>
      <w:lvlJc w:val="left"/>
      <w:pPr>
        <w:ind w:left="4851" w:hanging="288"/>
      </w:pPr>
      <w:rPr>
        <w:rFonts w:hint="default"/>
      </w:rPr>
    </w:lvl>
    <w:lvl w:ilvl="6" w:tplc="D2581B5A">
      <w:numFmt w:val="bullet"/>
      <w:lvlText w:val="•"/>
      <w:lvlJc w:val="left"/>
      <w:pPr>
        <w:ind w:left="5713" w:hanging="288"/>
      </w:pPr>
      <w:rPr>
        <w:rFonts w:hint="default"/>
      </w:rPr>
    </w:lvl>
    <w:lvl w:ilvl="7" w:tplc="BE64A272">
      <w:numFmt w:val="bullet"/>
      <w:lvlText w:val="•"/>
      <w:lvlJc w:val="left"/>
      <w:pPr>
        <w:ind w:left="6575" w:hanging="288"/>
      </w:pPr>
      <w:rPr>
        <w:rFonts w:hint="default"/>
      </w:rPr>
    </w:lvl>
    <w:lvl w:ilvl="8" w:tplc="9B220D80">
      <w:numFmt w:val="bullet"/>
      <w:lvlText w:val="•"/>
      <w:lvlJc w:val="left"/>
      <w:pPr>
        <w:ind w:left="7438" w:hanging="288"/>
      </w:pPr>
      <w:rPr>
        <w:rFonts w:hint="default"/>
      </w:rPr>
    </w:lvl>
  </w:abstractNum>
  <w:abstractNum w:abstractNumId="47" w15:restartNumberingAfterBreak="0">
    <w:nsid w:val="3A616B91"/>
    <w:multiLevelType w:val="hybridMultilevel"/>
    <w:tmpl w:val="EA0A4732"/>
    <w:lvl w:ilvl="0" w:tplc="C0CCE344">
      <w:start w:val="1"/>
      <w:numFmt w:val="decimal"/>
      <w:lvlText w:val="(%1)"/>
      <w:lvlJc w:val="left"/>
      <w:pPr>
        <w:ind w:left="446" w:hanging="339"/>
      </w:pPr>
      <w:rPr>
        <w:rFonts w:ascii="Times New Roman" w:eastAsia="Times New Roman" w:hAnsi="Times New Roman" w:cs="Times New Roman" w:hint="default"/>
        <w:w w:val="99"/>
        <w:sz w:val="24"/>
        <w:szCs w:val="24"/>
      </w:rPr>
    </w:lvl>
    <w:lvl w:ilvl="1" w:tplc="2410BDDE">
      <w:start w:val="1"/>
      <w:numFmt w:val="lowerRoman"/>
      <w:lvlText w:val="(%2)"/>
      <w:lvlJc w:val="left"/>
      <w:pPr>
        <w:ind w:left="108" w:hanging="286"/>
      </w:pPr>
      <w:rPr>
        <w:rFonts w:ascii="Times New Roman" w:eastAsia="Times New Roman" w:hAnsi="Times New Roman" w:cs="Times New Roman" w:hint="default"/>
        <w:w w:val="99"/>
        <w:sz w:val="24"/>
        <w:szCs w:val="24"/>
      </w:rPr>
    </w:lvl>
    <w:lvl w:ilvl="2" w:tplc="7DC20E70">
      <w:numFmt w:val="bullet"/>
      <w:lvlText w:val="•"/>
      <w:lvlJc w:val="left"/>
      <w:pPr>
        <w:ind w:left="1455" w:hanging="286"/>
      </w:pPr>
      <w:rPr>
        <w:rFonts w:hint="default"/>
      </w:rPr>
    </w:lvl>
    <w:lvl w:ilvl="3" w:tplc="24A8C9A4">
      <w:numFmt w:val="bullet"/>
      <w:lvlText w:val="•"/>
      <w:lvlJc w:val="left"/>
      <w:pPr>
        <w:ind w:left="2470" w:hanging="286"/>
      </w:pPr>
      <w:rPr>
        <w:rFonts w:hint="default"/>
      </w:rPr>
    </w:lvl>
    <w:lvl w:ilvl="4" w:tplc="1298B53C">
      <w:numFmt w:val="bullet"/>
      <w:lvlText w:val="•"/>
      <w:lvlJc w:val="left"/>
      <w:pPr>
        <w:ind w:left="3485" w:hanging="286"/>
      </w:pPr>
      <w:rPr>
        <w:rFonts w:hint="default"/>
      </w:rPr>
    </w:lvl>
    <w:lvl w:ilvl="5" w:tplc="383A8608">
      <w:numFmt w:val="bullet"/>
      <w:lvlText w:val="•"/>
      <w:lvlJc w:val="left"/>
      <w:pPr>
        <w:ind w:left="4501" w:hanging="286"/>
      </w:pPr>
      <w:rPr>
        <w:rFonts w:hint="default"/>
      </w:rPr>
    </w:lvl>
    <w:lvl w:ilvl="6" w:tplc="8B5022DA">
      <w:numFmt w:val="bullet"/>
      <w:lvlText w:val="•"/>
      <w:lvlJc w:val="left"/>
      <w:pPr>
        <w:ind w:left="5516" w:hanging="286"/>
      </w:pPr>
      <w:rPr>
        <w:rFonts w:hint="default"/>
      </w:rPr>
    </w:lvl>
    <w:lvl w:ilvl="7" w:tplc="8CA88DDA">
      <w:numFmt w:val="bullet"/>
      <w:lvlText w:val="•"/>
      <w:lvlJc w:val="left"/>
      <w:pPr>
        <w:ind w:left="6531" w:hanging="286"/>
      </w:pPr>
      <w:rPr>
        <w:rFonts w:hint="default"/>
      </w:rPr>
    </w:lvl>
    <w:lvl w:ilvl="8" w:tplc="6350578A">
      <w:numFmt w:val="bullet"/>
      <w:lvlText w:val="•"/>
      <w:lvlJc w:val="left"/>
      <w:pPr>
        <w:ind w:left="7546" w:hanging="286"/>
      </w:pPr>
      <w:rPr>
        <w:rFonts w:hint="default"/>
      </w:rPr>
    </w:lvl>
  </w:abstractNum>
  <w:abstractNum w:abstractNumId="48" w15:restartNumberingAfterBreak="0">
    <w:nsid w:val="3B5A2FCA"/>
    <w:multiLevelType w:val="hybridMultilevel"/>
    <w:tmpl w:val="3F0C1336"/>
    <w:lvl w:ilvl="0" w:tplc="79B827F8">
      <w:numFmt w:val="bullet"/>
      <w:lvlText w:val=""/>
      <w:lvlJc w:val="left"/>
      <w:pPr>
        <w:ind w:left="463" w:hanging="360"/>
      </w:pPr>
      <w:rPr>
        <w:rFonts w:ascii="Symbol" w:eastAsia="Symbol" w:hAnsi="Symbol" w:cs="Symbol" w:hint="default"/>
        <w:w w:val="100"/>
        <w:sz w:val="24"/>
        <w:szCs w:val="24"/>
      </w:rPr>
    </w:lvl>
    <w:lvl w:ilvl="1" w:tplc="BA26F2A8">
      <w:numFmt w:val="bullet"/>
      <w:lvlText w:val=""/>
      <w:lvlJc w:val="left"/>
      <w:pPr>
        <w:ind w:left="806" w:hanging="738"/>
      </w:pPr>
      <w:rPr>
        <w:rFonts w:ascii="Symbol" w:eastAsia="Symbol" w:hAnsi="Symbol" w:cs="Symbol" w:hint="default"/>
        <w:w w:val="100"/>
        <w:sz w:val="24"/>
        <w:szCs w:val="24"/>
      </w:rPr>
    </w:lvl>
    <w:lvl w:ilvl="2" w:tplc="D66A6000">
      <w:numFmt w:val="bullet"/>
      <w:lvlText w:val="•"/>
      <w:lvlJc w:val="left"/>
      <w:pPr>
        <w:ind w:left="1242" w:hanging="738"/>
      </w:pPr>
      <w:rPr>
        <w:rFonts w:hint="default"/>
      </w:rPr>
    </w:lvl>
    <w:lvl w:ilvl="3" w:tplc="72BAD9DE">
      <w:numFmt w:val="bullet"/>
      <w:lvlText w:val="•"/>
      <w:lvlJc w:val="left"/>
      <w:pPr>
        <w:ind w:left="1684" w:hanging="738"/>
      </w:pPr>
      <w:rPr>
        <w:rFonts w:hint="default"/>
      </w:rPr>
    </w:lvl>
    <w:lvl w:ilvl="4" w:tplc="D0E20190">
      <w:numFmt w:val="bullet"/>
      <w:lvlText w:val="•"/>
      <w:lvlJc w:val="left"/>
      <w:pPr>
        <w:ind w:left="2126" w:hanging="738"/>
      </w:pPr>
      <w:rPr>
        <w:rFonts w:hint="default"/>
      </w:rPr>
    </w:lvl>
    <w:lvl w:ilvl="5" w:tplc="63BCC1DE">
      <w:numFmt w:val="bullet"/>
      <w:lvlText w:val="•"/>
      <w:lvlJc w:val="left"/>
      <w:pPr>
        <w:ind w:left="2568" w:hanging="738"/>
      </w:pPr>
      <w:rPr>
        <w:rFonts w:hint="default"/>
      </w:rPr>
    </w:lvl>
    <w:lvl w:ilvl="6" w:tplc="F5F2C9FC">
      <w:numFmt w:val="bullet"/>
      <w:lvlText w:val="•"/>
      <w:lvlJc w:val="left"/>
      <w:pPr>
        <w:ind w:left="3010" w:hanging="738"/>
      </w:pPr>
      <w:rPr>
        <w:rFonts w:hint="default"/>
      </w:rPr>
    </w:lvl>
    <w:lvl w:ilvl="7" w:tplc="47642314">
      <w:numFmt w:val="bullet"/>
      <w:lvlText w:val="•"/>
      <w:lvlJc w:val="left"/>
      <w:pPr>
        <w:ind w:left="3452" w:hanging="738"/>
      </w:pPr>
      <w:rPr>
        <w:rFonts w:hint="default"/>
      </w:rPr>
    </w:lvl>
    <w:lvl w:ilvl="8" w:tplc="3AE26B42">
      <w:numFmt w:val="bullet"/>
      <w:lvlText w:val="•"/>
      <w:lvlJc w:val="left"/>
      <w:pPr>
        <w:ind w:left="3895" w:hanging="738"/>
      </w:pPr>
      <w:rPr>
        <w:rFonts w:hint="default"/>
      </w:rPr>
    </w:lvl>
  </w:abstractNum>
  <w:abstractNum w:abstractNumId="49" w15:restartNumberingAfterBreak="0">
    <w:nsid w:val="3B6A0CD0"/>
    <w:multiLevelType w:val="hybridMultilevel"/>
    <w:tmpl w:val="13ECA894"/>
    <w:lvl w:ilvl="0" w:tplc="04090001">
      <w:start w:val="1"/>
      <w:numFmt w:val="bullet"/>
      <w:lvlText w:val=""/>
      <w:lvlJc w:val="left"/>
      <w:pPr>
        <w:ind w:left="720" w:hanging="360"/>
      </w:pPr>
      <w:rPr>
        <w:rFonts w:ascii="Symbol" w:hAnsi="Symbol" w:hint="default"/>
      </w:rPr>
    </w:lvl>
    <w:lvl w:ilvl="1" w:tplc="503EB06E">
      <w:numFmt w:val="bullet"/>
      <w:lvlText w:val="-"/>
      <w:lvlJc w:val="left"/>
      <w:pPr>
        <w:ind w:left="1440" w:hanging="360"/>
      </w:pPr>
      <w:rPr>
        <w:rFonts w:ascii="Arial" w:eastAsia="Times New Roman"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6A648E"/>
    <w:multiLevelType w:val="hybridMultilevel"/>
    <w:tmpl w:val="B5808636"/>
    <w:lvl w:ilvl="0" w:tplc="644405D4">
      <w:numFmt w:val="bullet"/>
      <w:lvlText w:val=""/>
      <w:lvlJc w:val="left"/>
      <w:pPr>
        <w:ind w:left="580" w:hanging="360"/>
      </w:pPr>
      <w:rPr>
        <w:rFonts w:hint="default"/>
        <w:w w:val="100"/>
      </w:rPr>
    </w:lvl>
    <w:lvl w:ilvl="1" w:tplc="D8109918">
      <w:numFmt w:val="bullet"/>
      <w:lvlText w:val="•"/>
      <w:lvlJc w:val="left"/>
      <w:pPr>
        <w:ind w:left="1526" w:hanging="360"/>
      </w:pPr>
      <w:rPr>
        <w:rFonts w:hint="default"/>
      </w:rPr>
    </w:lvl>
    <w:lvl w:ilvl="2" w:tplc="A2BA45A6">
      <w:numFmt w:val="bullet"/>
      <w:lvlText w:val="•"/>
      <w:lvlJc w:val="left"/>
      <w:pPr>
        <w:ind w:left="2472" w:hanging="360"/>
      </w:pPr>
      <w:rPr>
        <w:rFonts w:hint="default"/>
      </w:rPr>
    </w:lvl>
    <w:lvl w:ilvl="3" w:tplc="4B0A102E">
      <w:numFmt w:val="bullet"/>
      <w:lvlText w:val="•"/>
      <w:lvlJc w:val="left"/>
      <w:pPr>
        <w:ind w:left="3418" w:hanging="360"/>
      </w:pPr>
      <w:rPr>
        <w:rFonts w:hint="default"/>
      </w:rPr>
    </w:lvl>
    <w:lvl w:ilvl="4" w:tplc="360E09DA">
      <w:numFmt w:val="bullet"/>
      <w:lvlText w:val="•"/>
      <w:lvlJc w:val="left"/>
      <w:pPr>
        <w:ind w:left="4364" w:hanging="360"/>
      </w:pPr>
      <w:rPr>
        <w:rFonts w:hint="default"/>
      </w:rPr>
    </w:lvl>
    <w:lvl w:ilvl="5" w:tplc="6BE23F94">
      <w:numFmt w:val="bullet"/>
      <w:lvlText w:val="•"/>
      <w:lvlJc w:val="left"/>
      <w:pPr>
        <w:ind w:left="5310" w:hanging="360"/>
      </w:pPr>
      <w:rPr>
        <w:rFonts w:hint="default"/>
      </w:rPr>
    </w:lvl>
    <w:lvl w:ilvl="6" w:tplc="A342CA38">
      <w:numFmt w:val="bullet"/>
      <w:lvlText w:val="•"/>
      <w:lvlJc w:val="left"/>
      <w:pPr>
        <w:ind w:left="6256" w:hanging="360"/>
      </w:pPr>
      <w:rPr>
        <w:rFonts w:hint="default"/>
      </w:rPr>
    </w:lvl>
    <w:lvl w:ilvl="7" w:tplc="840095E4">
      <w:numFmt w:val="bullet"/>
      <w:lvlText w:val="•"/>
      <w:lvlJc w:val="left"/>
      <w:pPr>
        <w:ind w:left="7202" w:hanging="360"/>
      </w:pPr>
      <w:rPr>
        <w:rFonts w:hint="default"/>
      </w:rPr>
    </w:lvl>
    <w:lvl w:ilvl="8" w:tplc="B71E684E">
      <w:numFmt w:val="bullet"/>
      <w:lvlText w:val="•"/>
      <w:lvlJc w:val="left"/>
      <w:pPr>
        <w:ind w:left="8148" w:hanging="360"/>
      </w:pPr>
      <w:rPr>
        <w:rFonts w:hint="default"/>
      </w:rPr>
    </w:lvl>
  </w:abstractNum>
  <w:abstractNum w:abstractNumId="51" w15:restartNumberingAfterBreak="0">
    <w:nsid w:val="3D953E1B"/>
    <w:multiLevelType w:val="hybridMultilevel"/>
    <w:tmpl w:val="820A50F4"/>
    <w:lvl w:ilvl="0" w:tplc="F86AA904">
      <w:numFmt w:val="bullet"/>
      <w:lvlText w:val=""/>
      <w:lvlJc w:val="left"/>
      <w:pPr>
        <w:ind w:left="460" w:hanging="360"/>
      </w:pPr>
      <w:rPr>
        <w:rFonts w:hint="default"/>
        <w:w w:val="100"/>
      </w:rPr>
    </w:lvl>
    <w:lvl w:ilvl="1" w:tplc="A6D0E96C">
      <w:numFmt w:val="bullet"/>
      <w:lvlText w:val="-"/>
      <w:lvlJc w:val="left"/>
      <w:pPr>
        <w:ind w:left="820" w:hanging="360"/>
      </w:pPr>
      <w:rPr>
        <w:rFonts w:ascii="Arial" w:eastAsia="Arial" w:hAnsi="Arial" w:cs="Arial" w:hint="default"/>
        <w:spacing w:val="-8"/>
        <w:w w:val="99"/>
        <w:sz w:val="24"/>
        <w:szCs w:val="24"/>
      </w:rPr>
    </w:lvl>
    <w:lvl w:ilvl="2" w:tplc="9AB6B79A">
      <w:numFmt w:val="bullet"/>
      <w:lvlText w:val="•"/>
      <w:lvlJc w:val="left"/>
      <w:pPr>
        <w:ind w:left="900" w:hanging="360"/>
      </w:pPr>
      <w:rPr>
        <w:rFonts w:hint="default"/>
      </w:rPr>
    </w:lvl>
    <w:lvl w:ilvl="3" w:tplc="3D66FEF2">
      <w:numFmt w:val="bullet"/>
      <w:lvlText w:val="•"/>
      <w:lvlJc w:val="left"/>
      <w:pPr>
        <w:ind w:left="1900" w:hanging="360"/>
      </w:pPr>
      <w:rPr>
        <w:rFonts w:hint="default"/>
      </w:rPr>
    </w:lvl>
    <w:lvl w:ilvl="4" w:tplc="4C38668A">
      <w:numFmt w:val="bullet"/>
      <w:lvlText w:val="•"/>
      <w:lvlJc w:val="left"/>
      <w:pPr>
        <w:ind w:left="2980" w:hanging="360"/>
      </w:pPr>
      <w:rPr>
        <w:rFonts w:hint="default"/>
      </w:rPr>
    </w:lvl>
    <w:lvl w:ilvl="5" w:tplc="277AB7D6">
      <w:numFmt w:val="bullet"/>
      <w:lvlText w:val="•"/>
      <w:lvlJc w:val="left"/>
      <w:pPr>
        <w:ind w:left="4060" w:hanging="360"/>
      </w:pPr>
      <w:rPr>
        <w:rFonts w:hint="default"/>
      </w:rPr>
    </w:lvl>
    <w:lvl w:ilvl="6" w:tplc="23282402">
      <w:numFmt w:val="bullet"/>
      <w:lvlText w:val="•"/>
      <w:lvlJc w:val="left"/>
      <w:pPr>
        <w:ind w:left="5140" w:hanging="360"/>
      </w:pPr>
      <w:rPr>
        <w:rFonts w:hint="default"/>
      </w:rPr>
    </w:lvl>
    <w:lvl w:ilvl="7" w:tplc="C8A4CE80">
      <w:numFmt w:val="bullet"/>
      <w:lvlText w:val="•"/>
      <w:lvlJc w:val="left"/>
      <w:pPr>
        <w:ind w:left="6220" w:hanging="360"/>
      </w:pPr>
      <w:rPr>
        <w:rFonts w:hint="default"/>
      </w:rPr>
    </w:lvl>
    <w:lvl w:ilvl="8" w:tplc="BD4A5F48">
      <w:numFmt w:val="bullet"/>
      <w:lvlText w:val="•"/>
      <w:lvlJc w:val="left"/>
      <w:pPr>
        <w:ind w:left="7300" w:hanging="360"/>
      </w:pPr>
      <w:rPr>
        <w:rFonts w:hint="default"/>
      </w:rPr>
    </w:lvl>
  </w:abstractNum>
  <w:abstractNum w:abstractNumId="52" w15:restartNumberingAfterBreak="0">
    <w:nsid w:val="3F282A47"/>
    <w:multiLevelType w:val="hybridMultilevel"/>
    <w:tmpl w:val="CBBA12C8"/>
    <w:lvl w:ilvl="0" w:tplc="E8AE0FB2">
      <w:start w:val="1"/>
      <w:numFmt w:val="bullet"/>
      <w:pStyle w:val="Level1Bullet"/>
      <w:lvlText w:val=""/>
      <w:lvlJc w:val="left"/>
      <w:pPr>
        <w:tabs>
          <w:tab w:val="num" w:pos="720"/>
        </w:tabs>
        <w:ind w:left="720" w:hanging="720"/>
      </w:pPr>
      <w:rPr>
        <w:rFonts w:ascii="Symbol" w:hAnsi="Symbol" w:hint="default"/>
        <w:color w:val="auto"/>
      </w:rPr>
    </w:lvl>
    <w:lvl w:ilvl="1" w:tplc="3F2E4CCA">
      <w:start w:val="1"/>
      <w:numFmt w:val="bullet"/>
      <w:lvlText w:val=""/>
      <w:lvlJc w:val="left"/>
      <w:pPr>
        <w:tabs>
          <w:tab w:val="num" w:pos="792"/>
        </w:tabs>
        <w:ind w:left="792" w:hanging="432"/>
      </w:pPr>
      <w:rPr>
        <w:rFonts w:ascii="Symbol" w:hAnsi="Symbol"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3FB308FC"/>
    <w:multiLevelType w:val="hybridMultilevel"/>
    <w:tmpl w:val="CA3CF938"/>
    <w:lvl w:ilvl="0" w:tplc="73562FEA">
      <w:numFmt w:val="bullet"/>
      <w:lvlText w:val="-"/>
      <w:lvlJc w:val="left"/>
      <w:pPr>
        <w:ind w:left="820" w:hanging="360"/>
      </w:pPr>
      <w:rPr>
        <w:rFonts w:ascii="Times New Roman" w:eastAsia="Times New Roman" w:hAnsi="Times New Roman" w:cs="Times New Roman" w:hint="default"/>
        <w:spacing w:val="-3"/>
        <w:w w:val="99"/>
        <w:sz w:val="24"/>
        <w:szCs w:val="24"/>
      </w:rPr>
    </w:lvl>
    <w:lvl w:ilvl="1" w:tplc="B028912C">
      <w:numFmt w:val="bullet"/>
      <w:lvlText w:val="•"/>
      <w:lvlJc w:val="left"/>
      <w:pPr>
        <w:ind w:left="1714" w:hanging="360"/>
      </w:pPr>
      <w:rPr>
        <w:rFonts w:hint="default"/>
      </w:rPr>
    </w:lvl>
    <w:lvl w:ilvl="2" w:tplc="AF8ABE92">
      <w:numFmt w:val="bullet"/>
      <w:lvlText w:val="•"/>
      <w:lvlJc w:val="left"/>
      <w:pPr>
        <w:ind w:left="2608" w:hanging="360"/>
      </w:pPr>
      <w:rPr>
        <w:rFonts w:hint="default"/>
      </w:rPr>
    </w:lvl>
    <w:lvl w:ilvl="3" w:tplc="6DBA0D8C">
      <w:numFmt w:val="bullet"/>
      <w:lvlText w:val="•"/>
      <w:lvlJc w:val="left"/>
      <w:pPr>
        <w:ind w:left="3502" w:hanging="360"/>
      </w:pPr>
      <w:rPr>
        <w:rFonts w:hint="default"/>
      </w:rPr>
    </w:lvl>
    <w:lvl w:ilvl="4" w:tplc="33C0B9C2">
      <w:numFmt w:val="bullet"/>
      <w:lvlText w:val="•"/>
      <w:lvlJc w:val="left"/>
      <w:pPr>
        <w:ind w:left="4396" w:hanging="360"/>
      </w:pPr>
      <w:rPr>
        <w:rFonts w:hint="default"/>
      </w:rPr>
    </w:lvl>
    <w:lvl w:ilvl="5" w:tplc="DBB2CDDC">
      <w:numFmt w:val="bullet"/>
      <w:lvlText w:val="•"/>
      <w:lvlJc w:val="left"/>
      <w:pPr>
        <w:ind w:left="5290" w:hanging="360"/>
      </w:pPr>
      <w:rPr>
        <w:rFonts w:hint="default"/>
      </w:rPr>
    </w:lvl>
    <w:lvl w:ilvl="6" w:tplc="FB72E84E">
      <w:numFmt w:val="bullet"/>
      <w:lvlText w:val="•"/>
      <w:lvlJc w:val="left"/>
      <w:pPr>
        <w:ind w:left="6184" w:hanging="360"/>
      </w:pPr>
      <w:rPr>
        <w:rFonts w:hint="default"/>
      </w:rPr>
    </w:lvl>
    <w:lvl w:ilvl="7" w:tplc="913888EC">
      <w:numFmt w:val="bullet"/>
      <w:lvlText w:val="•"/>
      <w:lvlJc w:val="left"/>
      <w:pPr>
        <w:ind w:left="7078" w:hanging="360"/>
      </w:pPr>
      <w:rPr>
        <w:rFonts w:hint="default"/>
      </w:rPr>
    </w:lvl>
    <w:lvl w:ilvl="8" w:tplc="2E1E8AD4">
      <w:numFmt w:val="bullet"/>
      <w:lvlText w:val="•"/>
      <w:lvlJc w:val="left"/>
      <w:pPr>
        <w:ind w:left="7972" w:hanging="360"/>
      </w:pPr>
      <w:rPr>
        <w:rFonts w:hint="default"/>
      </w:rPr>
    </w:lvl>
  </w:abstractNum>
  <w:abstractNum w:abstractNumId="54" w15:restartNumberingAfterBreak="0">
    <w:nsid w:val="407F1925"/>
    <w:multiLevelType w:val="hybridMultilevel"/>
    <w:tmpl w:val="8DCC3518"/>
    <w:lvl w:ilvl="0" w:tplc="55F65088">
      <w:start w:val="3"/>
      <w:numFmt w:val="lowerLetter"/>
      <w:lvlText w:val="(%1)"/>
      <w:lvlJc w:val="left"/>
      <w:pPr>
        <w:ind w:left="100" w:hanging="325"/>
      </w:pPr>
      <w:rPr>
        <w:rFonts w:ascii="Times New Roman" w:eastAsia="Times New Roman" w:hAnsi="Times New Roman" w:cs="Times New Roman" w:hint="default"/>
        <w:spacing w:val="-5"/>
        <w:w w:val="99"/>
        <w:sz w:val="24"/>
        <w:szCs w:val="24"/>
      </w:rPr>
    </w:lvl>
    <w:lvl w:ilvl="1" w:tplc="DBBC6902">
      <w:start w:val="1"/>
      <w:numFmt w:val="lowerRoman"/>
      <w:lvlText w:val="(%2)"/>
      <w:lvlJc w:val="left"/>
      <w:pPr>
        <w:ind w:left="2260" w:hanging="720"/>
      </w:pPr>
      <w:rPr>
        <w:rFonts w:ascii="Times New Roman" w:eastAsia="Times New Roman" w:hAnsi="Times New Roman" w:cs="Times New Roman" w:hint="default"/>
        <w:spacing w:val="-5"/>
        <w:w w:val="99"/>
        <w:sz w:val="24"/>
        <w:szCs w:val="24"/>
      </w:rPr>
    </w:lvl>
    <w:lvl w:ilvl="2" w:tplc="CF98B50E">
      <w:numFmt w:val="bullet"/>
      <w:lvlText w:val="•"/>
      <w:lvlJc w:val="left"/>
      <w:pPr>
        <w:ind w:left="3097" w:hanging="720"/>
      </w:pPr>
      <w:rPr>
        <w:rFonts w:hint="default"/>
      </w:rPr>
    </w:lvl>
    <w:lvl w:ilvl="3" w:tplc="4E626FBC">
      <w:numFmt w:val="bullet"/>
      <w:lvlText w:val="•"/>
      <w:lvlJc w:val="left"/>
      <w:pPr>
        <w:ind w:left="3935" w:hanging="720"/>
      </w:pPr>
      <w:rPr>
        <w:rFonts w:hint="default"/>
      </w:rPr>
    </w:lvl>
    <w:lvl w:ilvl="4" w:tplc="0576E0C4">
      <w:numFmt w:val="bullet"/>
      <w:lvlText w:val="•"/>
      <w:lvlJc w:val="left"/>
      <w:pPr>
        <w:ind w:left="4773" w:hanging="720"/>
      </w:pPr>
      <w:rPr>
        <w:rFonts w:hint="default"/>
      </w:rPr>
    </w:lvl>
    <w:lvl w:ilvl="5" w:tplc="73E245B0">
      <w:numFmt w:val="bullet"/>
      <w:lvlText w:val="•"/>
      <w:lvlJc w:val="left"/>
      <w:pPr>
        <w:ind w:left="5611" w:hanging="720"/>
      </w:pPr>
      <w:rPr>
        <w:rFonts w:hint="default"/>
      </w:rPr>
    </w:lvl>
    <w:lvl w:ilvl="6" w:tplc="CBF2A982">
      <w:numFmt w:val="bullet"/>
      <w:lvlText w:val="•"/>
      <w:lvlJc w:val="left"/>
      <w:pPr>
        <w:ind w:left="6448" w:hanging="720"/>
      </w:pPr>
      <w:rPr>
        <w:rFonts w:hint="default"/>
      </w:rPr>
    </w:lvl>
    <w:lvl w:ilvl="7" w:tplc="6B2021D6">
      <w:numFmt w:val="bullet"/>
      <w:lvlText w:val="•"/>
      <w:lvlJc w:val="left"/>
      <w:pPr>
        <w:ind w:left="7286" w:hanging="720"/>
      </w:pPr>
      <w:rPr>
        <w:rFonts w:hint="default"/>
      </w:rPr>
    </w:lvl>
    <w:lvl w:ilvl="8" w:tplc="7092FBA0">
      <w:numFmt w:val="bullet"/>
      <w:lvlText w:val="•"/>
      <w:lvlJc w:val="left"/>
      <w:pPr>
        <w:ind w:left="8124" w:hanging="720"/>
      </w:pPr>
      <w:rPr>
        <w:rFonts w:hint="default"/>
      </w:rPr>
    </w:lvl>
  </w:abstractNum>
  <w:abstractNum w:abstractNumId="55" w15:restartNumberingAfterBreak="0">
    <w:nsid w:val="40BD46AE"/>
    <w:multiLevelType w:val="hybridMultilevel"/>
    <w:tmpl w:val="9E3AAE0C"/>
    <w:lvl w:ilvl="0" w:tplc="AF7C9ED8">
      <w:numFmt w:val="bullet"/>
      <w:lvlText w:val="-"/>
      <w:lvlJc w:val="left"/>
      <w:pPr>
        <w:ind w:left="935" w:hanging="360"/>
      </w:pPr>
      <w:rPr>
        <w:rFonts w:ascii="Times New Roman" w:eastAsia="Times New Roman" w:hAnsi="Times New Roman" w:cs="Times New Roman" w:hint="default"/>
        <w:spacing w:val="-6"/>
        <w:w w:val="99"/>
        <w:sz w:val="24"/>
        <w:szCs w:val="24"/>
      </w:rPr>
    </w:lvl>
    <w:lvl w:ilvl="1" w:tplc="6D2A6C46">
      <w:numFmt w:val="bullet"/>
      <w:lvlText w:val="•"/>
      <w:lvlJc w:val="left"/>
      <w:pPr>
        <w:ind w:left="1808" w:hanging="360"/>
      </w:pPr>
      <w:rPr>
        <w:rFonts w:hint="default"/>
      </w:rPr>
    </w:lvl>
    <w:lvl w:ilvl="2" w:tplc="1592DA5E">
      <w:numFmt w:val="bullet"/>
      <w:lvlText w:val="•"/>
      <w:lvlJc w:val="left"/>
      <w:pPr>
        <w:ind w:left="2676" w:hanging="360"/>
      </w:pPr>
      <w:rPr>
        <w:rFonts w:hint="default"/>
      </w:rPr>
    </w:lvl>
    <w:lvl w:ilvl="3" w:tplc="E58E0B02">
      <w:numFmt w:val="bullet"/>
      <w:lvlText w:val="•"/>
      <w:lvlJc w:val="left"/>
      <w:pPr>
        <w:ind w:left="3544" w:hanging="360"/>
      </w:pPr>
      <w:rPr>
        <w:rFonts w:hint="default"/>
      </w:rPr>
    </w:lvl>
    <w:lvl w:ilvl="4" w:tplc="C128A628">
      <w:numFmt w:val="bullet"/>
      <w:lvlText w:val="•"/>
      <w:lvlJc w:val="left"/>
      <w:pPr>
        <w:ind w:left="4412" w:hanging="360"/>
      </w:pPr>
      <w:rPr>
        <w:rFonts w:hint="default"/>
      </w:rPr>
    </w:lvl>
    <w:lvl w:ilvl="5" w:tplc="E5DA5C22">
      <w:numFmt w:val="bullet"/>
      <w:lvlText w:val="•"/>
      <w:lvlJc w:val="left"/>
      <w:pPr>
        <w:ind w:left="5280" w:hanging="360"/>
      </w:pPr>
      <w:rPr>
        <w:rFonts w:hint="default"/>
      </w:rPr>
    </w:lvl>
    <w:lvl w:ilvl="6" w:tplc="0BE0DB86">
      <w:numFmt w:val="bullet"/>
      <w:lvlText w:val="•"/>
      <w:lvlJc w:val="left"/>
      <w:pPr>
        <w:ind w:left="6148" w:hanging="360"/>
      </w:pPr>
      <w:rPr>
        <w:rFonts w:hint="default"/>
      </w:rPr>
    </w:lvl>
    <w:lvl w:ilvl="7" w:tplc="651A2E28">
      <w:numFmt w:val="bullet"/>
      <w:lvlText w:val="•"/>
      <w:lvlJc w:val="left"/>
      <w:pPr>
        <w:ind w:left="7016" w:hanging="360"/>
      </w:pPr>
      <w:rPr>
        <w:rFonts w:hint="default"/>
      </w:rPr>
    </w:lvl>
    <w:lvl w:ilvl="8" w:tplc="10723C40">
      <w:numFmt w:val="bullet"/>
      <w:lvlText w:val="•"/>
      <w:lvlJc w:val="left"/>
      <w:pPr>
        <w:ind w:left="7884" w:hanging="360"/>
      </w:pPr>
      <w:rPr>
        <w:rFonts w:hint="default"/>
      </w:rPr>
    </w:lvl>
  </w:abstractNum>
  <w:abstractNum w:abstractNumId="56" w15:restartNumberingAfterBreak="0">
    <w:nsid w:val="41AF1C82"/>
    <w:multiLevelType w:val="hybridMultilevel"/>
    <w:tmpl w:val="CEA8837C"/>
    <w:lvl w:ilvl="0" w:tplc="D53039E2">
      <w:numFmt w:val="bullet"/>
      <w:lvlText w:val="-"/>
      <w:lvlJc w:val="left"/>
      <w:pPr>
        <w:ind w:left="640" w:hanging="720"/>
      </w:pPr>
      <w:rPr>
        <w:rFonts w:ascii="Arial" w:eastAsia="Arial" w:hAnsi="Arial" w:cs="Arial" w:hint="default"/>
        <w:w w:val="99"/>
        <w:sz w:val="20"/>
        <w:szCs w:val="20"/>
      </w:rPr>
    </w:lvl>
    <w:lvl w:ilvl="1" w:tplc="21F87A08">
      <w:numFmt w:val="bullet"/>
      <w:lvlText w:val="•"/>
      <w:lvlJc w:val="left"/>
      <w:pPr>
        <w:ind w:left="1532" w:hanging="720"/>
      </w:pPr>
      <w:rPr>
        <w:rFonts w:hint="default"/>
      </w:rPr>
    </w:lvl>
    <w:lvl w:ilvl="2" w:tplc="2110DF5C">
      <w:numFmt w:val="bullet"/>
      <w:lvlText w:val="•"/>
      <w:lvlJc w:val="left"/>
      <w:pPr>
        <w:ind w:left="2424" w:hanging="720"/>
      </w:pPr>
      <w:rPr>
        <w:rFonts w:hint="default"/>
      </w:rPr>
    </w:lvl>
    <w:lvl w:ilvl="3" w:tplc="60983924">
      <w:numFmt w:val="bullet"/>
      <w:lvlText w:val="•"/>
      <w:lvlJc w:val="left"/>
      <w:pPr>
        <w:ind w:left="3316" w:hanging="720"/>
      </w:pPr>
      <w:rPr>
        <w:rFonts w:hint="default"/>
      </w:rPr>
    </w:lvl>
    <w:lvl w:ilvl="4" w:tplc="73B8C4E8">
      <w:numFmt w:val="bullet"/>
      <w:lvlText w:val="•"/>
      <w:lvlJc w:val="left"/>
      <w:pPr>
        <w:ind w:left="4208" w:hanging="720"/>
      </w:pPr>
      <w:rPr>
        <w:rFonts w:hint="default"/>
      </w:rPr>
    </w:lvl>
    <w:lvl w:ilvl="5" w:tplc="7A9E657E">
      <w:numFmt w:val="bullet"/>
      <w:lvlText w:val="•"/>
      <w:lvlJc w:val="left"/>
      <w:pPr>
        <w:ind w:left="5100" w:hanging="720"/>
      </w:pPr>
      <w:rPr>
        <w:rFonts w:hint="default"/>
      </w:rPr>
    </w:lvl>
    <w:lvl w:ilvl="6" w:tplc="20C80FAA">
      <w:numFmt w:val="bullet"/>
      <w:lvlText w:val="•"/>
      <w:lvlJc w:val="left"/>
      <w:pPr>
        <w:ind w:left="5992" w:hanging="720"/>
      </w:pPr>
      <w:rPr>
        <w:rFonts w:hint="default"/>
      </w:rPr>
    </w:lvl>
    <w:lvl w:ilvl="7" w:tplc="663EF0A8">
      <w:numFmt w:val="bullet"/>
      <w:lvlText w:val="•"/>
      <w:lvlJc w:val="left"/>
      <w:pPr>
        <w:ind w:left="6884" w:hanging="720"/>
      </w:pPr>
      <w:rPr>
        <w:rFonts w:hint="default"/>
      </w:rPr>
    </w:lvl>
    <w:lvl w:ilvl="8" w:tplc="E570A0B8">
      <w:numFmt w:val="bullet"/>
      <w:lvlText w:val="•"/>
      <w:lvlJc w:val="left"/>
      <w:pPr>
        <w:ind w:left="7776" w:hanging="720"/>
      </w:pPr>
      <w:rPr>
        <w:rFonts w:hint="default"/>
      </w:rPr>
    </w:lvl>
  </w:abstractNum>
  <w:abstractNum w:abstractNumId="57" w15:restartNumberingAfterBreak="0">
    <w:nsid w:val="42172403"/>
    <w:multiLevelType w:val="hybridMultilevel"/>
    <w:tmpl w:val="66D8DBD8"/>
    <w:lvl w:ilvl="0" w:tplc="71E83D62">
      <w:start w:val="1"/>
      <w:numFmt w:val="lowerLetter"/>
      <w:lvlText w:val="(%1)"/>
      <w:lvlJc w:val="left"/>
      <w:pPr>
        <w:ind w:left="220" w:hanging="339"/>
        <w:jc w:val="right"/>
      </w:pPr>
      <w:rPr>
        <w:rFonts w:ascii="Times New Roman" w:eastAsia="Times New Roman" w:hAnsi="Times New Roman" w:cs="Times New Roman" w:hint="default"/>
        <w:b/>
        <w:bCs/>
        <w:i/>
        <w:w w:val="99"/>
        <w:sz w:val="24"/>
        <w:szCs w:val="24"/>
      </w:rPr>
    </w:lvl>
    <w:lvl w:ilvl="1" w:tplc="62941C46">
      <w:start w:val="1"/>
      <w:numFmt w:val="decimal"/>
      <w:lvlText w:val="(%2)"/>
      <w:lvlJc w:val="left"/>
      <w:pPr>
        <w:ind w:left="220" w:hanging="339"/>
      </w:pPr>
      <w:rPr>
        <w:rFonts w:ascii="Times New Roman" w:eastAsia="Times New Roman" w:hAnsi="Times New Roman" w:cs="Times New Roman" w:hint="default"/>
        <w:w w:val="99"/>
        <w:sz w:val="24"/>
        <w:szCs w:val="24"/>
      </w:rPr>
    </w:lvl>
    <w:lvl w:ilvl="2" w:tplc="2DA211F4">
      <w:start w:val="1"/>
      <w:numFmt w:val="lowerRoman"/>
      <w:lvlText w:val="(%3)"/>
      <w:lvlJc w:val="left"/>
      <w:pPr>
        <w:ind w:left="220" w:hanging="286"/>
      </w:pPr>
      <w:rPr>
        <w:rFonts w:ascii="Times New Roman" w:eastAsia="Times New Roman" w:hAnsi="Times New Roman" w:cs="Times New Roman" w:hint="default"/>
        <w:w w:val="99"/>
        <w:sz w:val="24"/>
        <w:szCs w:val="24"/>
      </w:rPr>
    </w:lvl>
    <w:lvl w:ilvl="3" w:tplc="22C4FBA6">
      <w:numFmt w:val="bullet"/>
      <w:lvlText w:val="•"/>
      <w:lvlJc w:val="left"/>
      <w:pPr>
        <w:ind w:left="2348" w:hanging="286"/>
      </w:pPr>
      <w:rPr>
        <w:rFonts w:hint="default"/>
      </w:rPr>
    </w:lvl>
    <w:lvl w:ilvl="4" w:tplc="B434B55E">
      <w:numFmt w:val="bullet"/>
      <w:lvlText w:val="•"/>
      <w:lvlJc w:val="left"/>
      <w:pPr>
        <w:ind w:left="3413" w:hanging="286"/>
      </w:pPr>
      <w:rPr>
        <w:rFonts w:hint="default"/>
      </w:rPr>
    </w:lvl>
    <w:lvl w:ilvl="5" w:tplc="75F23216">
      <w:numFmt w:val="bullet"/>
      <w:lvlText w:val="•"/>
      <w:lvlJc w:val="left"/>
      <w:pPr>
        <w:ind w:left="4477" w:hanging="286"/>
      </w:pPr>
      <w:rPr>
        <w:rFonts w:hint="default"/>
      </w:rPr>
    </w:lvl>
    <w:lvl w:ilvl="6" w:tplc="CD84EF7E">
      <w:numFmt w:val="bullet"/>
      <w:lvlText w:val="•"/>
      <w:lvlJc w:val="left"/>
      <w:pPr>
        <w:ind w:left="5542" w:hanging="286"/>
      </w:pPr>
      <w:rPr>
        <w:rFonts w:hint="default"/>
      </w:rPr>
    </w:lvl>
    <w:lvl w:ilvl="7" w:tplc="355459E2">
      <w:numFmt w:val="bullet"/>
      <w:lvlText w:val="•"/>
      <w:lvlJc w:val="left"/>
      <w:pPr>
        <w:ind w:left="6606" w:hanging="286"/>
      </w:pPr>
      <w:rPr>
        <w:rFonts w:hint="default"/>
      </w:rPr>
    </w:lvl>
    <w:lvl w:ilvl="8" w:tplc="A59AB4DA">
      <w:numFmt w:val="bullet"/>
      <w:lvlText w:val="•"/>
      <w:lvlJc w:val="left"/>
      <w:pPr>
        <w:ind w:left="7671" w:hanging="286"/>
      </w:pPr>
      <w:rPr>
        <w:rFonts w:hint="default"/>
      </w:rPr>
    </w:lvl>
  </w:abstractNum>
  <w:abstractNum w:abstractNumId="58" w15:restartNumberingAfterBreak="0">
    <w:nsid w:val="43085D62"/>
    <w:multiLevelType w:val="hybridMultilevel"/>
    <w:tmpl w:val="A8427EDE"/>
    <w:lvl w:ilvl="0" w:tplc="A9FC9FCA">
      <w:numFmt w:val="bullet"/>
      <w:lvlText w:val=""/>
      <w:lvlJc w:val="left"/>
      <w:pPr>
        <w:ind w:left="535" w:hanging="288"/>
      </w:pPr>
      <w:rPr>
        <w:rFonts w:ascii="Symbol" w:eastAsia="Symbol" w:hAnsi="Symbol" w:cs="Symbol" w:hint="default"/>
        <w:w w:val="100"/>
        <w:sz w:val="24"/>
        <w:szCs w:val="24"/>
      </w:rPr>
    </w:lvl>
    <w:lvl w:ilvl="1" w:tplc="80E2CF48">
      <w:numFmt w:val="bullet"/>
      <w:lvlText w:val="•"/>
      <w:lvlJc w:val="left"/>
      <w:pPr>
        <w:ind w:left="1402" w:hanging="288"/>
      </w:pPr>
      <w:rPr>
        <w:rFonts w:hint="default"/>
      </w:rPr>
    </w:lvl>
    <w:lvl w:ilvl="2" w:tplc="B3B842BE">
      <w:numFmt w:val="bullet"/>
      <w:lvlText w:val="•"/>
      <w:lvlJc w:val="left"/>
      <w:pPr>
        <w:ind w:left="2264" w:hanging="288"/>
      </w:pPr>
      <w:rPr>
        <w:rFonts w:hint="default"/>
      </w:rPr>
    </w:lvl>
    <w:lvl w:ilvl="3" w:tplc="EB6E9EAE">
      <w:numFmt w:val="bullet"/>
      <w:lvlText w:val="•"/>
      <w:lvlJc w:val="left"/>
      <w:pPr>
        <w:ind w:left="3126" w:hanging="288"/>
      </w:pPr>
      <w:rPr>
        <w:rFonts w:hint="default"/>
      </w:rPr>
    </w:lvl>
    <w:lvl w:ilvl="4" w:tplc="FE4EC37C">
      <w:numFmt w:val="bullet"/>
      <w:lvlText w:val="•"/>
      <w:lvlJc w:val="left"/>
      <w:pPr>
        <w:ind w:left="3989" w:hanging="288"/>
      </w:pPr>
      <w:rPr>
        <w:rFonts w:hint="default"/>
      </w:rPr>
    </w:lvl>
    <w:lvl w:ilvl="5" w:tplc="0F929456">
      <w:numFmt w:val="bullet"/>
      <w:lvlText w:val="•"/>
      <w:lvlJc w:val="left"/>
      <w:pPr>
        <w:ind w:left="4851" w:hanging="288"/>
      </w:pPr>
      <w:rPr>
        <w:rFonts w:hint="default"/>
      </w:rPr>
    </w:lvl>
    <w:lvl w:ilvl="6" w:tplc="0AD84CD8">
      <w:numFmt w:val="bullet"/>
      <w:lvlText w:val="•"/>
      <w:lvlJc w:val="left"/>
      <w:pPr>
        <w:ind w:left="5713" w:hanging="288"/>
      </w:pPr>
      <w:rPr>
        <w:rFonts w:hint="default"/>
      </w:rPr>
    </w:lvl>
    <w:lvl w:ilvl="7" w:tplc="89F27200">
      <w:numFmt w:val="bullet"/>
      <w:lvlText w:val="•"/>
      <w:lvlJc w:val="left"/>
      <w:pPr>
        <w:ind w:left="6575" w:hanging="288"/>
      </w:pPr>
      <w:rPr>
        <w:rFonts w:hint="default"/>
      </w:rPr>
    </w:lvl>
    <w:lvl w:ilvl="8" w:tplc="F2E859BA">
      <w:numFmt w:val="bullet"/>
      <w:lvlText w:val="•"/>
      <w:lvlJc w:val="left"/>
      <w:pPr>
        <w:ind w:left="7438" w:hanging="288"/>
      </w:pPr>
      <w:rPr>
        <w:rFonts w:hint="default"/>
      </w:rPr>
    </w:lvl>
  </w:abstractNum>
  <w:abstractNum w:abstractNumId="59" w15:restartNumberingAfterBreak="0">
    <w:nsid w:val="434E5C93"/>
    <w:multiLevelType w:val="hybridMultilevel"/>
    <w:tmpl w:val="8DF2F792"/>
    <w:lvl w:ilvl="0" w:tplc="46B4BAC6">
      <w:numFmt w:val="bullet"/>
      <w:lvlText w:val=""/>
      <w:lvlJc w:val="left"/>
      <w:pPr>
        <w:ind w:left="820" w:hanging="360"/>
      </w:pPr>
      <w:rPr>
        <w:rFonts w:ascii="Symbol" w:eastAsia="Symbol" w:hAnsi="Symbol" w:cs="Symbol" w:hint="default"/>
        <w:b/>
        <w:bCs/>
        <w:w w:val="99"/>
        <w:sz w:val="24"/>
        <w:szCs w:val="24"/>
      </w:rPr>
    </w:lvl>
    <w:lvl w:ilvl="1" w:tplc="F8B6E86C">
      <w:numFmt w:val="bullet"/>
      <w:lvlText w:val="•"/>
      <w:lvlJc w:val="left"/>
      <w:pPr>
        <w:ind w:left="1686" w:hanging="360"/>
      </w:pPr>
      <w:rPr>
        <w:rFonts w:hint="default"/>
      </w:rPr>
    </w:lvl>
    <w:lvl w:ilvl="2" w:tplc="0E648DA6">
      <w:numFmt w:val="bullet"/>
      <w:lvlText w:val="•"/>
      <w:lvlJc w:val="left"/>
      <w:pPr>
        <w:ind w:left="2552" w:hanging="360"/>
      </w:pPr>
      <w:rPr>
        <w:rFonts w:hint="default"/>
      </w:rPr>
    </w:lvl>
    <w:lvl w:ilvl="3" w:tplc="8A2E9A92">
      <w:numFmt w:val="bullet"/>
      <w:lvlText w:val="•"/>
      <w:lvlJc w:val="left"/>
      <w:pPr>
        <w:ind w:left="3418" w:hanging="360"/>
      </w:pPr>
      <w:rPr>
        <w:rFonts w:hint="default"/>
      </w:rPr>
    </w:lvl>
    <w:lvl w:ilvl="4" w:tplc="40101232">
      <w:numFmt w:val="bullet"/>
      <w:lvlText w:val="•"/>
      <w:lvlJc w:val="left"/>
      <w:pPr>
        <w:ind w:left="4284" w:hanging="360"/>
      </w:pPr>
      <w:rPr>
        <w:rFonts w:hint="default"/>
      </w:rPr>
    </w:lvl>
    <w:lvl w:ilvl="5" w:tplc="52F4C50E">
      <w:numFmt w:val="bullet"/>
      <w:lvlText w:val="•"/>
      <w:lvlJc w:val="left"/>
      <w:pPr>
        <w:ind w:left="5150" w:hanging="360"/>
      </w:pPr>
      <w:rPr>
        <w:rFonts w:hint="default"/>
      </w:rPr>
    </w:lvl>
    <w:lvl w:ilvl="6" w:tplc="49B4D8E4">
      <w:numFmt w:val="bullet"/>
      <w:lvlText w:val="•"/>
      <w:lvlJc w:val="left"/>
      <w:pPr>
        <w:ind w:left="6016" w:hanging="360"/>
      </w:pPr>
      <w:rPr>
        <w:rFonts w:hint="default"/>
      </w:rPr>
    </w:lvl>
    <w:lvl w:ilvl="7" w:tplc="55B0A874">
      <w:numFmt w:val="bullet"/>
      <w:lvlText w:val="•"/>
      <w:lvlJc w:val="left"/>
      <w:pPr>
        <w:ind w:left="6882" w:hanging="360"/>
      </w:pPr>
      <w:rPr>
        <w:rFonts w:hint="default"/>
      </w:rPr>
    </w:lvl>
    <w:lvl w:ilvl="8" w:tplc="E9A857FC">
      <w:numFmt w:val="bullet"/>
      <w:lvlText w:val="•"/>
      <w:lvlJc w:val="left"/>
      <w:pPr>
        <w:ind w:left="7748" w:hanging="360"/>
      </w:pPr>
      <w:rPr>
        <w:rFonts w:hint="default"/>
      </w:rPr>
    </w:lvl>
  </w:abstractNum>
  <w:abstractNum w:abstractNumId="60" w15:restartNumberingAfterBreak="0">
    <w:nsid w:val="445F29AF"/>
    <w:multiLevelType w:val="hybridMultilevel"/>
    <w:tmpl w:val="9112025A"/>
    <w:lvl w:ilvl="0" w:tplc="A9A499A4">
      <w:numFmt w:val="bullet"/>
      <w:lvlText w:val=""/>
      <w:lvlJc w:val="left"/>
      <w:pPr>
        <w:ind w:left="463" w:hanging="360"/>
      </w:pPr>
      <w:rPr>
        <w:rFonts w:ascii="Symbol" w:eastAsia="Symbol" w:hAnsi="Symbol" w:cs="Symbol" w:hint="default"/>
        <w:w w:val="100"/>
        <w:sz w:val="24"/>
        <w:szCs w:val="24"/>
      </w:rPr>
    </w:lvl>
    <w:lvl w:ilvl="1" w:tplc="90F0CDD8">
      <w:numFmt w:val="bullet"/>
      <w:lvlText w:val="•"/>
      <w:lvlJc w:val="left"/>
      <w:pPr>
        <w:ind w:left="1370" w:hanging="360"/>
      </w:pPr>
      <w:rPr>
        <w:rFonts w:hint="default"/>
      </w:rPr>
    </w:lvl>
    <w:lvl w:ilvl="2" w:tplc="88246C1C">
      <w:numFmt w:val="bullet"/>
      <w:lvlText w:val="•"/>
      <w:lvlJc w:val="left"/>
      <w:pPr>
        <w:ind w:left="2281" w:hanging="360"/>
      </w:pPr>
      <w:rPr>
        <w:rFonts w:hint="default"/>
      </w:rPr>
    </w:lvl>
    <w:lvl w:ilvl="3" w:tplc="EFFAD1C0">
      <w:numFmt w:val="bullet"/>
      <w:lvlText w:val="•"/>
      <w:lvlJc w:val="left"/>
      <w:pPr>
        <w:ind w:left="3192" w:hanging="360"/>
      </w:pPr>
      <w:rPr>
        <w:rFonts w:hint="default"/>
      </w:rPr>
    </w:lvl>
    <w:lvl w:ilvl="4" w:tplc="5C1C09A0">
      <w:numFmt w:val="bullet"/>
      <w:lvlText w:val="•"/>
      <w:lvlJc w:val="left"/>
      <w:pPr>
        <w:ind w:left="4103" w:hanging="360"/>
      </w:pPr>
      <w:rPr>
        <w:rFonts w:hint="default"/>
      </w:rPr>
    </w:lvl>
    <w:lvl w:ilvl="5" w:tplc="795AD3C0">
      <w:numFmt w:val="bullet"/>
      <w:lvlText w:val="•"/>
      <w:lvlJc w:val="left"/>
      <w:pPr>
        <w:ind w:left="5014" w:hanging="360"/>
      </w:pPr>
      <w:rPr>
        <w:rFonts w:hint="default"/>
      </w:rPr>
    </w:lvl>
    <w:lvl w:ilvl="6" w:tplc="067889AC">
      <w:numFmt w:val="bullet"/>
      <w:lvlText w:val="•"/>
      <w:lvlJc w:val="left"/>
      <w:pPr>
        <w:ind w:left="5925" w:hanging="360"/>
      </w:pPr>
      <w:rPr>
        <w:rFonts w:hint="default"/>
      </w:rPr>
    </w:lvl>
    <w:lvl w:ilvl="7" w:tplc="21A66444">
      <w:numFmt w:val="bullet"/>
      <w:lvlText w:val="•"/>
      <w:lvlJc w:val="left"/>
      <w:pPr>
        <w:ind w:left="6835" w:hanging="360"/>
      </w:pPr>
      <w:rPr>
        <w:rFonts w:hint="default"/>
      </w:rPr>
    </w:lvl>
    <w:lvl w:ilvl="8" w:tplc="E4A2BA12">
      <w:numFmt w:val="bullet"/>
      <w:lvlText w:val="•"/>
      <w:lvlJc w:val="left"/>
      <w:pPr>
        <w:ind w:left="7746" w:hanging="360"/>
      </w:pPr>
      <w:rPr>
        <w:rFonts w:hint="default"/>
      </w:rPr>
    </w:lvl>
  </w:abstractNum>
  <w:abstractNum w:abstractNumId="61" w15:restartNumberingAfterBreak="0">
    <w:nsid w:val="44C85F2F"/>
    <w:multiLevelType w:val="hybridMultilevel"/>
    <w:tmpl w:val="B0A41092"/>
    <w:lvl w:ilvl="0" w:tplc="F528A13A">
      <w:start w:val="1"/>
      <w:numFmt w:val="decimal"/>
      <w:lvlText w:val="(%1)"/>
      <w:lvlJc w:val="left"/>
      <w:pPr>
        <w:ind w:left="460" w:hanging="360"/>
      </w:pPr>
      <w:rPr>
        <w:rFonts w:ascii="Times New Roman" w:eastAsia="Times New Roman" w:hAnsi="Times New Roman" w:cs="Times New Roman" w:hint="default"/>
        <w:w w:val="99"/>
        <w:sz w:val="24"/>
        <w:szCs w:val="24"/>
      </w:rPr>
    </w:lvl>
    <w:lvl w:ilvl="1" w:tplc="D7C4FB7A">
      <w:start w:val="1"/>
      <w:numFmt w:val="decimal"/>
      <w:lvlText w:val="(%2)"/>
      <w:lvlJc w:val="left"/>
      <w:pPr>
        <w:ind w:left="1180" w:hanging="360"/>
      </w:pPr>
      <w:rPr>
        <w:rFonts w:ascii="Times New Roman" w:eastAsia="Times New Roman" w:hAnsi="Times New Roman" w:cs="Times New Roman" w:hint="default"/>
        <w:w w:val="99"/>
        <w:sz w:val="24"/>
        <w:szCs w:val="24"/>
      </w:rPr>
    </w:lvl>
    <w:lvl w:ilvl="2" w:tplc="27CAC9AC">
      <w:numFmt w:val="bullet"/>
      <w:lvlText w:val="•"/>
      <w:lvlJc w:val="left"/>
      <w:pPr>
        <w:ind w:left="2111" w:hanging="360"/>
      </w:pPr>
      <w:rPr>
        <w:rFonts w:hint="default"/>
      </w:rPr>
    </w:lvl>
    <w:lvl w:ilvl="3" w:tplc="79063AF2">
      <w:numFmt w:val="bullet"/>
      <w:lvlText w:val="•"/>
      <w:lvlJc w:val="left"/>
      <w:pPr>
        <w:ind w:left="3042" w:hanging="360"/>
      </w:pPr>
      <w:rPr>
        <w:rFonts w:hint="default"/>
      </w:rPr>
    </w:lvl>
    <w:lvl w:ilvl="4" w:tplc="C82AB1A8">
      <w:numFmt w:val="bullet"/>
      <w:lvlText w:val="•"/>
      <w:lvlJc w:val="left"/>
      <w:pPr>
        <w:ind w:left="3973" w:hanging="360"/>
      </w:pPr>
      <w:rPr>
        <w:rFonts w:hint="default"/>
      </w:rPr>
    </w:lvl>
    <w:lvl w:ilvl="5" w:tplc="FB9AD52A">
      <w:numFmt w:val="bullet"/>
      <w:lvlText w:val="•"/>
      <w:lvlJc w:val="left"/>
      <w:pPr>
        <w:ind w:left="4904" w:hanging="360"/>
      </w:pPr>
      <w:rPr>
        <w:rFonts w:hint="default"/>
      </w:rPr>
    </w:lvl>
    <w:lvl w:ilvl="6" w:tplc="32FAF0E8">
      <w:numFmt w:val="bullet"/>
      <w:lvlText w:val="•"/>
      <w:lvlJc w:val="left"/>
      <w:pPr>
        <w:ind w:left="5835" w:hanging="360"/>
      </w:pPr>
      <w:rPr>
        <w:rFonts w:hint="default"/>
      </w:rPr>
    </w:lvl>
    <w:lvl w:ilvl="7" w:tplc="AF4C6CF4">
      <w:numFmt w:val="bullet"/>
      <w:lvlText w:val="•"/>
      <w:lvlJc w:val="left"/>
      <w:pPr>
        <w:ind w:left="6766" w:hanging="360"/>
      </w:pPr>
      <w:rPr>
        <w:rFonts w:hint="default"/>
      </w:rPr>
    </w:lvl>
    <w:lvl w:ilvl="8" w:tplc="40DA62FA">
      <w:numFmt w:val="bullet"/>
      <w:lvlText w:val="•"/>
      <w:lvlJc w:val="left"/>
      <w:pPr>
        <w:ind w:left="7697" w:hanging="360"/>
      </w:pPr>
      <w:rPr>
        <w:rFonts w:hint="default"/>
      </w:rPr>
    </w:lvl>
  </w:abstractNum>
  <w:abstractNum w:abstractNumId="62" w15:restartNumberingAfterBreak="0">
    <w:nsid w:val="450A4F33"/>
    <w:multiLevelType w:val="hybridMultilevel"/>
    <w:tmpl w:val="4DC2A242"/>
    <w:lvl w:ilvl="0" w:tplc="6436C046">
      <w:start w:val="2"/>
      <w:numFmt w:val="decimal"/>
      <w:lvlText w:val="(%1)"/>
      <w:lvlJc w:val="left"/>
      <w:pPr>
        <w:ind w:left="100" w:hanging="341"/>
      </w:pPr>
      <w:rPr>
        <w:rFonts w:ascii="Times New Roman" w:eastAsia="Times New Roman" w:hAnsi="Times New Roman" w:cs="Times New Roman" w:hint="default"/>
        <w:spacing w:val="-4"/>
        <w:w w:val="99"/>
        <w:sz w:val="24"/>
        <w:szCs w:val="24"/>
      </w:rPr>
    </w:lvl>
    <w:lvl w:ilvl="1" w:tplc="B3F2D144">
      <w:start w:val="1"/>
      <w:numFmt w:val="lowerRoman"/>
      <w:lvlText w:val="(%2)"/>
      <w:lvlJc w:val="left"/>
      <w:pPr>
        <w:ind w:left="100" w:hanging="286"/>
      </w:pPr>
      <w:rPr>
        <w:rFonts w:ascii="Times New Roman" w:eastAsia="Times New Roman" w:hAnsi="Times New Roman" w:cs="Times New Roman" w:hint="default"/>
        <w:w w:val="99"/>
        <w:sz w:val="24"/>
        <w:szCs w:val="24"/>
      </w:rPr>
    </w:lvl>
    <w:lvl w:ilvl="2" w:tplc="951A73C8">
      <w:numFmt w:val="bullet"/>
      <w:lvlText w:val="•"/>
      <w:lvlJc w:val="left"/>
      <w:pPr>
        <w:ind w:left="946" w:hanging="286"/>
      </w:pPr>
      <w:rPr>
        <w:rFonts w:hint="default"/>
      </w:rPr>
    </w:lvl>
    <w:lvl w:ilvl="3" w:tplc="4C2C9A92">
      <w:numFmt w:val="bullet"/>
      <w:lvlText w:val="•"/>
      <w:lvlJc w:val="left"/>
      <w:pPr>
        <w:ind w:left="1369" w:hanging="286"/>
      </w:pPr>
      <w:rPr>
        <w:rFonts w:hint="default"/>
      </w:rPr>
    </w:lvl>
    <w:lvl w:ilvl="4" w:tplc="3C0023FE">
      <w:numFmt w:val="bullet"/>
      <w:lvlText w:val="•"/>
      <w:lvlJc w:val="left"/>
      <w:pPr>
        <w:ind w:left="1793" w:hanging="286"/>
      </w:pPr>
      <w:rPr>
        <w:rFonts w:hint="default"/>
      </w:rPr>
    </w:lvl>
    <w:lvl w:ilvl="5" w:tplc="3698F7FC">
      <w:numFmt w:val="bullet"/>
      <w:lvlText w:val="•"/>
      <w:lvlJc w:val="left"/>
      <w:pPr>
        <w:ind w:left="2216" w:hanging="286"/>
      </w:pPr>
      <w:rPr>
        <w:rFonts w:hint="default"/>
      </w:rPr>
    </w:lvl>
    <w:lvl w:ilvl="6" w:tplc="11C04E4A">
      <w:numFmt w:val="bullet"/>
      <w:lvlText w:val="•"/>
      <w:lvlJc w:val="left"/>
      <w:pPr>
        <w:ind w:left="2639" w:hanging="286"/>
      </w:pPr>
      <w:rPr>
        <w:rFonts w:hint="default"/>
      </w:rPr>
    </w:lvl>
    <w:lvl w:ilvl="7" w:tplc="D974B3A8">
      <w:numFmt w:val="bullet"/>
      <w:lvlText w:val="•"/>
      <w:lvlJc w:val="left"/>
      <w:pPr>
        <w:ind w:left="3062" w:hanging="286"/>
      </w:pPr>
      <w:rPr>
        <w:rFonts w:hint="default"/>
      </w:rPr>
    </w:lvl>
    <w:lvl w:ilvl="8" w:tplc="DE4E1AAA">
      <w:numFmt w:val="bullet"/>
      <w:lvlText w:val="•"/>
      <w:lvlJc w:val="left"/>
      <w:pPr>
        <w:ind w:left="3486" w:hanging="286"/>
      </w:pPr>
      <w:rPr>
        <w:rFonts w:hint="default"/>
      </w:rPr>
    </w:lvl>
  </w:abstractNum>
  <w:abstractNum w:abstractNumId="63" w15:restartNumberingAfterBreak="0">
    <w:nsid w:val="456F6B30"/>
    <w:multiLevelType w:val="hybridMultilevel"/>
    <w:tmpl w:val="BDEC9514"/>
    <w:lvl w:ilvl="0" w:tplc="C4A81E82">
      <w:numFmt w:val="bullet"/>
      <w:lvlText w:val=""/>
      <w:lvlJc w:val="left"/>
      <w:pPr>
        <w:ind w:left="535" w:hanging="288"/>
      </w:pPr>
      <w:rPr>
        <w:rFonts w:ascii="Symbol" w:eastAsia="Symbol" w:hAnsi="Symbol" w:cs="Symbol" w:hint="default"/>
        <w:w w:val="100"/>
        <w:sz w:val="24"/>
        <w:szCs w:val="24"/>
      </w:rPr>
    </w:lvl>
    <w:lvl w:ilvl="1" w:tplc="E926EAE8">
      <w:numFmt w:val="bullet"/>
      <w:lvlText w:val="•"/>
      <w:lvlJc w:val="left"/>
      <w:pPr>
        <w:ind w:left="1402" w:hanging="288"/>
      </w:pPr>
      <w:rPr>
        <w:rFonts w:hint="default"/>
      </w:rPr>
    </w:lvl>
    <w:lvl w:ilvl="2" w:tplc="5E24E6A4">
      <w:numFmt w:val="bullet"/>
      <w:lvlText w:val="•"/>
      <w:lvlJc w:val="left"/>
      <w:pPr>
        <w:ind w:left="2264" w:hanging="288"/>
      </w:pPr>
      <w:rPr>
        <w:rFonts w:hint="default"/>
      </w:rPr>
    </w:lvl>
    <w:lvl w:ilvl="3" w:tplc="AF3619F8">
      <w:numFmt w:val="bullet"/>
      <w:lvlText w:val="•"/>
      <w:lvlJc w:val="left"/>
      <w:pPr>
        <w:ind w:left="3126" w:hanging="288"/>
      </w:pPr>
      <w:rPr>
        <w:rFonts w:hint="default"/>
      </w:rPr>
    </w:lvl>
    <w:lvl w:ilvl="4" w:tplc="809444C4">
      <w:numFmt w:val="bullet"/>
      <w:lvlText w:val="•"/>
      <w:lvlJc w:val="left"/>
      <w:pPr>
        <w:ind w:left="3989" w:hanging="288"/>
      </w:pPr>
      <w:rPr>
        <w:rFonts w:hint="default"/>
      </w:rPr>
    </w:lvl>
    <w:lvl w:ilvl="5" w:tplc="5F00210A">
      <w:numFmt w:val="bullet"/>
      <w:lvlText w:val="•"/>
      <w:lvlJc w:val="left"/>
      <w:pPr>
        <w:ind w:left="4851" w:hanging="288"/>
      </w:pPr>
      <w:rPr>
        <w:rFonts w:hint="default"/>
      </w:rPr>
    </w:lvl>
    <w:lvl w:ilvl="6" w:tplc="DDBE6B7A">
      <w:numFmt w:val="bullet"/>
      <w:lvlText w:val="•"/>
      <w:lvlJc w:val="left"/>
      <w:pPr>
        <w:ind w:left="5713" w:hanging="288"/>
      </w:pPr>
      <w:rPr>
        <w:rFonts w:hint="default"/>
      </w:rPr>
    </w:lvl>
    <w:lvl w:ilvl="7" w:tplc="86C0D8D6">
      <w:numFmt w:val="bullet"/>
      <w:lvlText w:val="•"/>
      <w:lvlJc w:val="left"/>
      <w:pPr>
        <w:ind w:left="6575" w:hanging="288"/>
      </w:pPr>
      <w:rPr>
        <w:rFonts w:hint="default"/>
      </w:rPr>
    </w:lvl>
    <w:lvl w:ilvl="8" w:tplc="49360D2A">
      <w:numFmt w:val="bullet"/>
      <w:lvlText w:val="•"/>
      <w:lvlJc w:val="left"/>
      <w:pPr>
        <w:ind w:left="7438" w:hanging="288"/>
      </w:pPr>
      <w:rPr>
        <w:rFonts w:hint="default"/>
      </w:rPr>
    </w:lvl>
  </w:abstractNum>
  <w:abstractNum w:abstractNumId="64" w15:restartNumberingAfterBreak="0">
    <w:nsid w:val="473462A3"/>
    <w:multiLevelType w:val="hybridMultilevel"/>
    <w:tmpl w:val="C60E9A24"/>
    <w:lvl w:ilvl="0" w:tplc="D98A22EE">
      <w:start w:val="1"/>
      <w:numFmt w:val="decimal"/>
      <w:lvlText w:val="(%1)"/>
      <w:lvlJc w:val="left"/>
      <w:pPr>
        <w:ind w:left="820" w:hanging="360"/>
      </w:pPr>
      <w:rPr>
        <w:rFonts w:ascii="Times New Roman" w:eastAsia="Times New Roman" w:hAnsi="Times New Roman" w:cs="Times New Roman" w:hint="default"/>
        <w:w w:val="99"/>
        <w:sz w:val="24"/>
        <w:szCs w:val="24"/>
      </w:rPr>
    </w:lvl>
    <w:lvl w:ilvl="1" w:tplc="7C4C0710">
      <w:numFmt w:val="bullet"/>
      <w:lvlText w:val="•"/>
      <w:lvlJc w:val="left"/>
      <w:pPr>
        <w:ind w:left="1716" w:hanging="360"/>
      </w:pPr>
      <w:rPr>
        <w:rFonts w:hint="default"/>
      </w:rPr>
    </w:lvl>
    <w:lvl w:ilvl="2" w:tplc="6BD2DEB6">
      <w:numFmt w:val="bullet"/>
      <w:lvlText w:val="•"/>
      <w:lvlJc w:val="left"/>
      <w:pPr>
        <w:ind w:left="2612" w:hanging="360"/>
      </w:pPr>
      <w:rPr>
        <w:rFonts w:hint="default"/>
      </w:rPr>
    </w:lvl>
    <w:lvl w:ilvl="3" w:tplc="827A0052">
      <w:numFmt w:val="bullet"/>
      <w:lvlText w:val="•"/>
      <w:lvlJc w:val="left"/>
      <w:pPr>
        <w:ind w:left="3508" w:hanging="360"/>
      </w:pPr>
      <w:rPr>
        <w:rFonts w:hint="default"/>
      </w:rPr>
    </w:lvl>
    <w:lvl w:ilvl="4" w:tplc="A6D01B3E">
      <w:numFmt w:val="bullet"/>
      <w:lvlText w:val="•"/>
      <w:lvlJc w:val="left"/>
      <w:pPr>
        <w:ind w:left="4404" w:hanging="360"/>
      </w:pPr>
      <w:rPr>
        <w:rFonts w:hint="default"/>
      </w:rPr>
    </w:lvl>
    <w:lvl w:ilvl="5" w:tplc="955EB1E0">
      <w:numFmt w:val="bullet"/>
      <w:lvlText w:val="•"/>
      <w:lvlJc w:val="left"/>
      <w:pPr>
        <w:ind w:left="5300" w:hanging="360"/>
      </w:pPr>
      <w:rPr>
        <w:rFonts w:hint="default"/>
      </w:rPr>
    </w:lvl>
    <w:lvl w:ilvl="6" w:tplc="864E008E">
      <w:numFmt w:val="bullet"/>
      <w:lvlText w:val="•"/>
      <w:lvlJc w:val="left"/>
      <w:pPr>
        <w:ind w:left="6196" w:hanging="360"/>
      </w:pPr>
      <w:rPr>
        <w:rFonts w:hint="default"/>
      </w:rPr>
    </w:lvl>
    <w:lvl w:ilvl="7" w:tplc="A82E649C">
      <w:numFmt w:val="bullet"/>
      <w:lvlText w:val="•"/>
      <w:lvlJc w:val="left"/>
      <w:pPr>
        <w:ind w:left="7092" w:hanging="360"/>
      </w:pPr>
      <w:rPr>
        <w:rFonts w:hint="default"/>
      </w:rPr>
    </w:lvl>
    <w:lvl w:ilvl="8" w:tplc="4FF86484">
      <w:numFmt w:val="bullet"/>
      <w:lvlText w:val="•"/>
      <w:lvlJc w:val="left"/>
      <w:pPr>
        <w:ind w:left="7988" w:hanging="360"/>
      </w:pPr>
      <w:rPr>
        <w:rFonts w:hint="default"/>
      </w:rPr>
    </w:lvl>
  </w:abstractNum>
  <w:abstractNum w:abstractNumId="65" w15:restartNumberingAfterBreak="0">
    <w:nsid w:val="48B47795"/>
    <w:multiLevelType w:val="hybridMultilevel"/>
    <w:tmpl w:val="BEBCE708"/>
    <w:lvl w:ilvl="0" w:tplc="B2F03C7E">
      <w:numFmt w:val="bullet"/>
      <w:lvlText w:val=""/>
      <w:lvlJc w:val="left"/>
      <w:pPr>
        <w:ind w:left="460" w:hanging="720"/>
      </w:pPr>
      <w:rPr>
        <w:rFonts w:ascii="Symbol" w:eastAsia="Symbol" w:hAnsi="Symbol" w:cs="Symbol" w:hint="default"/>
        <w:w w:val="99"/>
        <w:sz w:val="20"/>
        <w:szCs w:val="20"/>
      </w:rPr>
    </w:lvl>
    <w:lvl w:ilvl="1" w:tplc="285CB018">
      <w:numFmt w:val="bullet"/>
      <w:lvlText w:val="•"/>
      <w:lvlJc w:val="left"/>
      <w:pPr>
        <w:ind w:left="1394" w:hanging="720"/>
      </w:pPr>
      <w:rPr>
        <w:rFonts w:hint="default"/>
      </w:rPr>
    </w:lvl>
    <w:lvl w:ilvl="2" w:tplc="1EBA50F4">
      <w:numFmt w:val="bullet"/>
      <w:lvlText w:val="•"/>
      <w:lvlJc w:val="left"/>
      <w:pPr>
        <w:ind w:left="2328" w:hanging="720"/>
      </w:pPr>
      <w:rPr>
        <w:rFonts w:hint="default"/>
      </w:rPr>
    </w:lvl>
    <w:lvl w:ilvl="3" w:tplc="10587772">
      <w:numFmt w:val="bullet"/>
      <w:lvlText w:val="•"/>
      <w:lvlJc w:val="left"/>
      <w:pPr>
        <w:ind w:left="3262" w:hanging="720"/>
      </w:pPr>
      <w:rPr>
        <w:rFonts w:hint="default"/>
      </w:rPr>
    </w:lvl>
    <w:lvl w:ilvl="4" w:tplc="AD284FF8">
      <w:numFmt w:val="bullet"/>
      <w:lvlText w:val="•"/>
      <w:lvlJc w:val="left"/>
      <w:pPr>
        <w:ind w:left="4196" w:hanging="720"/>
      </w:pPr>
      <w:rPr>
        <w:rFonts w:hint="default"/>
      </w:rPr>
    </w:lvl>
    <w:lvl w:ilvl="5" w:tplc="70FE48F6">
      <w:numFmt w:val="bullet"/>
      <w:lvlText w:val="•"/>
      <w:lvlJc w:val="left"/>
      <w:pPr>
        <w:ind w:left="5130" w:hanging="720"/>
      </w:pPr>
      <w:rPr>
        <w:rFonts w:hint="default"/>
      </w:rPr>
    </w:lvl>
    <w:lvl w:ilvl="6" w:tplc="8E56FC38">
      <w:numFmt w:val="bullet"/>
      <w:lvlText w:val="•"/>
      <w:lvlJc w:val="left"/>
      <w:pPr>
        <w:ind w:left="6064" w:hanging="720"/>
      </w:pPr>
      <w:rPr>
        <w:rFonts w:hint="default"/>
      </w:rPr>
    </w:lvl>
    <w:lvl w:ilvl="7" w:tplc="A3301298">
      <w:numFmt w:val="bullet"/>
      <w:lvlText w:val="•"/>
      <w:lvlJc w:val="left"/>
      <w:pPr>
        <w:ind w:left="6998" w:hanging="720"/>
      </w:pPr>
      <w:rPr>
        <w:rFonts w:hint="default"/>
      </w:rPr>
    </w:lvl>
    <w:lvl w:ilvl="8" w:tplc="93A217C4">
      <w:numFmt w:val="bullet"/>
      <w:lvlText w:val="•"/>
      <w:lvlJc w:val="left"/>
      <w:pPr>
        <w:ind w:left="7932" w:hanging="720"/>
      </w:pPr>
      <w:rPr>
        <w:rFonts w:hint="default"/>
      </w:rPr>
    </w:lvl>
  </w:abstractNum>
  <w:abstractNum w:abstractNumId="66" w15:restartNumberingAfterBreak="0">
    <w:nsid w:val="4BD60FA3"/>
    <w:multiLevelType w:val="hybridMultilevel"/>
    <w:tmpl w:val="309E9C3C"/>
    <w:lvl w:ilvl="0" w:tplc="15B6446A">
      <w:numFmt w:val="bullet"/>
      <w:lvlText w:val=""/>
      <w:lvlJc w:val="left"/>
      <w:pPr>
        <w:ind w:left="535" w:hanging="288"/>
      </w:pPr>
      <w:rPr>
        <w:rFonts w:ascii="Symbol" w:eastAsia="Symbol" w:hAnsi="Symbol" w:cs="Symbol" w:hint="default"/>
        <w:w w:val="100"/>
        <w:sz w:val="24"/>
        <w:szCs w:val="24"/>
      </w:rPr>
    </w:lvl>
    <w:lvl w:ilvl="1" w:tplc="E59076C4">
      <w:numFmt w:val="bullet"/>
      <w:lvlText w:val="•"/>
      <w:lvlJc w:val="left"/>
      <w:pPr>
        <w:ind w:left="1402" w:hanging="288"/>
      </w:pPr>
      <w:rPr>
        <w:rFonts w:hint="default"/>
      </w:rPr>
    </w:lvl>
    <w:lvl w:ilvl="2" w:tplc="C0B42996">
      <w:numFmt w:val="bullet"/>
      <w:lvlText w:val="•"/>
      <w:lvlJc w:val="left"/>
      <w:pPr>
        <w:ind w:left="2264" w:hanging="288"/>
      </w:pPr>
      <w:rPr>
        <w:rFonts w:hint="default"/>
      </w:rPr>
    </w:lvl>
    <w:lvl w:ilvl="3" w:tplc="B2005AAA">
      <w:numFmt w:val="bullet"/>
      <w:lvlText w:val="•"/>
      <w:lvlJc w:val="left"/>
      <w:pPr>
        <w:ind w:left="3126" w:hanging="288"/>
      </w:pPr>
      <w:rPr>
        <w:rFonts w:hint="default"/>
      </w:rPr>
    </w:lvl>
    <w:lvl w:ilvl="4" w:tplc="7F86D9A2">
      <w:numFmt w:val="bullet"/>
      <w:lvlText w:val="•"/>
      <w:lvlJc w:val="left"/>
      <w:pPr>
        <w:ind w:left="3989" w:hanging="288"/>
      </w:pPr>
      <w:rPr>
        <w:rFonts w:hint="default"/>
      </w:rPr>
    </w:lvl>
    <w:lvl w:ilvl="5" w:tplc="CB587CA8">
      <w:numFmt w:val="bullet"/>
      <w:lvlText w:val="•"/>
      <w:lvlJc w:val="left"/>
      <w:pPr>
        <w:ind w:left="4851" w:hanging="288"/>
      </w:pPr>
      <w:rPr>
        <w:rFonts w:hint="default"/>
      </w:rPr>
    </w:lvl>
    <w:lvl w:ilvl="6" w:tplc="B2749F70">
      <w:numFmt w:val="bullet"/>
      <w:lvlText w:val="•"/>
      <w:lvlJc w:val="left"/>
      <w:pPr>
        <w:ind w:left="5713" w:hanging="288"/>
      </w:pPr>
      <w:rPr>
        <w:rFonts w:hint="default"/>
      </w:rPr>
    </w:lvl>
    <w:lvl w:ilvl="7" w:tplc="3412FE08">
      <w:numFmt w:val="bullet"/>
      <w:lvlText w:val="•"/>
      <w:lvlJc w:val="left"/>
      <w:pPr>
        <w:ind w:left="6575" w:hanging="288"/>
      </w:pPr>
      <w:rPr>
        <w:rFonts w:hint="default"/>
      </w:rPr>
    </w:lvl>
    <w:lvl w:ilvl="8" w:tplc="103AD86C">
      <w:numFmt w:val="bullet"/>
      <w:lvlText w:val="•"/>
      <w:lvlJc w:val="left"/>
      <w:pPr>
        <w:ind w:left="7438" w:hanging="288"/>
      </w:pPr>
      <w:rPr>
        <w:rFonts w:hint="default"/>
      </w:rPr>
    </w:lvl>
  </w:abstractNum>
  <w:abstractNum w:abstractNumId="67" w15:restartNumberingAfterBreak="0">
    <w:nsid w:val="4C15184E"/>
    <w:multiLevelType w:val="multilevel"/>
    <w:tmpl w:val="55BA5286"/>
    <w:lvl w:ilvl="0">
      <w:start w:val="1"/>
      <w:numFmt w:val="upperRoman"/>
      <w:lvlText w:val="%1"/>
      <w:lvlJc w:val="left"/>
      <w:pPr>
        <w:ind w:left="820" w:hanging="720"/>
      </w:pPr>
      <w:rPr>
        <w:rFonts w:hint="default"/>
      </w:rPr>
    </w:lvl>
    <w:lvl w:ilvl="1">
      <w:start w:val="1"/>
      <w:numFmt w:val="upperLetter"/>
      <w:lvlText w:val="%1.%2."/>
      <w:lvlJc w:val="left"/>
      <w:pPr>
        <w:ind w:left="820" w:hanging="720"/>
      </w:pPr>
      <w:rPr>
        <w:rFonts w:ascii="Times New Roman" w:eastAsia="Times New Roman" w:hAnsi="Times New Roman" w:cs="Times New Roman" w:hint="default"/>
        <w:b/>
        <w:bCs/>
        <w:spacing w:val="-15"/>
        <w:w w:val="99"/>
        <w:sz w:val="24"/>
        <w:szCs w:val="24"/>
      </w:rPr>
    </w:lvl>
    <w:lvl w:ilvl="2">
      <w:numFmt w:val="bullet"/>
      <w:lvlText w:val=""/>
      <w:lvlJc w:val="left"/>
      <w:pPr>
        <w:ind w:left="580" w:hanging="360"/>
      </w:pPr>
      <w:rPr>
        <w:rFonts w:ascii="Symbol" w:eastAsia="Symbol" w:hAnsi="Symbol" w:cs="Symbol" w:hint="default"/>
        <w:w w:val="100"/>
        <w:sz w:val="24"/>
        <w:szCs w:val="24"/>
      </w:rPr>
    </w:lvl>
    <w:lvl w:ilvl="3">
      <w:numFmt w:val="bullet"/>
      <w:lvlText w:val="-"/>
      <w:lvlJc w:val="left"/>
      <w:pPr>
        <w:ind w:left="940" w:hanging="360"/>
      </w:pPr>
      <w:rPr>
        <w:rFonts w:ascii="Arial" w:eastAsia="Arial" w:hAnsi="Arial" w:cs="Arial" w:hint="default"/>
        <w:spacing w:val="-2"/>
        <w:w w:val="99"/>
        <w:sz w:val="24"/>
        <w:szCs w:val="24"/>
      </w:rPr>
    </w:lvl>
    <w:lvl w:ilvl="4">
      <w:numFmt w:val="bullet"/>
      <w:lvlText w:val="o"/>
      <w:lvlJc w:val="left"/>
      <w:pPr>
        <w:ind w:left="1300" w:hanging="360"/>
      </w:pPr>
      <w:rPr>
        <w:rFonts w:ascii="Times New Roman" w:eastAsia="Times New Roman" w:hAnsi="Times New Roman" w:cs="Times New Roman" w:hint="default"/>
        <w:w w:val="99"/>
        <w:sz w:val="20"/>
        <w:szCs w:val="20"/>
      </w:rPr>
    </w:lvl>
    <w:lvl w:ilvl="5">
      <w:numFmt w:val="bullet"/>
      <w:lvlText w:val="•"/>
      <w:lvlJc w:val="left"/>
      <w:pPr>
        <w:ind w:left="2686" w:hanging="360"/>
      </w:pPr>
      <w:rPr>
        <w:rFonts w:hint="default"/>
      </w:rPr>
    </w:lvl>
    <w:lvl w:ilvl="6">
      <w:numFmt w:val="bullet"/>
      <w:lvlText w:val="•"/>
      <w:lvlJc w:val="left"/>
      <w:pPr>
        <w:ind w:left="4073" w:hanging="360"/>
      </w:pPr>
      <w:rPr>
        <w:rFonts w:hint="default"/>
      </w:rPr>
    </w:lvl>
    <w:lvl w:ilvl="7">
      <w:numFmt w:val="bullet"/>
      <w:lvlText w:val="•"/>
      <w:lvlJc w:val="left"/>
      <w:pPr>
        <w:ind w:left="5460" w:hanging="360"/>
      </w:pPr>
      <w:rPr>
        <w:rFonts w:hint="default"/>
      </w:rPr>
    </w:lvl>
    <w:lvl w:ilvl="8">
      <w:numFmt w:val="bullet"/>
      <w:lvlText w:val="•"/>
      <w:lvlJc w:val="left"/>
      <w:pPr>
        <w:ind w:left="6846" w:hanging="360"/>
      </w:pPr>
      <w:rPr>
        <w:rFonts w:hint="default"/>
      </w:rPr>
    </w:lvl>
  </w:abstractNum>
  <w:abstractNum w:abstractNumId="68" w15:restartNumberingAfterBreak="0">
    <w:nsid w:val="50AD33F6"/>
    <w:multiLevelType w:val="hybridMultilevel"/>
    <w:tmpl w:val="69F8ADA8"/>
    <w:lvl w:ilvl="0" w:tplc="92BA8802">
      <w:start w:val="1"/>
      <w:numFmt w:val="lowerLetter"/>
      <w:lvlText w:val="(%1)"/>
      <w:lvlJc w:val="left"/>
      <w:pPr>
        <w:ind w:left="432" w:hanging="325"/>
      </w:pPr>
      <w:rPr>
        <w:rFonts w:ascii="Times New Roman" w:eastAsia="Times New Roman" w:hAnsi="Times New Roman" w:cs="Times New Roman" w:hint="default"/>
        <w:spacing w:val="-3"/>
        <w:w w:val="99"/>
        <w:sz w:val="24"/>
        <w:szCs w:val="24"/>
      </w:rPr>
    </w:lvl>
    <w:lvl w:ilvl="1" w:tplc="3DF65F02">
      <w:start w:val="1"/>
      <w:numFmt w:val="decimal"/>
      <w:lvlText w:val="(%2)"/>
      <w:lvlJc w:val="left"/>
      <w:pPr>
        <w:ind w:left="108" w:hanging="339"/>
      </w:pPr>
      <w:rPr>
        <w:rFonts w:ascii="Times New Roman" w:eastAsia="Times New Roman" w:hAnsi="Times New Roman" w:cs="Times New Roman" w:hint="default"/>
        <w:w w:val="99"/>
        <w:sz w:val="24"/>
        <w:szCs w:val="24"/>
      </w:rPr>
    </w:lvl>
    <w:lvl w:ilvl="2" w:tplc="540EEE3E">
      <w:numFmt w:val="bullet"/>
      <w:lvlText w:val="•"/>
      <w:lvlJc w:val="left"/>
      <w:pPr>
        <w:ind w:left="1455" w:hanging="339"/>
      </w:pPr>
      <w:rPr>
        <w:rFonts w:hint="default"/>
      </w:rPr>
    </w:lvl>
    <w:lvl w:ilvl="3" w:tplc="858CDA40">
      <w:numFmt w:val="bullet"/>
      <w:lvlText w:val="•"/>
      <w:lvlJc w:val="left"/>
      <w:pPr>
        <w:ind w:left="2470" w:hanging="339"/>
      </w:pPr>
      <w:rPr>
        <w:rFonts w:hint="default"/>
      </w:rPr>
    </w:lvl>
    <w:lvl w:ilvl="4" w:tplc="60AE4BDC">
      <w:numFmt w:val="bullet"/>
      <w:lvlText w:val="•"/>
      <w:lvlJc w:val="left"/>
      <w:pPr>
        <w:ind w:left="3485" w:hanging="339"/>
      </w:pPr>
      <w:rPr>
        <w:rFonts w:hint="default"/>
      </w:rPr>
    </w:lvl>
    <w:lvl w:ilvl="5" w:tplc="94449492">
      <w:numFmt w:val="bullet"/>
      <w:lvlText w:val="•"/>
      <w:lvlJc w:val="left"/>
      <w:pPr>
        <w:ind w:left="4501" w:hanging="339"/>
      </w:pPr>
      <w:rPr>
        <w:rFonts w:hint="default"/>
      </w:rPr>
    </w:lvl>
    <w:lvl w:ilvl="6" w:tplc="35FA2AE6">
      <w:numFmt w:val="bullet"/>
      <w:lvlText w:val="•"/>
      <w:lvlJc w:val="left"/>
      <w:pPr>
        <w:ind w:left="5516" w:hanging="339"/>
      </w:pPr>
      <w:rPr>
        <w:rFonts w:hint="default"/>
      </w:rPr>
    </w:lvl>
    <w:lvl w:ilvl="7" w:tplc="139A76EA">
      <w:numFmt w:val="bullet"/>
      <w:lvlText w:val="•"/>
      <w:lvlJc w:val="left"/>
      <w:pPr>
        <w:ind w:left="6531" w:hanging="339"/>
      </w:pPr>
      <w:rPr>
        <w:rFonts w:hint="default"/>
      </w:rPr>
    </w:lvl>
    <w:lvl w:ilvl="8" w:tplc="6736F610">
      <w:numFmt w:val="bullet"/>
      <w:lvlText w:val="•"/>
      <w:lvlJc w:val="left"/>
      <w:pPr>
        <w:ind w:left="7546" w:hanging="339"/>
      </w:pPr>
      <w:rPr>
        <w:rFonts w:hint="default"/>
      </w:rPr>
    </w:lvl>
  </w:abstractNum>
  <w:abstractNum w:abstractNumId="69" w15:restartNumberingAfterBreak="0">
    <w:nsid w:val="51EF13B5"/>
    <w:multiLevelType w:val="hybridMultilevel"/>
    <w:tmpl w:val="7D1C25F4"/>
    <w:lvl w:ilvl="0" w:tplc="85069852">
      <w:start w:val="2"/>
      <w:numFmt w:val="upperRoman"/>
      <w:lvlText w:val="%1"/>
      <w:lvlJc w:val="left"/>
      <w:pPr>
        <w:ind w:left="820" w:hanging="720"/>
      </w:pPr>
      <w:rPr>
        <w:rFonts w:hint="default"/>
      </w:rPr>
    </w:lvl>
    <w:lvl w:ilvl="1" w:tplc="28F6ECDC">
      <w:start w:val="2"/>
      <w:numFmt w:val="upperRoman"/>
      <w:lvlText w:val="%2."/>
      <w:lvlJc w:val="left"/>
      <w:pPr>
        <w:ind w:left="345" w:hanging="245"/>
      </w:pPr>
      <w:rPr>
        <w:rFonts w:ascii="Times New Roman" w:eastAsia="Times New Roman" w:hAnsi="Times New Roman" w:cs="Times New Roman" w:hint="default"/>
        <w:b/>
        <w:bCs/>
        <w:spacing w:val="-2"/>
        <w:w w:val="99"/>
        <w:sz w:val="24"/>
        <w:szCs w:val="24"/>
      </w:rPr>
    </w:lvl>
    <w:lvl w:ilvl="2" w:tplc="62FA7E5C">
      <w:numFmt w:val="bullet"/>
      <w:lvlText w:val=""/>
      <w:lvlJc w:val="left"/>
      <w:pPr>
        <w:ind w:left="590" w:hanging="358"/>
      </w:pPr>
      <w:rPr>
        <w:rFonts w:ascii="Symbol" w:eastAsia="Symbol" w:hAnsi="Symbol" w:cs="Symbol" w:hint="default"/>
        <w:w w:val="100"/>
        <w:sz w:val="24"/>
        <w:szCs w:val="24"/>
      </w:rPr>
    </w:lvl>
    <w:lvl w:ilvl="3" w:tplc="2F7C099A">
      <w:numFmt w:val="bullet"/>
      <w:lvlText w:val="•"/>
      <w:lvlJc w:val="left"/>
      <w:pPr>
        <w:ind w:left="1920" w:hanging="358"/>
      </w:pPr>
      <w:rPr>
        <w:rFonts w:hint="default"/>
      </w:rPr>
    </w:lvl>
    <w:lvl w:ilvl="4" w:tplc="BBFC5170">
      <w:numFmt w:val="bullet"/>
      <w:lvlText w:val="•"/>
      <w:lvlJc w:val="left"/>
      <w:pPr>
        <w:ind w:left="3020" w:hanging="358"/>
      </w:pPr>
      <w:rPr>
        <w:rFonts w:hint="default"/>
      </w:rPr>
    </w:lvl>
    <w:lvl w:ilvl="5" w:tplc="A1E8CD52">
      <w:numFmt w:val="bullet"/>
      <w:lvlText w:val="•"/>
      <w:lvlJc w:val="left"/>
      <w:pPr>
        <w:ind w:left="4120" w:hanging="358"/>
      </w:pPr>
      <w:rPr>
        <w:rFonts w:hint="default"/>
      </w:rPr>
    </w:lvl>
    <w:lvl w:ilvl="6" w:tplc="38F4430C">
      <w:numFmt w:val="bullet"/>
      <w:lvlText w:val="•"/>
      <w:lvlJc w:val="left"/>
      <w:pPr>
        <w:ind w:left="5220" w:hanging="358"/>
      </w:pPr>
      <w:rPr>
        <w:rFonts w:hint="default"/>
      </w:rPr>
    </w:lvl>
    <w:lvl w:ilvl="7" w:tplc="808C003C">
      <w:numFmt w:val="bullet"/>
      <w:lvlText w:val="•"/>
      <w:lvlJc w:val="left"/>
      <w:pPr>
        <w:ind w:left="6320" w:hanging="358"/>
      </w:pPr>
      <w:rPr>
        <w:rFonts w:hint="default"/>
      </w:rPr>
    </w:lvl>
    <w:lvl w:ilvl="8" w:tplc="4AE83632">
      <w:numFmt w:val="bullet"/>
      <w:lvlText w:val="•"/>
      <w:lvlJc w:val="left"/>
      <w:pPr>
        <w:ind w:left="7420" w:hanging="358"/>
      </w:pPr>
      <w:rPr>
        <w:rFonts w:hint="default"/>
      </w:rPr>
    </w:lvl>
  </w:abstractNum>
  <w:abstractNum w:abstractNumId="70" w15:restartNumberingAfterBreak="0">
    <w:nsid w:val="5212543D"/>
    <w:multiLevelType w:val="multilevel"/>
    <w:tmpl w:val="4A643B2A"/>
    <w:lvl w:ilvl="0">
      <w:start w:val="3"/>
      <w:numFmt w:val="upperRoman"/>
      <w:lvlText w:val="%1"/>
      <w:lvlJc w:val="left"/>
      <w:pPr>
        <w:ind w:left="721" w:hanging="622"/>
      </w:pPr>
      <w:rPr>
        <w:rFonts w:hint="default"/>
      </w:rPr>
    </w:lvl>
    <w:lvl w:ilvl="1">
      <w:start w:val="2"/>
      <w:numFmt w:val="upperLetter"/>
      <w:lvlText w:val="%1.%2."/>
      <w:lvlJc w:val="left"/>
      <w:pPr>
        <w:ind w:left="721" w:hanging="622"/>
      </w:pPr>
      <w:rPr>
        <w:rFonts w:ascii="Times New Roman" w:eastAsia="Times New Roman" w:hAnsi="Times New Roman" w:cs="Times New Roman" w:hint="default"/>
        <w:b/>
        <w:bCs/>
        <w:spacing w:val="-3"/>
        <w:w w:val="99"/>
        <w:sz w:val="24"/>
        <w:szCs w:val="24"/>
      </w:rPr>
    </w:lvl>
    <w:lvl w:ilvl="2">
      <w:numFmt w:val="bullet"/>
      <w:lvlText w:val="•"/>
      <w:lvlJc w:val="left"/>
      <w:pPr>
        <w:ind w:left="2496" w:hanging="622"/>
      </w:pPr>
      <w:rPr>
        <w:rFonts w:hint="default"/>
      </w:rPr>
    </w:lvl>
    <w:lvl w:ilvl="3">
      <w:numFmt w:val="bullet"/>
      <w:lvlText w:val="•"/>
      <w:lvlJc w:val="left"/>
      <w:pPr>
        <w:ind w:left="3384" w:hanging="622"/>
      </w:pPr>
      <w:rPr>
        <w:rFonts w:hint="default"/>
      </w:rPr>
    </w:lvl>
    <w:lvl w:ilvl="4">
      <w:numFmt w:val="bullet"/>
      <w:lvlText w:val="•"/>
      <w:lvlJc w:val="left"/>
      <w:pPr>
        <w:ind w:left="4272" w:hanging="622"/>
      </w:pPr>
      <w:rPr>
        <w:rFonts w:hint="default"/>
      </w:rPr>
    </w:lvl>
    <w:lvl w:ilvl="5">
      <w:numFmt w:val="bullet"/>
      <w:lvlText w:val="•"/>
      <w:lvlJc w:val="left"/>
      <w:pPr>
        <w:ind w:left="5160" w:hanging="622"/>
      </w:pPr>
      <w:rPr>
        <w:rFonts w:hint="default"/>
      </w:rPr>
    </w:lvl>
    <w:lvl w:ilvl="6">
      <w:numFmt w:val="bullet"/>
      <w:lvlText w:val="•"/>
      <w:lvlJc w:val="left"/>
      <w:pPr>
        <w:ind w:left="6048" w:hanging="622"/>
      </w:pPr>
      <w:rPr>
        <w:rFonts w:hint="default"/>
      </w:rPr>
    </w:lvl>
    <w:lvl w:ilvl="7">
      <w:numFmt w:val="bullet"/>
      <w:lvlText w:val="•"/>
      <w:lvlJc w:val="left"/>
      <w:pPr>
        <w:ind w:left="6936" w:hanging="622"/>
      </w:pPr>
      <w:rPr>
        <w:rFonts w:hint="default"/>
      </w:rPr>
    </w:lvl>
    <w:lvl w:ilvl="8">
      <w:numFmt w:val="bullet"/>
      <w:lvlText w:val="•"/>
      <w:lvlJc w:val="left"/>
      <w:pPr>
        <w:ind w:left="7824" w:hanging="622"/>
      </w:pPr>
      <w:rPr>
        <w:rFonts w:hint="default"/>
      </w:rPr>
    </w:lvl>
  </w:abstractNum>
  <w:abstractNum w:abstractNumId="71" w15:restartNumberingAfterBreak="0">
    <w:nsid w:val="521A66A5"/>
    <w:multiLevelType w:val="hybridMultilevel"/>
    <w:tmpl w:val="13949548"/>
    <w:lvl w:ilvl="0" w:tplc="75E679B6">
      <w:start w:val="1"/>
      <w:numFmt w:val="decimal"/>
      <w:lvlText w:val="(%1)"/>
      <w:lvlJc w:val="left"/>
      <w:pPr>
        <w:ind w:left="220" w:hanging="339"/>
      </w:pPr>
      <w:rPr>
        <w:rFonts w:ascii="Times New Roman" w:eastAsia="Times New Roman" w:hAnsi="Times New Roman" w:cs="Times New Roman" w:hint="default"/>
        <w:w w:val="99"/>
        <w:sz w:val="24"/>
        <w:szCs w:val="24"/>
      </w:rPr>
    </w:lvl>
    <w:lvl w:ilvl="1" w:tplc="BD40E104">
      <w:numFmt w:val="bullet"/>
      <w:lvlText w:val="•"/>
      <w:lvlJc w:val="left"/>
      <w:pPr>
        <w:ind w:left="671" w:hanging="339"/>
      </w:pPr>
      <w:rPr>
        <w:rFonts w:hint="default"/>
      </w:rPr>
    </w:lvl>
    <w:lvl w:ilvl="2" w:tplc="DF2A004A">
      <w:numFmt w:val="bullet"/>
      <w:lvlText w:val="•"/>
      <w:lvlJc w:val="left"/>
      <w:pPr>
        <w:ind w:left="1122" w:hanging="339"/>
      </w:pPr>
      <w:rPr>
        <w:rFonts w:hint="default"/>
      </w:rPr>
    </w:lvl>
    <w:lvl w:ilvl="3" w:tplc="588E938A">
      <w:numFmt w:val="bullet"/>
      <w:lvlText w:val="•"/>
      <w:lvlJc w:val="left"/>
      <w:pPr>
        <w:ind w:left="1574" w:hanging="339"/>
      </w:pPr>
      <w:rPr>
        <w:rFonts w:hint="default"/>
      </w:rPr>
    </w:lvl>
    <w:lvl w:ilvl="4" w:tplc="842C0DA8">
      <w:numFmt w:val="bullet"/>
      <w:lvlText w:val="•"/>
      <w:lvlJc w:val="left"/>
      <w:pPr>
        <w:ind w:left="2025" w:hanging="339"/>
      </w:pPr>
      <w:rPr>
        <w:rFonts w:hint="default"/>
      </w:rPr>
    </w:lvl>
    <w:lvl w:ilvl="5" w:tplc="4ADAE0C4">
      <w:numFmt w:val="bullet"/>
      <w:lvlText w:val="•"/>
      <w:lvlJc w:val="left"/>
      <w:pPr>
        <w:ind w:left="2476" w:hanging="339"/>
      </w:pPr>
      <w:rPr>
        <w:rFonts w:hint="default"/>
      </w:rPr>
    </w:lvl>
    <w:lvl w:ilvl="6" w:tplc="41DCF614">
      <w:numFmt w:val="bullet"/>
      <w:lvlText w:val="•"/>
      <w:lvlJc w:val="left"/>
      <w:pPr>
        <w:ind w:left="2928" w:hanging="339"/>
      </w:pPr>
      <w:rPr>
        <w:rFonts w:hint="default"/>
      </w:rPr>
    </w:lvl>
    <w:lvl w:ilvl="7" w:tplc="228EE59C">
      <w:numFmt w:val="bullet"/>
      <w:lvlText w:val="•"/>
      <w:lvlJc w:val="left"/>
      <w:pPr>
        <w:ind w:left="3379" w:hanging="339"/>
      </w:pPr>
      <w:rPr>
        <w:rFonts w:hint="default"/>
      </w:rPr>
    </w:lvl>
    <w:lvl w:ilvl="8" w:tplc="4502BFB4">
      <w:numFmt w:val="bullet"/>
      <w:lvlText w:val="•"/>
      <w:lvlJc w:val="left"/>
      <w:pPr>
        <w:ind w:left="3830" w:hanging="339"/>
      </w:pPr>
      <w:rPr>
        <w:rFonts w:hint="default"/>
      </w:rPr>
    </w:lvl>
  </w:abstractNum>
  <w:abstractNum w:abstractNumId="72" w15:restartNumberingAfterBreak="0">
    <w:nsid w:val="53C157C4"/>
    <w:multiLevelType w:val="hybridMultilevel"/>
    <w:tmpl w:val="9C8E98B4"/>
    <w:lvl w:ilvl="0" w:tplc="AD5C56EC">
      <w:start w:val="2"/>
      <w:numFmt w:val="upperLetter"/>
      <w:lvlText w:val="(%1)"/>
      <w:lvlJc w:val="left"/>
      <w:pPr>
        <w:ind w:left="1180" w:hanging="360"/>
      </w:pPr>
      <w:rPr>
        <w:rFonts w:ascii="Times New Roman" w:eastAsia="Times New Roman" w:hAnsi="Times New Roman" w:cs="Times New Roman" w:hint="default"/>
        <w:spacing w:val="-3"/>
        <w:w w:val="99"/>
        <w:sz w:val="24"/>
        <w:szCs w:val="24"/>
      </w:rPr>
    </w:lvl>
    <w:lvl w:ilvl="1" w:tplc="109EB90C">
      <w:numFmt w:val="bullet"/>
      <w:lvlText w:val="•"/>
      <w:lvlJc w:val="left"/>
      <w:pPr>
        <w:ind w:left="2012" w:hanging="360"/>
      </w:pPr>
      <w:rPr>
        <w:rFonts w:hint="default"/>
      </w:rPr>
    </w:lvl>
    <w:lvl w:ilvl="2" w:tplc="721E858A">
      <w:numFmt w:val="bullet"/>
      <w:lvlText w:val="•"/>
      <w:lvlJc w:val="left"/>
      <w:pPr>
        <w:ind w:left="2844" w:hanging="360"/>
      </w:pPr>
      <w:rPr>
        <w:rFonts w:hint="default"/>
      </w:rPr>
    </w:lvl>
    <w:lvl w:ilvl="3" w:tplc="67BC1D0C">
      <w:numFmt w:val="bullet"/>
      <w:lvlText w:val="•"/>
      <w:lvlJc w:val="left"/>
      <w:pPr>
        <w:ind w:left="3676" w:hanging="360"/>
      </w:pPr>
      <w:rPr>
        <w:rFonts w:hint="default"/>
      </w:rPr>
    </w:lvl>
    <w:lvl w:ilvl="4" w:tplc="CD9C8AB4">
      <w:numFmt w:val="bullet"/>
      <w:lvlText w:val="•"/>
      <w:lvlJc w:val="left"/>
      <w:pPr>
        <w:ind w:left="4508" w:hanging="360"/>
      </w:pPr>
      <w:rPr>
        <w:rFonts w:hint="default"/>
      </w:rPr>
    </w:lvl>
    <w:lvl w:ilvl="5" w:tplc="C24443BC">
      <w:numFmt w:val="bullet"/>
      <w:lvlText w:val="•"/>
      <w:lvlJc w:val="left"/>
      <w:pPr>
        <w:ind w:left="5340" w:hanging="360"/>
      </w:pPr>
      <w:rPr>
        <w:rFonts w:hint="default"/>
      </w:rPr>
    </w:lvl>
    <w:lvl w:ilvl="6" w:tplc="07A6A712">
      <w:numFmt w:val="bullet"/>
      <w:lvlText w:val="•"/>
      <w:lvlJc w:val="left"/>
      <w:pPr>
        <w:ind w:left="6172" w:hanging="360"/>
      </w:pPr>
      <w:rPr>
        <w:rFonts w:hint="default"/>
      </w:rPr>
    </w:lvl>
    <w:lvl w:ilvl="7" w:tplc="E384F8F2">
      <w:numFmt w:val="bullet"/>
      <w:lvlText w:val="•"/>
      <w:lvlJc w:val="left"/>
      <w:pPr>
        <w:ind w:left="7004" w:hanging="360"/>
      </w:pPr>
      <w:rPr>
        <w:rFonts w:hint="default"/>
      </w:rPr>
    </w:lvl>
    <w:lvl w:ilvl="8" w:tplc="27347906">
      <w:numFmt w:val="bullet"/>
      <w:lvlText w:val="•"/>
      <w:lvlJc w:val="left"/>
      <w:pPr>
        <w:ind w:left="7836" w:hanging="360"/>
      </w:pPr>
      <w:rPr>
        <w:rFonts w:hint="default"/>
      </w:rPr>
    </w:lvl>
  </w:abstractNum>
  <w:abstractNum w:abstractNumId="73" w15:restartNumberingAfterBreak="0">
    <w:nsid w:val="53ED7E8B"/>
    <w:multiLevelType w:val="hybridMultilevel"/>
    <w:tmpl w:val="D476562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4" w15:restartNumberingAfterBreak="0">
    <w:nsid w:val="55950CB8"/>
    <w:multiLevelType w:val="hybridMultilevel"/>
    <w:tmpl w:val="3B020568"/>
    <w:lvl w:ilvl="0" w:tplc="B3F68D7E">
      <w:start w:val="1"/>
      <w:numFmt w:val="lowerLetter"/>
      <w:lvlText w:val="(%1)"/>
      <w:lvlJc w:val="left"/>
      <w:pPr>
        <w:ind w:left="220" w:hanging="339"/>
        <w:jc w:val="right"/>
      </w:pPr>
      <w:rPr>
        <w:rFonts w:ascii="Times New Roman" w:eastAsia="Times New Roman" w:hAnsi="Times New Roman" w:cs="Times New Roman" w:hint="default"/>
        <w:b/>
        <w:bCs/>
        <w:i/>
        <w:w w:val="99"/>
        <w:sz w:val="24"/>
        <w:szCs w:val="24"/>
      </w:rPr>
    </w:lvl>
    <w:lvl w:ilvl="1" w:tplc="8F065A20">
      <w:start w:val="1"/>
      <w:numFmt w:val="decimal"/>
      <w:lvlText w:val="(%2)"/>
      <w:lvlJc w:val="left"/>
      <w:pPr>
        <w:ind w:left="220" w:hanging="339"/>
        <w:jc w:val="right"/>
      </w:pPr>
      <w:rPr>
        <w:rFonts w:ascii="Times New Roman" w:eastAsia="Times New Roman" w:hAnsi="Times New Roman" w:cs="Times New Roman" w:hint="default"/>
        <w:w w:val="99"/>
        <w:sz w:val="24"/>
        <w:szCs w:val="24"/>
      </w:rPr>
    </w:lvl>
    <w:lvl w:ilvl="2" w:tplc="D15E9BE4">
      <w:numFmt w:val="bullet"/>
      <w:lvlText w:val="•"/>
      <w:lvlJc w:val="left"/>
      <w:pPr>
        <w:ind w:left="157" w:hanging="339"/>
      </w:pPr>
      <w:rPr>
        <w:rFonts w:hint="default"/>
      </w:rPr>
    </w:lvl>
    <w:lvl w:ilvl="3" w:tplc="2084DA86">
      <w:numFmt w:val="bullet"/>
      <w:lvlText w:val="•"/>
      <w:lvlJc w:val="left"/>
      <w:pPr>
        <w:ind w:left="126" w:hanging="339"/>
      </w:pPr>
      <w:rPr>
        <w:rFonts w:hint="default"/>
      </w:rPr>
    </w:lvl>
    <w:lvl w:ilvl="4" w:tplc="D79C10F6">
      <w:numFmt w:val="bullet"/>
      <w:lvlText w:val="•"/>
      <w:lvlJc w:val="left"/>
      <w:pPr>
        <w:ind w:left="95" w:hanging="339"/>
      </w:pPr>
      <w:rPr>
        <w:rFonts w:hint="default"/>
      </w:rPr>
    </w:lvl>
    <w:lvl w:ilvl="5" w:tplc="340AD516">
      <w:numFmt w:val="bullet"/>
      <w:lvlText w:val="•"/>
      <w:lvlJc w:val="left"/>
      <w:pPr>
        <w:ind w:left="64" w:hanging="339"/>
      </w:pPr>
      <w:rPr>
        <w:rFonts w:hint="default"/>
      </w:rPr>
    </w:lvl>
    <w:lvl w:ilvl="6" w:tplc="368E6666">
      <w:numFmt w:val="bullet"/>
      <w:lvlText w:val="•"/>
      <w:lvlJc w:val="left"/>
      <w:pPr>
        <w:ind w:left="32" w:hanging="339"/>
      </w:pPr>
      <w:rPr>
        <w:rFonts w:hint="default"/>
      </w:rPr>
    </w:lvl>
    <w:lvl w:ilvl="7" w:tplc="D03666BE">
      <w:numFmt w:val="bullet"/>
      <w:lvlText w:val="•"/>
      <w:lvlJc w:val="left"/>
      <w:pPr>
        <w:ind w:left="1" w:hanging="339"/>
      </w:pPr>
      <w:rPr>
        <w:rFonts w:hint="default"/>
      </w:rPr>
    </w:lvl>
    <w:lvl w:ilvl="8" w:tplc="FB7668A2">
      <w:numFmt w:val="bullet"/>
      <w:lvlText w:val="•"/>
      <w:lvlJc w:val="left"/>
      <w:pPr>
        <w:ind w:left="-30" w:hanging="339"/>
      </w:pPr>
      <w:rPr>
        <w:rFonts w:hint="default"/>
      </w:rPr>
    </w:lvl>
  </w:abstractNum>
  <w:abstractNum w:abstractNumId="75" w15:restartNumberingAfterBreak="0">
    <w:nsid w:val="57B91D74"/>
    <w:multiLevelType w:val="hybridMultilevel"/>
    <w:tmpl w:val="38766360"/>
    <w:lvl w:ilvl="0" w:tplc="CDFA9714">
      <w:start w:val="2"/>
      <w:numFmt w:val="lowerLetter"/>
      <w:lvlText w:val="(%1)"/>
      <w:lvlJc w:val="left"/>
      <w:pPr>
        <w:ind w:left="100" w:hanging="339"/>
        <w:jc w:val="right"/>
      </w:pPr>
      <w:rPr>
        <w:rFonts w:hint="default"/>
        <w:w w:val="99"/>
      </w:rPr>
    </w:lvl>
    <w:lvl w:ilvl="1" w:tplc="7F1A7C5A">
      <w:start w:val="1"/>
      <w:numFmt w:val="decimal"/>
      <w:lvlText w:val="(%2)"/>
      <w:lvlJc w:val="left"/>
      <w:pPr>
        <w:ind w:left="220" w:hanging="341"/>
        <w:jc w:val="right"/>
      </w:pPr>
      <w:rPr>
        <w:rFonts w:ascii="Times New Roman" w:eastAsia="Times New Roman" w:hAnsi="Times New Roman" w:cs="Times New Roman" w:hint="default"/>
        <w:spacing w:val="-5"/>
        <w:w w:val="99"/>
        <w:sz w:val="24"/>
        <w:szCs w:val="24"/>
      </w:rPr>
    </w:lvl>
    <w:lvl w:ilvl="2" w:tplc="EC0C0ADE">
      <w:numFmt w:val="bullet"/>
      <w:lvlText w:val="•"/>
      <w:lvlJc w:val="left"/>
      <w:pPr>
        <w:ind w:left="676" w:hanging="341"/>
      </w:pPr>
      <w:rPr>
        <w:rFonts w:hint="default"/>
      </w:rPr>
    </w:lvl>
    <w:lvl w:ilvl="3" w:tplc="3416813E">
      <w:numFmt w:val="bullet"/>
      <w:lvlText w:val="•"/>
      <w:lvlJc w:val="left"/>
      <w:pPr>
        <w:ind w:left="1133" w:hanging="341"/>
      </w:pPr>
      <w:rPr>
        <w:rFonts w:hint="default"/>
      </w:rPr>
    </w:lvl>
    <w:lvl w:ilvl="4" w:tplc="CD2C8BBA">
      <w:numFmt w:val="bullet"/>
      <w:lvlText w:val="•"/>
      <w:lvlJc w:val="left"/>
      <w:pPr>
        <w:ind w:left="1590" w:hanging="341"/>
      </w:pPr>
      <w:rPr>
        <w:rFonts w:hint="default"/>
      </w:rPr>
    </w:lvl>
    <w:lvl w:ilvl="5" w:tplc="E5CC7180">
      <w:numFmt w:val="bullet"/>
      <w:lvlText w:val="•"/>
      <w:lvlJc w:val="left"/>
      <w:pPr>
        <w:ind w:left="2047" w:hanging="341"/>
      </w:pPr>
      <w:rPr>
        <w:rFonts w:hint="default"/>
      </w:rPr>
    </w:lvl>
    <w:lvl w:ilvl="6" w:tplc="A51CC6F4">
      <w:numFmt w:val="bullet"/>
      <w:lvlText w:val="•"/>
      <w:lvlJc w:val="left"/>
      <w:pPr>
        <w:ind w:left="2504" w:hanging="341"/>
      </w:pPr>
      <w:rPr>
        <w:rFonts w:hint="default"/>
      </w:rPr>
    </w:lvl>
    <w:lvl w:ilvl="7" w:tplc="33F6F0FA">
      <w:numFmt w:val="bullet"/>
      <w:lvlText w:val="•"/>
      <w:lvlJc w:val="left"/>
      <w:pPr>
        <w:ind w:left="2961" w:hanging="341"/>
      </w:pPr>
      <w:rPr>
        <w:rFonts w:hint="default"/>
      </w:rPr>
    </w:lvl>
    <w:lvl w:ilvl="8" w:tplc="41583F1C">
      <w:numFmt w:val="bullet"/>
      <w:lvlText w:val="•"/>
      <w:lvlJc w:val="left"/>
      <w:pPr>
        <w:ind w:left="3418" w:hanging="341"/>
      </w:pPr>
      <w:rPr>
        <w:rFonts w:hint="default"/>
      </w:rPr>
    </w:lvl>
  </w:abstractNum>
  <w:abstractNum w:abstractNumId="76" w15:restartNumberingAfterBreak="0">
    <w:nsid w:val="57CF611D"/>
    <w:multiLevelType w:val="hybridMultilevel"/>
    <w:tmpl w:val="D44AA37E"/>
    <w:lvl w:ilvl="0" w:tplc="BF501A44">
      <w:numFmt w:val="bullet"/>
      <w:lvlText w:val=""/>
      <w:lvlJc w:val="left"/>
      <w:pPr>
        <w:ind w:left="535" w:hanging="288"/>
      </w:pPr>
      <w:rPr>
        <w:rFonts w:ascii="Symbol" w:eastAsia="Symbol" w:hAnsi="Symbol" w:cs="Symbol" w:hint="default"/>
        <w:w w:val="100"/>
        <w:sz w:val="24"/>
        <w:szCs w:val="24"/>
      </w:rPr>
    </w:lvl>
    <w:lvl w:ilvl="1" w:tplc="E1BEC6CC">
      <w:numFmt w:val="bullet"/>
      <w:lvlText w:val="•"/>
      <w:lvlJc w:val="left"/>
      <w:pPr>
        <w:ind w:left="1402" w:hanging="288"/>
      </w:pPr>
      <w:rPr>
        <w:rFonts w:hint="default"/>
      </w:rPr>
    </w:lvl>
    <w:lvl w:ilvl="2" w:tplc="F262549E">
      <w:numFmt w:val="bullet"/>
      <w:lvlText w:val="•"/>
      <w:lvlJc w:val="left"/>
      <w:pPr>
        <w:ind w:left="2264" w:hanging="288"/>
      </w:pPr>
      <w:rPr>
        <w:rFonts w:hint="default"/>
      </w:rPr>
    </w:lvl>
    <w:lvl w:ilvl="3" w:tplc="8E62EF2E">
      <w:numFmt w:val="bullet"/>
      <w:lvlText w:val="•"/>
      <w:lvlJc w:val="left"/>
      <w:pPr>
        <w:ind w:left="3126" w:hanging="288"/>
      </w:pPr>
      <w:rPr>
        <w:rFonts w:hint="default"/>
      </w:rPr>
    </w:lvl>
    <w:lvl w:ilvl="4" w:tplc="7304FAA0">
      <w:numFmt w:val="bullet"/>
      <w:lvlText w:val="•"/>
      <w:lvlJc w:val="left"/>
      <w:pPr>
        <w:ind w:left="3989" w:hanging="288"/>
      </w:pPr>
      <w:rPr>
        <w:rFonts w:hint="default"/>
      </w:rPr>
    </w:lvl>
    <w:lvl w:ilvl="5" w:tplc="935A7F60">
      <w:numFmt w:val="bullet"/>
      <w:lvlText w:val="•"/>
      <w:lvlJc w:val="left"/>
      <w:pPr>
        <w:ind w:left="4851" w:hanging="288"/>
      </w:pPr>
      <w:rPr>
        <w:rFonts w:hint="default"/>
      </w:rPr>
    </w:lvl>
    <w:lvl w:ilvl="6" w:tplc="116CA950">
      <w:numFmt w:val="bullet"/>
      <w:lvlText w:val="•"/>
      <w:lvlJc w:val="left"/>
      <w:pPr>
        <w:ind w:left="5713" w:hanging="288"/>
      </w:pPr>
      <w:rPr>
        <w:rFonts w:hint="default"/>
      </w:rPr>
    </w:lvl>
    <w:lvl w:ilvl="7" w:tplc="0C0459EC">
      <w:numFmt w:val="bullet"/>
      <w:lvlText w:val="•"/>
      <w:lvlJc w:val="left"/>
      <w:pPr>
        <w:ind w:left="6575" w:hanging="288"/>
      </w:pPr>
      <w:rPr>
        <w:rFonts w:hint="default"/>
      </w:rPr>
    </w:lvl>
    <w:lvl w:ilvl="8" w:tplc="41D84AC2">
      <w:numFmt w:val="bullet"/>
      <w:lvlText w:val="•"/>
      <w:lvlJc w:val="left"/>
      <w:pPr>
        <w:ind w:left="7438" w:hanging="288"/>
      </w:pPr>
      <w:rPr>
        <w:rFonts w:hint="default"/>
      </w:rPr>
    </w:lvl>
  </w:abstractNum>
  <w:abstractNum w:abstractNumId="77" w15:restartNumberingAfterBreak="0">
    <w:nsid w:val="596422CF"/>
    <w:multiLevelType w:val="hybridMultilevel"/>
    <w:tmpl w:val="125480AA"/>
    <w:lvl w:ilvl="0" w:tplc="5B58AAFC">
      <w:numFmt w:val="bullet"/>
      <w:lvlText w:val=""/>
      <w:lvlJc w:val="left"/>
      <w:pPr>
        <w:ind w:left="820" w:hanging="360"/>
      </w:pPr>
      <w:rPr>
        <w:rFonts w:ascii="Symbol" w:eastAsia="Symbol" w:hAnsi="Symbol" w:cs="Symbol" w:hint="default"/>
        <w:w w:val="100"/>
        <w:sz w:val="24"/>
        <w:szCs w:val="24"/>
      </w:rPr>
    </w:lvl>
    <w:lvl w:ilvl="1" w:tplc="0922D894">
      <w:numFmt w:val="bullet"/>
      <w:lvlText w:val="•"/>
      <w:lvlJc w:val="left"/>
      <w:pPr>
        <w:ind w:left="1710" w:hanging="360"/>
      </w:pPr>
      <w:rPr>
        <w:rFonts w:hint="default"/>
      </w:rPr>
    </w:lvl>
    <w:lvl w:ilvl="2" w:tplc="1FDC8C02">
      <w:numFmt w:val="bullet"/>
      <w:lvlText w:val="•"/>
      <w:lvlJc w:val="left"/>
      <w:pPr>
        <w:ind w:left="2600" w:hanging="360"/>
      </w:pPr>
      <w:rPr>
        <w:rFonts w:hint="default"/>
      </w:rPr>
    </w:lvl>
    <w:lvl w:ilvl="3" w:tplc="9222C19E">
      <w:numFmt w:val="bullet"/>
      <w:lvlText w:val="•"/>
      <w:lvlJc w:val="left"/>
      <w:pPr>
        <w:ind w:left="3490" w:hanging="360"/>
      </w:pPr>
      <w:rPr>
        <w:rFonts w:hint="default"/>
      </w:rPr>
    </w:lvl>
    <w:lvl w:ilvl="4" w:tplc="3ADED3DA">
      <w:numFmt w:val="bullet"/>
      <w:lvlText w:val="•"/>
      <w:lvlJc w:val="left"/>
      <w:pPr>
        <w:ind w:left="4380" w:hanging="360"/>
      </w:pPr>
      <w:rPr>
        <w:rFonts w:hint="default"/>
      </w:rPr>
    </w:lvl>
    <w:lvl w:ilvl="5" w:tplc="D3448BD8">
      <w:numFmt w:val="bullet"/>
      <w:lvlText w:val="•"/>
      <w:lvlJc w:val="left"/>
      <w:pPr>
        <w:ind w:left="5270" w:hanging="360"/>
      </w:pPr>
      <w:rPr>
        <w:rFonts w:hint="default"/>
      </w:rPr>
    </w:lvl>
    <w:lvl w:ilvl="6" w:tplc="4D38C036">
      <w:numFmt w:val="bullet"/>
      <w:lvlText w:val="•"/>
      <w:lvlJc w:val="left"/>
      <w:pPr>
        <w:ind w:left="6160" w:hanging="360"/>
      </w:pPr>
      <w:rPr>
        <w:rFonts w:hint="default"/>
      </w:rPr>
    </w:lvl>
    <w:lvl w:ilvl="7" w:tplc="4FCCAEDA">
      <w:numFmt w:val="bullet"/>
      <w:lvlText w:val="•"/>
      <w:lvlJc w:val="left"/>
      <w:pPr>
        <w:ind w:left="7050" w:hanging="360"/>
      </w:pPr>
      <w:rPr>
        <w:rFonts w:hint="default"/>
      </w:rPr>
    </w:lvl>
    <w:lvl w:ilvl="8" w:tplc="6C46459E">
      <w:numFmt w:val="bullet"/>
      <w:lvlText w:val="•"/>
      <w:lvlJc w:val="left"/>
      <w:pPr>
        <w:ind w:left="7940" w:hanging="360"/>
      </w:pPr>
      <w:rPr>
        <w:rFonts w:hint="default"/>
      </w:rPr>
    </w:lvl>
  </w:abstractNum>
  <w:abstractNum w:abstractNumId="78" w15:restartNumberingAfterBreak="0">
    <w:nsid w:val="5B146237"/>
    <w:multiLevelType w:val="hybridMultilevel"/>
    <w:tmpl w:val="466CF792"/>
    <w:lvl w:ilvl="0" w:tplc="3B5A57DC">
      <w:numFmt w:val="bullet"/>
      <w:lvlText w:val=""/>
      <w:lvlJc w:val="left"/>
      <w:pPr>
        <w:ind w:left="921" w:hanging="620"/>
      </w:pPr>
      <w:rPr>
        <w:rFonts w:ascii="Symbol" w:eastAsia="Symbol" w:hAnsi="Symbol" w:cs="Symbol" w:hint="default"/>
        <w:w w:val="100"/>
        <w:sz w:val="24"/>
        <w:szCs w:val="24"/>
      </w:rPr>
    </w:lvl>
    <w:lvl w:ilvl="1" w:tplc="22A0D3D6">
      <w:numFmt w:val="bullet"/>
      <w:lvlText w:val="•"/>
      <w:lvlJc w:val="left"/>
      <w:pPr>
        <w:ind w:left="1802" w:hanging="620"/>
      </w:pPr>
      <w:rPr>
        <w:rFonts w:hint="default"/>
      </w:rPr>
    </w:lvl>
    <w:lvl w:ilvl="2" w:tplc="599AE2D0">
      <w:numFmt w:val="bullet"/>
      <w:lvlText w:val="•"/>
      <w:lvlJc w:val="left"/>
      <w:pPr>
        <w:ind w:left="2684" w:hanging="620"/>
      </w:pPr>
      <w:rPr>
        <w:rFonts w:hint="default"/>
      </w:rPr>
    </w:lvl>
    <w:lvl w:ilvl="3" w:tplc="C7688068">
      <w:numFmt w:val="bullet"/>
      <w:lvlText w:val="•"/>
      <w:lvlJc w:val="left"/>
      <w:pPr>
        <w:ind w:left="3566" w:hanging="620"/>
      </w:pPr>
      <w:rPr>
        <w:rFonts w:hint="default"/>
      </w:rPr>
    </w:lvl>
    <w:lvl w:ilvl="4" w:tplc="9F74B860">
      <w:numFmt w:val="bullet"/>
      <w:lvlText w:val="•"/>
      <w:lvlJc w:val="left"/>
      <w:pPr>
        <w:ind w:left="4448" w:hanging="620"/>
      </w:pPr>
      <w:rPr>
        <w:rFonts w:hint="default"/>
      </w:rPr>
    </w:lvl>
    <w:lvl w:ilvl="5" w:tplc="F126DF7C">
      <w:numFmt w:val="bullet"/>
      <w:lvlText w:val="•"/>
      <w:lvlJc w:val="left"/>
      <w:pPr>
        <w:ind w:left="5330" w:hanging="620"/>
      </w:pPr>
      <w:rPr>
        <w:rFonts w:hint="default"/>
      </w:rPr>
    </w:lvl>
    <w:lvl w:ilvl="6" w:tplc="3A66E95C">
      <w:numFmt w:val="bullet"/>
      <w:lvlText w:val="•"/>
      <w:lvlJc w:val="left"/>
      <w:pPr>
        <w:ind w:left="6212" w:hanging="620"/>
      </w:pPr>
      <w:rPr>
        <w:rFonts w:hint="default"/>
      </w:rPr>
    </w:lvl>
    <w:lvl w:ilvl="7" w:tplc="29D68348">
      <w:numFmt w:val="bullet"/>
      <w:lvlText w:val="•"/>
      <w:lvlJc w:val="left"/>
      <w:pPr>
        <w:ind w:left="7094" w:hanging="620"/>
      </w:pPr>
      <w:rPr>
        <w:rFonts w:hint="default"/>
      </w:rPr>
    </w:lvl>
    <w:lvl w:ilvl="8" w:tplc="DD0EEEE8">
      <w:numFmt w:val="bullet"/>
      <w:lvlText w:val="•"/>
      <w:lvlJc w:val="left"/>
      <w:pPr>
        <w:ind w:left="7976" w:hanging="620"/>
      </w:pPr>
      <w:rPr>
        <w:rFonts w:hint="default"/>
      </w:rPr>
    </w:lvl>
  </w:abstractNum>
  <w:abstractNum w:abstractNumId="79" w15:restartNumberingAfterBreak="0">
    <w:nsid w:val="5C2843CE"/>
    <w:multiLevelType w:val="hybridMultilevel"/>
    <w:tmpl w:val="FB0C8F72"/>
    <w:lvl w:ilvl="0" w:tplc="98AA16C6">
      <w:start w:val="6"/>
      <w:numFmt w:val="decimal"/>
      <w:lvlText w:val="(%1)"/>
      <w:lvlJc w:val="left"/>
      <w:pPr>
        <w:ind w:left="460" w:hanging="360"/>
      </w:pPr>
      <w:rPr>
        <w:rFonts w:ascii="Times New Roman" w:eastAsia="Times New Roman" w:hAnsi="Times New Roman" w:cs="Times New Roman" w:hint="default"/>
        <w:w w:val="99"/>
        <w:sz w:val="24"/>
        <w:szCs w:val="24"/>
      </w:rPr>
    </w:lvl>
    <w:lvl w:ilvl="1" w:tplc="0A085334">
      <w:numFmt w:val="bullet"/>
      <w:lvlText w:val=""/>
      <w:lvlJc w:val="left"/>
      <w:pPr>
        <w:ind w:left="460" w:hanging="360"/>
      </w:pPr>
      <w:rPr>
        <w:rFonts w:ascii="Symbol" w:eastAsia="Symbol" w:hAnsi="Symbol" w:cs="Symbol" w:hint="default"/>
        <w:w w:val="99"/>
        <w:sz w:val="20"/>
        <w:szCs w:val="20"/>
      </w:rPr>
    </w:lvl>
    <w:lvl w:ilvl="2" w:tplc="779E46B0">
      <w:numFmt w:val="bullet"/>
      <w:lvlText w:val=""/>
      <w:lvlJc w:val="left"/>
      <w:pPr>
        <w:ind w:left="1180" w:hanging="360"/>
      </w:pPr>
      <w:rPr>
        <w:rFonts w:ascii="Symbol" w:eastAsia="Symbol" w:hAnsi="Symbol" w:cs="Symbol" w:hint="default"/>
        <w:w w:val="99"/>
        <w:sz w:val="20"/>
        <w:szCs w:val="20"/>
      </w:rPr>
    </w:lvl>
    <w:lvl w:ilvl="3" w:tplc="598A6302">
      <w:numFmt w:val="bullet"/>
      <w:lvlText w:val=""/>
      <w:lvlJc w:val="left"/>
      <w:pPr>
        <w:ind w:left="1900" w:hanging="360"/>
      </w:pPr>
      <w:rPr>
        <w:rFonts w:ascii="Symbol" w:eastAsia="Symbol" w:hAnsi="Symbol" w:cs="Symbol" w:hint="default"/>
        <w:w w:val="99"/>
        <w:sz w:val="20"/>
        <w:szCs w:val="20"/>
      </w:rPr>
    </w:lvl>
    <w:lvl w:ilvl="4" w:tplc="BD5C0DEC">
      <w:numFmt w:val="bullet"/>
      <w:lvlText w:val="•"/>
      <w:lvlJc w:val="left"/>
      <w:pPr>
        <w:ind w:left="3840" w:hanging="360"/>
      </w:pPr>
      <w:rPr>
        <w:rFonts w:hint="default"/>
      </w:rPr>
    </w:lvl>
    <w:lvl w:ilvl="5" w:tplc="52D89128">
      <w:numFmt w:val="bullet"/>
      <w:lvlText w:val="•"/>
      <w:lvlJc w:val="left"/>
      <w:pPr>
        <w:ind w:left="4810" w:hanging="360"/>
      </w:pPr>
      <w:rPr>
        <w:rFonts w:hint="default"/>
      </w:rPr>
    </w:lvl>
    <w:lvl w:ilvl="6" w:tplc="3C804D4C">
      <w:numFmt w:val="bullet"/>
      <w:lvlText w:val="•"/>
      <w:lvlJc w:val="left"/>
      <w:pPr>
        <w:ind w:left="5780" w:hanging="360"/>
      </w:pPr>
      <w:rPr>
        <w:rFonts w:hint="default"/>
      </w:rPr>
    </w:lvl>
    <w:lvl w:ilvl="7" w:tplc="C5C82046">
      <w:numFmt w:val="bullet"/>
      <w:lvlText w:val="•"/>
      <w:lvlJc w:val="left"/>
      <w:pPr>
        <w:ind w:left="6750" w:hanging="360"/>
      </w:pPr>
      <w:rPr>
        <w:rFonts w:hint="default"/>
      </w:rPr>
    </w:lvl>
    <w:lvl w:ilvl="8" w:tplc="A8B47AAC">
      <w:numFmt w:val="bullet"/>
      <w:lvlText w:val="•"/>
      <w:lvlJc w:val="left"/>
      <w:pPr>
        <w:ind w:left="7720" w:hanging="360"/>
      </w:pPr>
      <w:rPr>
        <w:rFonts w:hint="default"/>
      </w:rPr>
    </w:lvl>
  </w:abstractNum>
  <w:abstractNum w:abstractNumId="80" w15:restartNumberingAfterBreak="0">
    <w:nsid w:val="5EDF573F"/>
    <w:multiLevelType w:val="hybridMultilevel"/>
    <w:tmpl w:val="A2C02858"/>
    <w:lvl w:ilvl="0" w:tplc="0E38B880">
      <w:start w:val="9"/>
      <w:numFmt w:val="lowerLetter"/>
      <w:lvlText w:val="(%1)"/>
      <w:lvlJc w:val="left"/>
      <w:pPr>
        <w:ind w:left="551" w:hanging="452"/>
        <w:jc w:val="right"/>
      </w:pPr>
      <w:rPr>
        <w:rFonts w:ascii="Times New Roman" w:eastAsia="Times New Roman" w:hAnsi="Times New Roman" w:cs="Times New Roman" w:hint="default"/>
        <w:spacing w:val="-5"/>
        <w:w w:val="99"/>
        <w:sz w:val="24"/>
        <w:szCs w:val="24"/>
      </w:rPr>
    </w:lvl>
    <w:lvl w:ilvl="1" w:tplc="B6428E60">
      <w:numFmt w:val="bullet"/>
      <w:lvlText w:val="•"/>
      <w:lvlJc w:val="left"/>
      <w:pPr>
        <w:ind w:left="1424" w:hanging="452"/>
      </w:pPr>
      <w:rPr>
        <w:rFonts w:hint="default"/>
      </w:rPr>
    </w:lvl>
    <w:lvl w:ilvl="2" w:tplc="6FFCB0D8">
      <w:numFmt w:val="bullet"/>
      <w:lvlText w:val="•"/>
      <w:lvlJc w:val="left"/>
      <w:pPr>
        <w:ind w:left="2288" w:hanging="452"/>
      </w:pPr>
      <w:rPr>
        <w:rFonts w:hint="default"/>
      </w:rPr>
    </w:lvl>
    <w:lvl w:ilvl="3" w:tplc="F5DC9C4A">
      <w:numFmt w:val="bullet"/>
      <w:lvlText w:val="•"/>
      <w:lvlJc w:val="left"/>
      <w:pPr>
        <w:ind w:left="3152" w:hanging="452"/>
      </w:pPr>
      <w:rPr>
        <w:rFonts w:hint="default"/>
      </w:rPr>
    </w:lvl>
    <w:lvl w:ilvl="4" w:tplc="623858E8">
      <w:numFmt w:val="bullet"/>
      <w:lvlText w:val="•"/>
      <w:lvlJc w:val="left"/>
      <w:pPr>
        <w:ind w:left="4016" w:hanging="452"/>
      </w:pPr>
      <w:rPr>
        <w:rFonts w:hint="default"/>
      </w:rPr>
    </w:lvl>
    <w:lvl w:ilvl="5" w:tplc="4982611E">
      <w:numFmt w:val="bullet"/>
      <w:lvlText w:val="•"/>
      <w:lvlJc w:val="left"/>
      <w:pPr>
        <w:ind w:left="4880" w:hanging="452"/>
      </w:pPr>
      <w:rPr>
        <w:rFonts w:hint="default"/>
      </w:rPr>
    </w:lvl>
    <w:lvl w:ilvl="6" w:tplc="20129612">
      <w:numFmt w:val="bullet"/>
      <w:lvlText w:val="•"/>
      <w:lvlJc w:val="left"/>
      <w:pPr>
        <w:ind w:left="5744" w:hanging="452"/>
      </w:pPr>
      <w:rPr>
        <w:rFonts w:hint="default"/>
      </w:rPr>
    </w:lvl>
    <w:lvl w:ilvl="7" w:tplc="BC466538">
      <w:numFmt w:val="bullet"/>
      <w:lvlText w:val="•"/>
      <w:lvlJc w:val="left"/>
      <w:pPr>
        <w:ind w:left="6608" w:hanging="452"/>
      </w:pPr>
      <w:rPr>
        <w:rFonts w:hint="default"/>
      </w:rPr>
    </w:lvl>
    <w:lvl w:ilvl="8" w:tplc="6D4099EC">
      <w:numFmt w:val="bullet"/>
      <w:lvlText w:val="•"/>
      <w:lvlJc w:val="left"/>
      <w:pPr>
        <w:ind w:left="7472" w:hanging="452"/>
      </w:pPr>
      <w:rPr>
        <w:rFonts w:hint="default"/>
      </w:rPr>
    </w:lvl>
  </w:abstractNum>
  <w:abstractNum w:abstractNumId="81" w15:restartNumberingAfterBreak="0">
    <w:nsid w:val="69215FE6"/>
    <w:multiLevelType w:val="hybridMultilevel"/>
    <w:tmpl w:val="A48C3DA8"/>
    <w:lvl w:ilvl="0" w:tplc="AFC25150">
      <w:start w:val="1"/>
      <w:numFmt w:val="decimal"/>
      <w:lvlText w:val="(%1)"/>
      <w:lvlJc w:val="left"/>
      <w:pPr>
        <w:ind w:left="100" w:hanging="327"/>
      </w:pPr>
      <w:rPr>
        <w:rFonts w:ascii="Times New Roman" w:eastAsia="Times New Roman" w:hAnsi="Times New Roman" w:cs="Times New Roman" w:hint="default"/>
        <w:w w:val="100"/>
        <w:sz w:val="23"/>
        <w:szCs w:val="23"/>
      </w:rPr>
    </w:lvl>
    <w:lvl w:ilvl="1" w:tplc="FA5AE196">
      <w:start w:val="1"/>
      <w:numFmt w:val="lowerRoman"/>
      <w:lvlText w:val="(%2)"/>
      <w:lvlJc w:val="left"/>
      <w:pPr>
        <w:ind w:left="376" w:hanging="276"/>
      </w:pPr>
      <w:rPr>
        <w:rFonts w:ascii="Times New Roman" w:eastAsia="Times New Roman" w:hAnsi="Times New Roman" w:cs="Times New Roman" w:hint="default"/>
        <w:w w:val="100"/>
        <w:sz w:val="23"/>
        <w:szCs w:val="23"/>
      </w:rPr>
    </w:lvl>
    <w:lvl w:ilvl="2" w:tplc="C4B4BA5E">
      <w:start w:val="1"/>
      <w:numFmt w:val="decimal"/>
      <w:lvlText w:val="(%3)"/>
      <w:lvlJc w:val="left"/>
      <w:pPr>
        <w:ind w:left="426" w:hanging="327"/>
      </w:pPr>
      <w:rPr>
        <w:rFonts w:ascii="Times New Roman" w:eastAsia="Times New Roman" w:hAnsi="Times New Roman" w:cs="Times New Roman" w:hint="default"/>
        <w:w w:val="100"/>
        <w:sz w:val="23"/>
        <w:szCs w:val="23"/>
      </w:rPr>
    </w:lvl>
    <w:lvl w:ilvl="3" w:tplc="1C788F32">
      <w:numFmt w:val="bullet"/>
      <w:lvlText w:val="•"/>
      <w:lvlJc w:val="left"/>
      <w:pPr>
        <w:ind w:left="1577" w:hanging="327"/>
      </w:pPr>
      <w:rPr>
        <w:rFonts w:hint="default"/>
      </w:rPr>
    </w:lvl>
    <w:lvl w:ilvl="4" w:tplc="E47298BC">
      <w:numFmt w:val="bullet"/>
      <w:lvlText w:val="•"/>
      <w:lvlJc w:val="left"/>
      <w:pPr>
        <w:ind w:left="2735" w:hanging="327"/>
      </w:pPr>
      <w:rPr>
        <w:rFonts w:hint="default"/>
      </w:rPr>
    </w:lvl>
    <w:lvl w:ilvl="5" w:tplc="0CD47D24">
      <w:numFmt w:val="bullet"/>
      <w:lvlText w:val="•"/>
      <w:lvlJc w:val="left"/>
      <w:pPr>
        <w:ind w:left="3892" w:hanging="327"/>
      </w:pPr>
      <w:rPr>
        <w:rFonts w:hint="default"/>
      </w:rPr>
    </w:lvl>
    <w:lvl w:ilvl="6" w:tplc="328689F6">
      <w:numFmt w:val="bullet"/>
      <w:lvlText w:val="•"/>
      <w:lvlJc w:val="left"/>
      <w:pPr>
        <w:ind w:left="5050" w:hanging="327"/>
      </w:pPr>
      <w:rPr>
        <w:rFonts w:hint="default"/>
      </w:rPr>
    </w:lvl>
    <w:lvl w:ilvl="7" w:tplc="1478BFB4">
      <w:numFmt w:val="bullet"/>
      <w:lvlText w:val="•"/>
      <w:lvlJc w:val="left"/>
      <w:pPr>
        <w:ind w:left="6207" w:hanging="327"/>
      </w:pPr>
      <w:rPr>
        <w:rFonts w:hint="default"/>
      </w:rPr>
    </w:lvl>
    <w:lvl w:ilvl="8" w:tplc="F684D968">
      <w:numFmt w:val="bullet"/>
      <w:lvlText w:val="•"/>
      <w:lvlJc w:val="left"/>
      <w:pPr>
        <w:ind w:left="7365" w:hanging="327"/>
      </w:pPr>
      <w:rPr>
        <w:rFonts w:hint="default"/>
      </w:rPr>
    </w:lvl>
  </w:abstractNum>
  <w:abstractNum w:abstractNumId="82" w15:restartNumberingAfterBreak="0">
    <w:nsid w:val="6AC838D7"/>
    <w:multiLevelType w:val="hybridMultilevel"/>
    <w:tmpl w:val="891A5328"/>
    <w:lvl w:ilvl="0" w:tplc="9C002A1A">
      <w:numFmt w:val="bullet"/>
      <w:lvlText w:val=""/>
      <w:lvlJc w:val="left"/>
      <w:pPr>
        <w:ind w:left="820" w:hanging="360"/>
      </w:pPr>
      <w:rPr>
        <w:rFonts w:ascii="Symbol" w:eastAsia="Symbol" w:hAnsi="Symbol" w:cs="Symbol" w:hint="default"/>
        <w:w w:val="100"/>
        <w:sz w:val="24"/>
        <w:szCs w:val="24"/>
      </w:rPr>
    </w:lvl>
    <w:lvl w:ilvl="1" w:tplc="9870A170">
      <w:numFmt w:val="bullet"/>
      <w:lvlText w:val="•"/>
      <w:lvlJc w:val="left"/>
      <w:pPr>
        <w:ind w:left="1714" w:hanging="360"/>
      </w:pPr>
      <w:rPr>
        <w:rFonts w:hint="default"/>
      </w:rPr>
    </w:lvl>
    <w:lvl w:ilvl="2" w:tplc="AE7EC3A4">
      <w:numFmt w:val="bullet"/>
      <w:lvlText w:val="•"/>
      <w:lvlJc w:val="left"/>
      <w:pPr>
        <w:ind w:left="2608" w:hanging="360"/>
      </w:pPr>
      <w:rPr>
        <w:rFonts w:hint="default"/>
      </w:rPr>
    </w:lvl>
    <w:lvl w:ilvl="3" w:tplc="EDB276A8">
      <w:numFmt w:val="bullet"/>
      <w:lvlText w:val="•"/>
      <w:lvlJc w:val="left"/>
      <w:pPr>
        <w:ind w:left="3502" w:hanging="360"/>
      </w:pPr>
      <w:rPr>
        <w:rFonts w:hint="default"/>
      </w:rPr>
    </w:lvl>
    <w:lvl w:ilvl="4" w:tplc="6674F260">
      <w:numFmt w:val="bullet"/>
      <w:lvlText w:val="•"/>
      <w:lvlJc w:val="left"/>
      <w:pPr>
        <w:ind w:left="4396" w:hanging="360"/>
      </w:pPr>
      <w:rPr>
        <w:rFonts w:hint="default"/>
      </w:rPr>
    </w:lvl>
    <w:lvl w:ilvl="5" w:tplc="0EA4F484">
      <w:numFmt w:val="bullet"/>
      <w:lvlText w:val="•"/>
      <w:lvlJc w:val="left"/>
      <w:pPr>
        <w:ind w:left="5290" w:hanging="360"/>
      </w:pPr>
      <w:rPr>
        <w:rFonts w:hint="default"/>
      </w:rPr>
    </w:lvl>
    <w:lvl w:ilvl="6" w:tplc="03F4FECE">
      <w:numFmt w:val="bullet"/>
      <w:lvlText w:val="•"/>
      <w:lvlJc w:val="left"/>
      <w:pPr>
        <w:ind w:left="6184" w:hanging="360"/>
      </w:pPr>
      <w:rPr>
        <w:rFonts w:hint="default"/>
      </w:rPr>
    </w:lvl>
    <w:lvl w:ilvl="7" w:tplc="BE6A687A">
      <w:numFmt w:val="bullet"/>
      <w:lvlText w:val="•"/>
      <w:lvlJc w:val="left"/>
      <w:pPr>
        <w:ind w:left="7078" w:hanging="360"/>
      </w:pPr>
      <w:rPr>
        <w:rFonts w:hint="default"/>
      </w:rPr>
    </w:lvl>
    <w:lvl w:ilvl="8" w:tplc="71FE812C">
      <w:numFmt w:val="bullet"/>
      <w:lvlText w:val="•"/>
      <w:lvlJc w:val="left"/>
      <w:pPr>
        <w:ind w:left="7972" w:hanging="360"/>
      </w:pPr>
      <w:rPr>
        <w:rFonts w:hint="default"/>
      </w:rPr>
    </w:lvl>
  </w:abstractNum>
  <w:abstractNum w:abstractNumId="83" w15:restartNumberingAfterBreak="0">
    <w:nsid w:val="6BDA6B3B"/>
    <w:multiLevelType w:val="hybridMultilevel"/>
    <w:tmpl w:val="EA4C27D4"/>
    <w:lvl w:ilvl="0" w:tplc="42CC0E4E">
      <w:numFmt w:val="bullet"/>
      <w:lvlText w:val="-"/>
      <w:lvlJc w:val="left"/>
      <w:pPr>
        <w:ind w:left="647" w:hanging="180"/>
      </w:pPr>
      <w:rPr>
        <w:rFonts w:ascii="Times New Roman" w:eastAsia="Times New Roman" w:hAnsi="Times New Roman" w:cs="Times New Roman" w:hint="default"/>
        <w:spacing w:val="-20"/>
        <w:w w:val="99"/>
        <w:sz w:val="24"/>
        <w:szCs w:val="24"/>
      </w:rPr>
    </w:lvl>
    <w:lvl w:ilvl="1" w:tplc="4ADC38A0">
      <w:numFmt w:val="bullet"/>
      <w:lvlText w:val="•"/>
      <w:lvlJc w:val="left"/>
      <w:pPr>
        <w:ind w:left="1532" w:hanging="180"/>
      </w:pPr>
      <w:rPr>
        <w:rFonts w:hint="default"/>
      </w:rPr>
    </w:lvl>
    <w:lvl w:ilvl="2" w:tplc="E118EB06">
      <w:numFmt w:val="bullet"/>
      <w:lvlText w:val="•"/>
      <w:lvlJc w:val="left"/>
      <w:pPr>
        <w:ind w:left="2424" w:hanging="180"/>
      </w:pPr>
      <w:rPr>
        <w:rFonts w:hint="default"/>
      </w:rPr>
    </w:lvl>
    <w:lvl w:ilvl="3" w:tplc="C9DEDEF4">
      <w:numFmt w:val="bullet"/>
      <w:lvlText w:val="•"/>
      <w:lvlJc w:val="left"/>
      <w:pPr>
        <w:ind w:left="3316" w:hanging="180"/>
      </w:pPr>
      <w:rPr>
        <w:rFonts w:hint="default"/>
      </w:rPr>
    </w:lvl>
    <w:lvl w:ilvl="4" w:tplc="C79C5BBC">
      <w:numFmt w:val="bullet"/>
      <w:lvlText w:val="•"/>
      <w:lvlJc w:val="left"/>
      <w:pPr>
        <w:ind w:left="4208" w:hanging="180"/>
      </w:pPr>
      <w:rPr>
        <w:rFonts w:hint="default"/>
      </w:rPr>
    </w:lvl>
    <w:lvl w:ilvl="5" w:tplc="936872EE">
      <w:numFmt w:val="bullet"/>
      <w:lvlText w:val="•"/>
      <w:lvlJc w:val="left"/>
      <w:pPr>
        <w:ind w:left="5100" w:hanging="180"/>
      </w:pPr>
      <w:rPr>
        <w:rFonts w:hint="default"/>
      </w:rPr>
    </w:lvl>
    <w:lvl w:ilvl="6" w:tplc="9A4CF400">
      <w:numFmt w:val="bullet"/>
      <w:lvlText w:val="•"/>
      <w:lvlJc w:val="left"/>
      <w:pPr>
        <w:ind w:left="5992" w:hanging="180"/>
      </w:pPr>
      <w:rPr>
        <w:rFonts w:hint="default"/>
      </w:rPr>
    </w:lvl>
    <w:lvl w:ilvl="7" w:tplc="576C2554">
      <w:numFmt w:val="bullet"/>
      <w:lvlText w:val="•"/>
      <w:lvlJc w:val="left"/>
      <w:pPr>
        <w:ind w:left="6884" w:hanging="180"/>
      </w:pPr>
      <w:rPr>
        <w:rFonts w:hint="default"/>
      </w:rPr>
    </w:lvl>
    <w:lvl w:ilvl="8" w:tplc="747E9EE0">
      <w:numFmt w:val="bullet"/>
      <w:lvlText w:val="•"/>
      <w:lvlJc w:val="left"/>
      <w:pPr>
        <w:ind w:left="7776" w:hanging="180"/>
      </w:pPr>
      <w:rPr>
        <w:rFonts w:hint="default"/>
      </w:rPr>
    </w:lvl>
  </w:abstractNum>
  <w:abstractNum w:abstractNumId="84" w15:restartNumberingAfterBreak="0">
    <w:nsid w:val="6C250BBE"/>
    <w:multiLevelType w:val="hybridMultilevel"/>
    <w:tmpl w:val="64301822"/>
    <w:lvl w:ilvl="0" w:tplc="25385BF0">
      <w:start w:val="2"/>
      <w:numFmt w:val="decimal"/>
      <w:lvlText w:val="%1)"/>
      <w:lvlJc w:val="left"/>
      <w:pPr>
        <w:ind w:left="100" w:hanging="250"/>
      </w:pPr>
      <w:rPr>
        <w:rFonts w:ascii="Times New Roman" w:eastAsia="Times New Roman" w:hAnsi="Times New Roman" w:cs="Times New Roman" w:hint="default"/>
        <w:w w:val="100"/>
        <w:sz w:val="23"/>
        <w:szCs w:val="23"/>
      </w:rPr>
    </w:lvl>
    <w:lvl w:ilvl="1" w:tplc="68FAC5AE">
      <w:numFmt w:val="bullet"/>
      <w:lvlText w:val="•"/>
      <w:lvlJc w:val="left"/>
      <w:pPr>
        <w:ind w:left="1070" w:hanging="250"/>
      </w:pPr>
      <w:rPr>
        <w:rFonts w:hint="default"/>
      </w:rPr>
    </w:lvl>
    <w:lvl w:ilvl="2" w:tplc="5548FCB8">
      <w:numFmt w:val="bullet"/>
      <w:lvlText w:val="•"/>
      <w:lvlJc w:val="left"/>
      <w:pPr>
        <w:ind w:left="2040" w:hanging="250"/>
      </w:pPr>
      <w:rPr>
        <w:rFonts w:hint="default"/>
      </w:rPr>
    </w:lvl>
    <w:lvl w:ilvl="3" w:tplc="A7B4143A">
      <w:numFmt w:val="bullet"/>
      <w:lvlText w:val="•"/>
      <w:lvlJc w:val="left"/>
      <w:pPr>
        <w:ind w:left="3010" w:hanging="250"/>
      </w:pPr>
      <w:rPr>
        <w:rFonts w:hint="default"/>
      </w:rPr>
    </w:lvl>
    <w:lvl w:ilvl="4" w:tplc="6C124EA4">
      <w:numFmt w:val="bullet"/>
      <w:lvlText w:val="•"/>
      <w:lvlJc w:val="left"/>
      <w:pPr>
        <w:ind w:left="3980" w:hanging="250"/>
      </w:pPr>
      <w:rPr>
        <w:rFonts w:hint="default"/>
      </w:rPr>
    </w:lvl>
    <w:lvl w:ilvl="5" w:tplc="688C5A9A">
      <w:numFmt w:val="bullet"/>
      <w:lvlText w:val="•"/>
      <w:lvlJc w:val="left"/>
      <w:pPr>
        <w:ind w:left="4950" w:hanging="250"/>
      </w:pPr>
      <w:rPr>
        <w:rFonts w:hint="default"/>
      </w:rPr>
    </w:lvl>
    <w:lvl w:ilvl="6" w:tplc="43A0AE98">
      <w:numFmt w:val="bullet"/>
      <w:lvlText w:val="•"/>
      <w:lvlJc w:val="left"/>
      <w:pPr>
        <w:ind w:left="5920" w:hanging="250"/>
      </w:pPr>
      <w:rPr>
        <w:rFonts w:hint="default"/>
      </w:rPr>
    </w:lvl>
    <w:lvl w:ilvl="7" w:tplc="6F660976">
      <w:numFmt w:val="bullet"/>
      <w:lvlText w:val="•"/>
      <w:lvlJc w:val="left"/>
      <w:pPr>
        <w:ind w:left="6890" w:hanging="250"/>
      </w:pPr>
      <w:rPr>
        <w:rFonts w:hint="default"/>
      </w:rPr>
    </w:lvl>
    <w:lvl w:ilvl="8" w:tplc="6A62CEB8">
      <w:numFmt w:val="bullet"/>
      <w:lvlText w:val="•"/>
      <w:lvlJc w:val="left"/>
      <w:pPr>
        <w:ind w:left="7860" w:hanging="250"/>
      </w:pPr>
      <w:rPr>
        <w:rFonts w:hint="default"/>
      </w:rPr>
    </w:lvl>
  </w:abstractNum>
  <w:abstractNum w:abstractNumId="85" w15:restartNumberingAfterBreak="0">
    <w:nsid w:val="6E6B5823"/>
    <w:multiLevelType w:val="hybridMultilevel"/>
    <w:tmpl w:val="EF5C1DB2"/>
    <w:lvl w:ilvl="0" w:tplc="B1AA7A98">
      <w:start w:val="1"/>
      <w:numFmt w:val="decimal"/>
      <w:lvlText w:val="%1."/>
      <w:lvlJc w:val="left"/>
      <w:pPr>
        <w:ind w:left="396" w:hanging="276"/>
      </w:pPr>
      <w:rPr>
        <w:rFonts w:ascii="Times New Roman" w:eastAsia="Times New Roman" w:hAnsi="Times New Roman" w:cs="Times New Roman" w:hint="default"/>
        <w:b/>
        <w:bCs/>
        <w:w w:val="100"/>
        <w:sz w:val="22"/>
        <w:szCs w:val="22"/>
      </w:rPr>
    </w:lvl>
    <w:lvl w:ilvl="1" w:tplc="B360DEC2">
      <w:numFmt w:val="bullet"/>
      <w:lvlText w:val="•"/>
      <w:lvlJc w:val="left"/>
      <w:pPr>
        <w:ind w:left="1360" w:hanging="276"/>
      </w:pPr>
      <w:rPr>
        <w:rFonts w:hint="default"/>
      </w:rPr>
    </w:lvl>
    <w:lvl w:ilvl="2" w:tplc="4526412C">
      <w:numFmt w:val="bullet"/>
      <w:lvlText w:val="•"/>
      <w:lvlJc w:val="left"/>
      <w:pPr>
        <w:ind w:left="2320" w:hanging="276"/>
      </w:pPr>
      <w:rPr>
        <w:rFonts w:hint="default"/>
      </w:rPr>
    </w:lvl>
    <w:lvl w:ilvl="3" w:tplc="A358E162">
      <w:numFmt w:val="bullet"/>
      <w:lvlText w:val="•"/>
      <w:lvlJc w:val="left"/>
      <w:pPr>
        <w:ind w:left="3280" w:hanging="276"/>
      </w:pPr>
      <w:rPr>
        <w:rFonts w:hint="default"/>
      </w:rPr>
    </w:lvl>
    <w:lvl w:ilvl="4" w:tplc="2D76954C">
      <w:numFmt w:val="bullet"/>
      <w:lvlText w:val="•"/>
      <w:lvlJc w:val="left"/>
      <w:pPr>
        <w:ind w:left="4240" w:hanging="276"/>
      </w:pPr>
      <w:rPr>
        <w:rFonts w:hint="default"/>
      </w:rPr>
    </w:lvl>
    <w:lvl w:ilvl="5" w:tplc="EA4E77A0">
      <w:numFmt w:val="bullet"/>
      <w:lvlText w:val="•"/>
      <w:lvlJc w:val="left"/>
      <w:pPr>
        <w:ind w:left="5200" w:hanging="276"/>
      </w:pPr>
      <w:rPr>
        <w:rFonts w:hint="default"/>
      </w:rPr>
    </w:lvl>
    <w:lvl w:ilvl="6" w:tplc="A502E884">
      <w:numFmt w:val="bullet"/>
      <w:lvlText w:val="•"/>
      <w:lvlJc w:val="left"/>
      <w:pPr>
        <w:ind w:left="6160" w:hanging="276"/>
      </w:pPr>
      <w:rPr>
        <w:rFonts w:hint="default"/>
      </w:rPr>
    </w:lvl>
    <w:lvl w:ilvl="7" w:tplc="A7FABD1A">
      <w:numFmt w:val="bullet"/>
      <w:lvlText w:val="•"/>
      <w:lvlJc w:val="left"/>
      <w:pPr>
        <w:ind w:left="7120" w:hanging="276"/>
      </w:pPr>
      <w:rPr>
        <w:rFonts w:hint="default"/>
      </w:rPr>
    </w:lvl>
    <w:lvl w:ilvl="8" w:tplc="2182BA50">
      <w:numFmt w:val="bullet"/>
      <w:lvlText w:val="•"/>
      <w:lvlJc w:val="left"/>
      <w:pPr>
        <w:ind w:left="8080" w:hanging="276"/>
      </w:pPr>
      <w:rPr>
        <w:rFonts w:hint="default"/>
      </w:rPr>
    </w:lvl>
  </w:abstractNum>
  <w:abstractNum w:abstractNumId="86" w15:restartNumberingAfterBreak="0">
    <w:nsid w:val="6F722CB0"/>
    <w:multiLevelType w:val="hybridMultilevel"/>
    <w:tmpl w:val="1294398A"/>
    <w:lvl w:ilvl="0" w:tplc="EF567738">
      <w:start w:val="1"/>
      <w:numFmt w:val="decimal"/>
      <w:lvlText w:val="%1."/>
      <w:lvlJc w:val="left"/>
      <w:pPr>
        <w:ind w:left="120" w:hanging="276"/>
      </w:pPr>
      <w:rPr>
        <w:rFonts w:ascii="Times New Roman" w:eastAsia="Times New Roman" w:hAnsi="Times New Roman" w:cs="Times New Roman" w:hint="default"/>
        <w:b/>
        <w:bCs/>
        <w:w w:val="100"/>
        <w:sz w:val="22"/>
        <w:szCs w:val="22"/>
      </w:rPr>
    </w:lvl>
    <w:lvl w:ilvl="1" w:tplc="FF340452">
      <w:start w:val="1"/>
      <w:numFmt w:val="lowerLetter"/>
      <w:lvlText w:val="%2."/>
      <w:lvlJc w:val="left"/>
      <w:pPr>
        <w:ind w:left="220" w:hanging="226"/>
      </w:pPr>
      <w:rPr>
        <w:rFonts w:ascii="Times New Roman" w:eastAsia="Times New Roman" w:hAnsi="Times New Roman" w:cs="Times New Roman" w:hint="default"/>
        <w:w w:val="100"/>
        <w:sz w:val="23"/>
        <w:szCs w:val="23"/>
      </w:rPr>
    </w:lvl>
    <w:lvl w:ilvl="2" w:tplc="40AC8872">
      <w:numFmt w:val="bullet"/>
      <w:lvlText w:val="•"/>
      <w:lvlJc w:val="left"/>
      <w:pPr>
        <w:ind w:left="1284" w:hanging="226"/>
      </w:pPr>
      <w:rPr>
        <w:rFonts w:hint="default"/>
      </w:rPr>
    </w:lvl>
    <w:lvl w:ilvl="3" w:tplc="191ED3C8">
      <w:numFmt w:val="bullet"/>
      <w:lvlText w:val="•"/>
      <w:lvlJc w:val="left"/>
      <w:pPr>
        <w:ind w:left="2348" w:hanging="226"/>
      </w:pPr>
      <w:rPr>
        <w:rFonts w:hint="default"/>
      </w:rPr>
    </w:lvl>
    <w:lvl w:ilvl="4" w:tplc="5812190C">
      <w:numFmt w:val="bullet"/>
      <w:lvlText w:val="•"/>
      <w:lvlJc w:val="left"/>
      <w:pPr>
        <w:ind w:left="3413" w:hanging="226"/>
      </w:pPr>
      <w:rPr>
        <w:rFonts w:hint="default"/>
      </w:rPr>
    </w:lvl>
    <w:lvl w:ilvl="5" w:tplc="339EBA86">
      <w:numFmt w:val="bullet"/>
      <w:lvlText w:val="•"/>
      <w:lvlJc w:val="left"/>
      <w:pPr>
        <w:ind w:left="4477" w:hanging="226"/>
      </w:pPr>
      <w:rPr>
        <w:rFonts w:hint="default"/>
      </w:rPr>
    </w:lvl>
    <w:lvl w:ilvl="6" w:tplc="5F3CF4E4">
      <w:numFmt w:val="bullet"/>
      <w:lvlText w:val="•"/>
      <w:lvlJc w:val="left"/>
      <w:pPr>
        <w:ind w:left="5542" w:hanging="226"/>
      </w:pPr>
      <w:rPr>
        <w:rFonts w:hint="default"/>
      </w:rPr>
    </w:lvl>
    <w:lvl w:ilvl="7" w:tplc="854E93A8">
      <w:numFmt w:val="bullet"/>
      <w:lvlText w:val="•"/>
      <w:lvlJc w:val="left"/>
      <w:pPr>
        <w:ind w:left="6606" w:hanging="226"/>
      </w:pPr>
      <w:rPr>
        <w:rFonts w:hint="default"/>
      </w:rPr>
    </w:lvl>
    <w:lvl w:ilvl="8" w:tplc="0BFAD0F6">
      <w:numFmt w:val="bullet"/>
      <w:lvlText w:val="•"/>
      <w:lvlJc w:val="left"/>
      <w:pPr>
        <w:ind w:left="7671" w:hanging="226"/>
      </w:pPr>
      <w:rPr>
        <w:rFonts w:hint="default"/>
      </w:rPr>
    </w:lvl>
  </w:abstractNum>
  <w:abstractNum w:abstractNumId="87" w15:restartNumberingAfterBreak="0">
    <w:nsid w:val="7081495B"/>
    <w:multiLevelType w:val="multilevel"/>
    <w:tmpl w:val="26F4A9D4"/>
    <w:lvl w:ilvl="0">
      <w:start w:val="5"/>
      <w:numFmt w:val="upperRoman"/>
      <w:lvlText w:val="%1"/>
      <w:lvlJc w:val="left"/>
      <w:pPr>
        <w:ind w:left="768" w:hanging="648"/>
      </w:pPr>
      <w:rPr>
        <w:rFonts w:hint="default"/>
      </w:rPr>
    </w:lvl>
    <w:lvl w:ilvl="1">
      <w:start w:val="1"/>
      <w:numFmt w:val="upperLetter"/>
      <w:lvlText w:val="%1.%2."/>
      <w:lvlJc w:val="left"/>
      <w:pPr>
        <w:ind w:left="100" w:hanging="648"/>
      </w:pPr>
      <w:rPr>
        <w:rFonts w:ascii="Times New Roman" w:eastAsia="Times New Roman" w:hAnsi="Times New Roman" w:cs="Times New Roman" w:hint="default"/>
        <w:b/>
        <w:bCs/>
        <w:spacing w:val="-17"/>
        <w:w w:val="99"/>
        <w:sz w:val="24"/>
        <w:szCs w:val="24"/>
      </w:rPr>
    </w:lvl>
    <w:lvl w:ilvl="2">
      <w:numFmt w:val="bullet"/>
      <w:lvlText w:val="•"/>
      <w:lvlJc w:val="left"/>
      <w:pPr>
        <w:ind w:left="1726" w:hanging="648"/>
      </w:pPr>
      <w:rPr>
        <w:rFonts w:hint="default"/>
      </w:rPr>
    </w:lvl>
    <w:lvl w:ilvl="3">
      <w:numFmt w:val="bullet"/>
      <w:lvlText w:val="•"/>
      <w:lvlJc w:val="left"/>
      <w:pPr>
        <w:ind w:left="2693" w:hanging="648"/>
      </w:pPr>
      <w:rPr>
        <w:rFonts w:hint="default"/>
      </w:rPr>
    </w:lvl>
    <w:lvl w:ilvl="4">
      <w:numFmt w:val="bullet"/>
      <w:lvlText w:val="•"/>
      <w:lvlJc w:val="left"/>
      <w:pPr>
        <w:ind w:left="3660" w:hanging="648"/>
      </w:pPr>
      <w:rPr>
        <w:rFonts w:hint="default"/>
      </w:rPr>
    </w:lvl>
    <w:lvl w:ilvl="5">
      <w:numFmt w:val="bullet"/>
      <w:lvlText w:val="•"/>
      <w:lvlJc w:val="left"/>
      <w:pPr>
        <w:ind w:left="4626" w:hanging="648"/>
      </w:pPr>
      <w:rPr>
        <w:rFonts w:hint="default"/>
      </w:rPr>
    </w:lvl>
    <w:lvl w:ilvl="6">
      <w:numFmt w:val="bullet"/>
      <w:lvlText w:val="•"/>
      <w:lvlJc w:val="left"/>
      <w:pPr>
        <w:ind w:left="5593" w:hanging="648"/>
      </w:pPr>
      <w:rPr>
        <w:rFonts w:hint="default"/>
      </w:rPr>
    </w:lvl>
    <w:lvl w:ilvl="7">
      <w:numFmt w:val="bullet"/>
      <w:lvlText w:val="•"/>
      <w:lvlJc w:val="left"/>
      <w:pPr>
        <w:ind w:left="6560" w:hanging="648"/>
      </w:pPr>
      <w:rPr>
        <w:rFonts w:hint="default"/>
      </w:rPr>
    </w:lvl>
    <w:lvl w:ilvl="8">
      <w:numFmt w:val="bullet"/>
      <w:lvlText w:val="•"/>
      <w:lvlJc w:val="left"/>
      <w:pPr>
        <w:ind w:left="7526" w:hanging="648"/>
      </w:pPr>
      <w:rPr>
        <w:rFonts w:hint="default"/>
      </w:rPr>
    </w:lvl>
  </w:abstractNum>
  <w:abstractNum w:abstractNumId="88" w15:restartNumberingAfterBreak="0">
    <w:nsid w:val="70EE3589"/>
    <w:multiLevelType w:val="hybridMultilevel"/>
    <w:tmpl w:val="06B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6215B0"/>
    <w:multiLevelType w:val="hybridMultilevel"/>
    <w:tmpl w:val="78CA7CDA"/>
    <w:lvl w:ilvl="0" w:tplc="1E0AE032">
      <w:start w:val="2"/>
      <w:numFmt w:val="lowerRoman"/>
      <w:lvlText w:val="(%1)"/>
      <w:lvlJc w:val="left"/>
      <w:pPr>
        <w:ind w:left="220" w:hanging="353"/>
      </w:pPr>
      <w:rPr>
        <w:rFonts w:ascii="Times New Roman" w:eastAsia="Times New Roman" w:hAnsi="Times New Roman" w:cs="Times New Roman" w:hint="default"/>
        <w:w w:val="99"/>
        <w:sz w:val="24"/>
        <w:szCs w:val="24"/>
      </w:rPr>
    </w:lvl>
    <w:lvl w:ilvl="1" w:tplc="8E164628">
      <w:numFmt w:val="bullet"/>
      <w:lvlText w:val="•"/>
      <w:lvlJc w:val="left"/>
      <w:pPr>
        <w:ind w:left="671" w:hanging="353"/>
      </w:pPr>
      <w:rPr>
        <w:rFonts w:hint="default"/>
      </w:rPr>
    </w:lvl>
    <w:lvl w:ilvl="2" w:tplc="E6481DEA">
      <w:numFmt w:val="bullet"/>
      <w:lvlText w:val="•"/>
      <w:lvlJc w:val="left"/>
      <w:pPr>
        <w:ind w:left="1123" w:hanging="353"/>
      </w:pPr>
      <w:rPr>
        <w:rFonts w:hint="default"/>
      </w:rPr>
    </w:lvl>
    <w:lvl w:ilvl="3" w:tplc="124C4BC8">
      <w:numFmt w:val="bullet"/>
      <w:lvlText w:val="•"/>
      <w:lvlJc w:val="left"/>
      <w:pPr>
        <w:ind w:left="1575" w:hanging="353"/>
      </w:pPr>
      <w:rPr>
        <w:rFonts w:hint="default"/>
      </w:rPr>
    </w:lvl>
    <w:lvl w:ilvl="4" w:tplc="9A2E61DA">
      <w:numFmt w:val="bullet"/>
      <w:lvlText w:val="•"/>
      <w:lvlJc w:val="left"/>
      <w:pPr>
        <w:ind w:left="2027" w:hanging="353"/>
      </w:pPr>
      <w:rPr>
        <w:rFonts w:hint="default"/>
      </w:rPr>
    </w:lvl>
    <w:lvl w:ilvl="5" w:tplc="667278A4">
      <w:numFmt w:val="bullet"/>
      <w:lvlText w:val="•"/>
      <w:lvlJc w:val="left"/>
      <w:pPr>
        <w:ind w:left="2479" w:hanging="353"/>
      </w:pPr>
      <w:rPr>
        <w:rFonts w:hint="default"/>
      </w:rPr>
    </w:lvl>
    <w:lvl w:ilvl="6" w:tplc="C8ECB2BC">
      <w:numFmt w:val="bullet"/>
      <w:lvlText w:val="•"/>
      <w:lvlJc w:val="left"/>
      <w:pPr>
        <w:ind w:left="2930" w:hanging="353"/>
      </w:pPr>
      <w:rPr>
        <w:rFonts w:hint="default"/>
      </w:rPr>
    </w:lvl>
    <w:lvl w:ilvl="7" w:tplc="8BBE8A36">
      <w:numFmt w:val="bullet"/>
      <w:lvlText w:val="•"/>
      <w:lvlJc w:val="left"/>
      <w:pPr>
        <w:ind w:left="3382" w:hanging="353"/>
      </w:pPr>
      <w:rPr>
        <w:rFonts w:hint="default"/>
      </w:rPr>
    </w:lvl>
    <w:lvl w:ilvl="8" w:tplc="D4CC24FC">
      <w:numFmt w:val="bullet"/>
      <w:lvlText w:val="•"/>
      <w:lvlJc w:val="left"/>
      <w:pPr>
        <w:ind w:left="3834" w:hanging="353"/>
      </w:pPr>
      <w:rPr>
        <w:rFonts w:hint="default"/>
      </w:rPr>
    </w:lvl>
  </w:abstractNum>
  <w:abstractNum w:abstractNumId="90" w15:restartNumberingAfterBreak="0">
    <w:nsid w:val="74C16ADD"/>
    <w:multiLevelType w:val="hybridMultilevel"/>
    <w:tmpl w:val="D6480D62"/>
    <w:lvl w:ilvl="0" w:tplc="CCEAE4FC">
      <w:numFmt w:val="bullet"/>
      <w:lvlText w:val=""/>
      <w:lvlJc w:val="left"/>
      <w:pPr>
        <w:ind w:left="463" w:hanging="360"/>
      </w:pPr>
      <w:rPr>
        <w:rFonts w:ascii="Symbol" w:eastAsia="Symbol" w:hAnsi="Symbol" w:cs="Symbol" w:hint="default"/>
        <w:w w:val="100"/>
        <w:sz w:val="24"/>
        <w:szCs w:val="24"/>
      </w:rPr>
    </w:lvl>
    <w:lvl w:ilvl="1" w:tplc="14EA9992">
      <w:numFmt w:val="bullet"/>
      <w:lvlText w:val="•"/>
      <w:lvlJc w:val="left"/>
      <w:pPr>
        <w:ind w:left="1370" w:hanging="360"/>
      </w:pPr>
      <w:rPr>
        <w:rFonts w:hint="default"/>
      </w:rPr>
    </w:lvl>
    <w:lvl w:ilvl="2" w:tplc="F9806416">
      <w:numFmt w:val="bullet"/>
      <w:lvlText w:val="•"/>
      <w:lvlJc w:val="left"/>
      <w:pPr>
        <w:ind w:left="2281" w:hanging="360"/>
      </w:pPr>
      <w:rPr>
        <w:rFonts w:hint="default"/>
      </w:rPr>
    </w:lvl>
    <w:lvl w:ilvl="3" w:tplc="27F2BA68">
      <w:numFmt w:val="bullet"/>
      <w:lvlText w:val="•"/>
      <w:lvlJc w:val="left"/>
      <w:pPr>
        <w:ind w:left="3192" w:hanging="360"/>
      </w:pPr>
      <w:rPr>
        <w:rFonts w:hint="default"/>
      </w:rPr>
    </w:lvl>
    <w:lvl w:ilvl="4" w:tplc="A14A1294">
      <w:numFmt w:val="bullet"/>
      <w:lvlText w:val="•"/>
      <w:lvlJc w:val="left"/>
      <w:pPr>
        <w:ind w:left="4103" w:hanging="360"/>
      </w:pPr>
      <w:rPr>
        <w:rFonts w:hint="default"/>
      </w:rPr>
    </w:lvl>
    <w:lvl w:ilvl="5" w:tplc="2E7A615E">
      <w:numFmt w:val="bullet"/>
      <w:lvlText w:val="•"/>
      <w:lvlJc w:val="left"/>
      <w:pPr>
        <w:ind w:left="5014" w:hanging="360"/>
      </w:pPr>
      <w:rPr>
        <w:rFonts w:hint="default"/>
      </w:rPr>
    </w:lvl>
    <w:lvl w:ilvl="6" w:tplc="DF345C76">
      <w:numFmt w:val="bullet"/>
      <w:lvlText w:val="•"/>
      <w:lvlJc w:val="left"/>
      <w:pPr>
        <w:ind w:left="5925" w:hanging="360"/>
      </w:pPr>
      <w:rPr>
        <w:rFonts w:hint="default"/>
      </w:rPr>
    </w:lvl>
    <w:lvl w:ilvl="7" w:tplc="75325BC4">
      <w:numFmt w:val="bullet"/>
      <w:lvlText w:val="•"/>
      <w:lvlJc w:val="left"/>
      <w:pPr>
        <w:ind w:left="6835" w:hanging="360"/>
      </w:pPr>
      <w:rPr>
        <w:rFonts w:hint="default"/>
      </w:rPr>
    </w:lvl>
    <w:lvl w:ilvl="8" w:tplc="088894DA">
      <w:numFmt w:val="bullet"/>
      <w:lvlText w:val="•"/>
      <w:lvlJc w:val="left"/>
      <w:pPr>
        <w:ind w:left="7746" w:hanging="360"/>
      </w:pPr>
      <w:rPr>
        <w:rFonts w:hint="default"/>
      </w:rPr>
    </w:lvl>
  </w:abstractNum>
  <w:abstractNum w:abstractNumId="91" w15:restartNumberingAfterBreak="0">
    <w:nsid w:val="752F52B1"/>
    <w:multiLevelType w:val="hybridMultilevel"/>
    <w:tmpl w:val="167AA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77F5442E"/>
    <w:multiLevelType w:val="hybridMultilevel"/>
    <w:tmpl w:val="A8682320"/>
    <w:lvl w:ilvl="0" w:tplc="DA68810A">
      <w:numFmt w:val="bullet"/>
      <w:lvlText w:val=""/>
      <w:lvlJc w:val="left"/>
      <w:pPr>
        <w:ind w:left="599" w:hanging="360"/>
      </w:pPr>
      <w:rPr>
        <w:rFonts w:ascii="Symbol" w:eastAsia="Symbol" w:hAnsi="Symbol" w:cs="Symbol" w:hint="default"/>
        <w:w w:val="100"/>
        <w:sz w:val="24"/>
        <w:szCs w:val="24"/>
      </w:rPr>
    </w:lvl>
    <w:lvl w:ilvl="1" w:tplc="C4568F84">
      <w:numFmt w:val="bullet"/>
      <w:lvlText w:val="•"/>
      <w:lvlJc w:val="left"/>
      <w:pPr>
        <w:ind w:left="1494" w:hanging="360"/>
      </w:pPr>
      <w:rPr>
        <w:rFonts w:hint="default"/>
      </w:rPr>
    </w:lvl>
    <w:lvl w:ilvl="2" w:tplc="53400F18">
      <w:numFmt w:val="bullet"/>
      <w:lvlText w:val="•"/>
      <w:lvlJc w:val="left"/>
      <w:pPr>
        <w:ind w:left="2388" w:hanging="360"/>
      </w:pPr>
      <w:rPr>
        <w:rFonts w:hint="default"/>
      </w:rPr>
    </w:lvl>
    <w:lvl w:ilvl="3" w:tplc="532AF646">
      <w:numFmt w:val="bullet"/>
      <w:lvlText w:val="•"/>
      <w:lvlJc w:val="left"/>
      <w:pPr>
        <w:ind w:left="3282" w:hanging="360"/>
      </w:pPr>
      <w:rPr>
        <w:rFonts w:hint="default"/>
      </w:rPr>
    </w:lvl>
    <w:lvl w:ilvl="4" w:tplc="69CAE59C">
      <w:numFmt w:val="bullet"/>
      <w:lvlText w:val="•"/>
      <w:lvlJc w:val="left"/>
      <w:pPr>
        <w:ind w:left="4176" w:hanging="360"/>
      </w:pPr>
      <w:rPr>
        <w:rFonts w:hint="default"/>
      </w:rPr>
    </w:lvl>
    <w:lvl w:ilvl="5" w:tplc="26D2D22A">
      <w:numFmt w:val="bullet"/>
      <w:lvlText w:val="•"/>
      <w:lvlJc w:val="left"/>
      <w:pPr>
        <w:ind w:left="5070" w:hanging="360"/>
      </w:pPr>
      <w:rPr>
        <w:rFonts w:hint="default"/>
      </w:rPr>
    </w:lvl>
    <w:lvl w:ilvl="6" w:tplc="1FB026C4">
      <w:numFmt w:val="bullet"/>
      <w:lvlText w:val="•"/>
      <w:lvlJc w:val="left"/>
      <w:pPr>
        <w:ind w:left="5964" w:hanging="360"/>
      </w:pPr>
      <w:rPr>
        <w:rFonts w:hint="default"/>
      </w:rPr>
    </w:lvl>
    <w:lvl w:ilvl="7" w:tplc="B75E3DBA">
      <w:numFmt w:val="bullet"/>
      <w:lvlText w:val="•"/>
      <w:lvlJc w:val="left"/>
      <w:pPr>
        <w:ind w:left="6858" w:hanging="360"/>
      </w:pPr>
      <w:rPr>
        <w:rFonts w:hint="default"/>
      </w:rPr>
    </w:lvl>
    <w:lvl w:ilvl="8" w:tplc="6DB2E240">
      <w:numFmt w:val="bullet"/>
      <w:lvlText w:val="•"/>
      <w:lvlJc w:val="left"/>
      <w:pPr>
        <w:ind w:left="7752" w:hanging="360"/>
      </w:pPr>
      <w:rPr>
        <w:rFonts w:hint="default"/>
      </w:rPr>
    </w:lvl>
  </w:abstractNum>
  <w:abstractNum w:abstractNumId="93" w15:restartNumberingAfterBreak="0">
    <w:nsid w:val="79AC1347"/>
    <w:multiLevelType w:val="hybridMultilevel"/>
    <w:tmpl w:val="5F0CB1A0"/>
    <w:lvl w:ilvl="0" w:tplc="D1D470E8">
      <w:numFmt w:val="bullet"/>
      <w:lvlText w:val=""/>
      <w:lvlJc w:val="left"/>
      <w:pPr>
        <w:ind w:left="820" w:hanging="360"/>
      </w:pPr>
      <w:rPr>
        <w:rFonts w:ascii="Symbol" w:eastAsia="Symbol" w:hAnsi="Symbol" w:cs="Symbol" w:hint="default"/>
        <w:w w:val="100"/>
        <w:sz w:val="24"/>
        <w:szCs w:val="24"/>
      </w:rPr>
    </w:lvl>
    <w:lvl w:ilvl="1" w:tplc="F5BE16F8">
      <w:numFmt w:val="bullet"/>
      <w:lvlText w:val="•"/>
      <w:lvlJc w:val="left"/>
      <w:pPr>
        <w:ind w:left="1718" w:hanging="360"/>
      </w:pPr>
      <w:rPr>
        <w:rFonts w:hint="default"/>
      </w:rPr>
    </w:lvl>
    <w:lvl w:ilvl="2" w:tplc="78EEA940">
      <w:numFmt w:val="bullet"/>
      <w:lvlText w:val="•"/>
      <w:lvlJc w:val="left"/>
      <w:pPr>
        <w:ind w:left="2616" w:hanging="360"/>
      </w:pPr>
      <w:rPr>
        <w:rFonts w:hint="default"/>
      </w:rPr>
    </w:lvl>
    <w:lvl w:ilvl="3" w:tplc="651A2818">
      <w:numFmt w:val="bullet"/>
      <w:lvlText w:val="•"/>
      <w:lvlJc w:val="left"/>
      <w:pPr>
        <w:ind w:left="3514" w:hanging="360"/>
      </w:pPr>
      <w:rPr>
        <w:rFonts w:hint="default"/>
      </w:rPr>
    </w:lvl>
    <w:lvl w:ilvl="4" w:tplc="8F6CA528">
      <w:numFmt w:val="bullet"/>
      <w:lvlText w:val="•"/>
      <w:lvlJc w:val="left"/>
      <w:pPr>
        <w:ind w:left="4412" w:hanging="360"/>
      </w:pPr>
      <w:rPr>
        <w:rFonts w:hint="default"/>
      </w:rPr>
    </w:lvl>
    <w:lvl w:ilvl="5" w:tplc="76144A50">
      <w:numFmt w:val="bullet"/>
      <w:lvlText w:val="•"/>
      <w:lvlJc w:val="left"/>
      <w:pPr>
        <w:ind w:left="5310" w:hanging="360"/>
      </w:pPr>
      <w:rPr>
        <w:rFonts w:hint="default"/>
      </w:rPr>
    </w:lvl>
    <w:lvl w:ilvl="6" w:tplc="3F96E8A0">
      <w:numFmt w:val="bullet"/>
      <w:lvlText w:val="•"/>
      <w:lvlJc w:val="left"/>
      <w:pPr>
        <w:ind w:left="6208" w:hanging="360"/>
      </w:pPr>
      <w:rPr>
        <w:rFonts w:hint="default"/>
      </w:rPr>
    </w:lvl>
    <w:lvl w:ilvl="7" w:tplc="C86C6974">
      <w:numFmt w:val="bullet"/>
      <w:lvlText w:val="•"/>
      <w:lvlJc w:val="left"/>
      <w:pPr>
        <w:ind w:left="7106" w:hanging="360"/>
      </w:pPr>
      <w:rPr>
        <w:rFonts w:hint="default"/>
      </w:rPr>
    </w:lvl>
    <w:lvl w:ilvl="8" w:tplc="DFAEB5F8">
      <w:numFmt w:val="bullet"/>
      <w:lvlText w:val="•"/>
      <w:lvlJc w:val="left"/>
      <w:pPr>
        <w:ind w:left="8004" w:hanging="360"/>
      </w:pPr>
      <w:rPr>
        <w:rFonts w:hint="default"/>
      </w:rPr>
    </w:lvl>
  </w:abstractNum>
  <w:abstractNum w:abstractNumId="94" w15:restartNumberingAfterBreak="0">
    <w:nsid w:val="7AC95086"/>
    <w:multiLevelType w:val="hybridMultilevel"/>
    <w:tmpl w:val="D2B4DB2C"/>
    <w:lvl w:ilvl="0" w:tplc="A4D64F3E">
      <w:start w:val="1"/>
      <w:numFmt w:val="decimal"/>
      <w:lvlText w:val="%1."/>
      <w:lvlJc w:val="left"/>
      <w:pPr>
        <w:ind w:left="540" w:hanging="360"/>
      </w:pPr>
      <w:rPr>
        <w:rFonts w:ascii="Times New Roman" w:eastAsia="Times New Roman" w:hAnsi="Times New Roman" w:cs="Times New Roman" w:hint="default"/>
        <w:spacing w:val="-8"/>
        <w:w w:val="99"/>
        <w:sz w:val="24"/>
        <w:szCs w:val="24"/>
      </w:rPr>
    </w:lvl>
    <w:lvl w:ilvl="1" w:tplc="91B09520">
      <w:start w:val="1"/>
      <w:numFmt w:val="decimal"/>
      <w:lvlText w:val="(%2)"/>
      <w:lvlJc w:val="left"/>
      <w:pPr>
        <w:ind w:left="1180" w:hanging="360"/>
      </w:pPr>
      <w:rPr>
        <w:rFonts w:ascii="Times New Roman" w:eastAsia="Times New Roman" w:hAnsi="Times New Roman" w:cs="Times New Roman" w:hint="default"/>
        <w:w w:val="99"/>
        <w:sz w:val="24"/>
        <w:szCs w:val="24"/>
      </w:rPr>
    </w:lvl>
    <w:lvl w:ilvl="2" w:tplc="552E1DF4">
      <w:numFmt w:val="bullet"/>
      <w:lvlText w:val="•"/>
      <w:lvlJc w:val="left"/>
      <w:pPr>
        <w:ind w:left="2106" w:hanging="360"/>
      </w:pPr>
      <w:rPr>
        <w:rFonts w:hint="default"/>
      </w:rPr>
    </w:lvl>
    <w:lvl w:ilvl="3" w:tplc="9BD8343A">
      <w:numFmt w:val="bullet"/>
      <w:lvlText w:val="•"/>
      <w:lvlJc w:val="left"/>
      <w:pPr>
        <w:ind w:left="3033" w:hanging="360"/>
      </w:pPr>
      <w:rPr>
        <w:rFonts w:hint="default"/>
      </w:rPr>
    </w:lvl>
    <w:lvl w:ilvl="4" w:tplc="DE947CFC">
      <w:numFmt w:val="bullet"/>
      <w:lvlText w:val="•"/>
      <w:lvlJc w:val="left"/>
      <w:pPr>
        <w:ind w:left="3960" w:hanging="360"/>
      </w:pPr>
      <w:rPr>
        <w:rFonts w:hint="default"/>
      </w:rPr>
    </w:lvl>
    <w:lvl w:ilvl="5" w:tplc="412A69CA">
      <w:numFmt w:val="bullet"/>
      <w:lvlText w:val="•"/>
      <w:lvlJc w:val="left"/>
      <w:pPr>
        <w:ind w:left="4886" w:hanging="360"/>
      </w:pPr>
      <w:rPr>
        <w:rFonts w:hint="default"/>
      </w:rPr>
    </w:lvl>
    <w:lvl w:ilvl="6" w:tplc="EFC638EE">
      <w:numFmt w:val="bullet"/>
      <w:lvlText w:val="•"/>
      <w:lvlJc w:val="left"/>
      <w:pPr>
        <w:ind w:left="5813" w:hanging="360"/>
      </w:pPr>
      <w:rPr>
        <w:rFonts w:hint="default"/>
      </w:rPr>
    </w:lvl>
    <w:lvl w:ilvl="7" w:tplc="86C0F69C">
      <w:numFmt w:val="bullet"/>
      <w:lvlText w:val="•"/>
      <w:lvlJc w:val="left"/>
      <w:pPr>
        <w:ind w:left="6740" w:hanging="360"/>
      </w:pPr>
      <w:rPr>
        <w:rFonts w:hint="default"/>
      </w:rPr>
    </w:lvl>
    <w:lvl w:ilvl="8" w:tplc="4B149278">
      <w:numFmt w:val="bullet"/>
      <w:lvlText w:val="•"/>
      <w:lvlJc w:val="left"/>
      <w:pPr>
        <w:ind w:left="7666" w:hanging="360"/>
      </w:pPr>
      <w:rPr>
        <w:rFonts w:hint="default"/>
      </w:rPr>
    </w:lvl>
  </w:abstractNum>
  <w:abstractNum w:abstractNumId="95" w15:restartNumberingAfterBreak="0">
    <w:nsid w:val="7B1E7AF7"/>
    <w:multiLevelType w:val="hybridMultilevel"/>
    <w:tmpl w:val="5F00D794"/>
    <w:lvl w:ilvl="0" w:tplc="D3001F44">
      <w:start w:val="10"/>
      <w:numFmt w:val="decimal"/>
      <w:lvlText w:val="%1."/>
      <w:lvlJc w:val="left"/>
      <w:pPr>
        <w:ind w:left="506" w:hanging="387"/>
      </w:pPr>
      <w:rPr>
        <w:rFonts w:ascii="Times New Roman" w:eastAsia="Times New Roman" w:hAnsi="Times New Roman" w:cs="Times New Roman" w:hint="default"/>
        <w:b/>
        <w:bCs/>
        <w:w w:val="100"/>
        <w:sz w:val="22"/>
        <w:szCs w:val="22"/>
      </w:rPr>
    </w:lvl>
    <w:lvl w:ilvl="1" w:tplc="E3C83402">
      <w:start w:val="1"/>
      <w:numFmt w:val="decimal"/>
      <w:lvlText w:val="%2."/>
      <w:lvlJc w:val="left"/>
      <w:pPr>
        <w:ind w:left="921" w:hanging="360"/>
      </w:pPr>
      <w:rPr>
        <w:rFonts w:ascii="Times New Roman" w:eastAsia="Times New Roman" w:hAnsi="Times New Roman" w:cs="Times New Roman" w:hint="default"/>
        <w:spacing w:val="-10"/>
        <w:w w:val="99"/>
        <w:sz w:val="24"/>
        <w:szCs w:val="24"/>
      </w:rPr>
    </w:lvl>
    <w:lvl w:ilvl="2" w:tplc="878EBEB4">
      <w:start w:val="1"/>
      <w:numFmt w:val="decimal"/>
      <w:lvlText w:val="(%3)"/>
      <w:lvlJc w:val="left"/>
      <w:pPr>
        <w:ind w:left="940" w:hanging="312"/>
      </w:pPr>
      <w:rPr>
        <w:rFonts w:ascii="Times New Roman" w:eastAsia="Times New Roman" w:hAnsi="Times New Roman" w:cs="Times New Roman" w:hint="default"/>
        <w:b/>
        <w:bCs/>
        <w:w w:val="100"/>
        <w:sz w:val="22"/>
        <w:szCs w:val="22"/>
      </w:rPr>
    </w:lvl>
    <w:lvl w:ilvl="3" w:tplc="A4FAB006">
      <w:numFmt w:val="bullet"/>
      <w:lvlText w:val="•"/>
      <w:lvlJc w:val="left"/>
      <w:pPr>
        <w:ind w:left="2050" w:hanging="312"/>
      </w:pPr>
      <w:rPr>
        <w:rFonts w:hint="default"/>
      </w:rPr>
    </w:lvl>
    <w:lvl w:ilvl="4" w:tplc="654C8C60">
      <w:numFmt w:val="bullet"/>
      <w:lvlText w:val="•"/>
      <w:lvlJc w:val="left"/>
      <w:pPr>
        <w:ind w:left="3160" w:hanging="312"/>
      </w:pPr>
      <w:rPr>
        <w:rFonts w:hint="default"/>
      </w:rPr>
    </w:lvl>
    <w:lvl w:ilvl="5" w:tplc="B9A22166">
      <w:numFmt w:val="bullet"/>
      <w:lvlText w:val="•"/>
      <w:lvlJc w:val="left"/>
      <w:pPr>
        <w:ind w:left="4270" w:hanging="312"/>
      </w:pPr>
      <w:rPr>
        <w:rFonts w:hint="default"/>
      </w:rPr>
    </w:lvl>
    <w:lvl w:ilvl="6" w:tplc="A7088340">
      <w:numFmt w:val="bullet"/>
      <w:lvlText w:val="•"/>
      <w:lvlJc w:val="left"/>
      <w:pPr>
        <w:ind w:left="5380" w:hanging="312"/>
      </w:pPr>
      <w:rPr>
        <w:rFonts w:hint="default"/>
      </w:rPr>
    </w:lvl>
    <w:lvl w:ilvl="7" w:tplc="B896E07A">
      <w:numFmt w:val="bullet"/>
      <w:lvlText w:val="•"/>
      <w:lvlJc w:val="left"/>
      <w:pPr>
        <w:ind w:left="6490" w:hanging="312"/>
      </w:pPr>
      <w:rPr>
        <w:rFonts w:hint="default"/>
      </w:rPr>
    </w:lvl>
    <w:lvl w:ilvl="8" w:tplc="27A2EAA8">
      <w:numFmt w:val="bullet"/>
      <w:lvlText w:val="•"/>
      <w:lvlJc w:val="left"/>
      <w:pPr>
        <w:ind w:left="7600" w:hanging="312"/>
      </w:pPr>
      <w:rPr>
        <w:rFonts w:hint="default"/>
      </w:rPr>
    </w:lvl>
  </w:abstractNum>
  <w:abstractNum w:abstractNumId="96" w15:restartNumberingAfterBreak="0">
    <w:nsid w:val="7C6323B5"/>
    <w:multiLevelType w:val="hybridMultilevel"/>
    <w:tmpl w:val="1798AB94"/>
    <w:lvl w:ilvl="0" w:tplc="F36874A0">
      <w:numFmt w:val="bullet"/>
      <w:lvlText w:val=""/>
      <w:lvlJc w:val="left"/>
      <w:pPr>
        <w:ind w:left="463" w:hanging="360"/>
      </w:pPr>
      <w:rPr>
        <w:rFonts w:ascii="Symbol" w:eastAsia="Symbol" w:hAnsi="Symbol" w:cs="Symbol" w:hint="default"/>
        <w:w w:val="100"/>
        <w:sz w:val="24"/>
        <w:szCs w:val="24"/>
      </w:rPr>
    </w:lvl>
    <w:lvl w:ilvl="1" w:tplc="8A0A3F4A">
      <w:numFmt w:val="bullet"/>
      <w:lvlText w:val="•"/>
      <w:lvlJc w:val="left"/>
      <w:pPr>
        <w:ind w:left="1370" w:hanging="360"/>
      </w:pPr>
      <w:rPr>
        <w:rFonts w:hint="default"/>
      </w:rPr>
    </w:lvl>
    <w:lvl w:ilvl="2" w:tplc="6020351C">
      <w:numFmt w:val="bullet"/>
      <w:lvlText w:val="•"/>
      <w:lvlJc w:val="left"/>
      <w:pPr>
        <w:ind w:left="2281" w:hanging="360"/>
      </w:pPr>
      <w:rPr>
        <w:rFonts w:hint="default"/>
      </w:rPr>
    </w:lvl>
    <w:lvl w:ilvl="3" w:tplc="EE9C9D00">
      <w:numFmt w:val="bullet"/>
      <w:lvlText w:val="•"/>
      <w:lvlJc w:val="left"/>
      <w:pPr>
        <w:ind w:left="3192" w:hanging="360"/>
      </w:pPr>
      <w:rPr>
        <w:rFonts w:hint="default"/>
      </w:rPr>
    </w:lvl>
    <w:lvl w:ilvl="4" w:tplc="71BA6F64">
      <w:numFmt w:val="bullet"/>
      <w:lvlText w:val="•"/>
      <w:lvlJc w:val="left"/>
      <w:pPr>
        <w:ind w:left="4103" w:hanging="360"/>
      </w:pPr>
      <w:rPr>
        <w:rFonts w:hint="default"/>
      </w:rPr>
    </w:lvl>
    <w:lvl w:ilvl="5" w:tplc="A6FA57AE">
      <w:numFmt w:val="bullet"/>
      <w:lvlText w:val="•"/>
      <w:lvlJc w:val="left"/>
      <w:pPr>
        <w:ind w:left="5014" w:hanging="360"/>
      </w:pPr>
      <w:rPr>
        <w:rFonts w:hint="default"/>
      </w:rPr>
    </w:lvl>
    <w:lvl w:ilvl="6" w:tplc="25B28F30">
      <w:numFmt w:val="bullet"/>
      <w:lvlText w:val="•"/>
      <w:lvlJc w:val="left"/>
      <w:pPr>
        <w:ind w:left="5925" w:hanging="360"/>
      </w:pPr>
      <w:rPr>
        <w:rFonts w:hint="default"/>
      </w:rPr>
    </w:lvl>
    <w:lvl w:ilvl="7" w:tplc="A13628E6">
      <w:numFmt w:val="bullet"/>
      <w:lvlText w:val="•"/>
      <w:lvlJc w:val="left"/>
      <w:pPr>
        <w:ind w:left="6835" w:hanging="360"/>
      </w:pPr>
      <w:rPr>
        <w:rFonts w:hint="default"/>
      </w:rPr>
    </w:lvl>
    <w:lvl w:ilvl="8" w:tplc="539E52A2">
      <w:numFmt w:val="bullet"/>
      <w:lvlText w:val="•"/>
      <w:lvlJc w:val="left"/>
      <w:pPr>
        <w:ind w:left="7746" w:hanging="360"/>
      </w:pPr>
      <w:rPr>
        <w:rFonts w:hint="default"/>
      </w:rPr>
    </w:lvl>
  </w:abstractNum>
  <w:abstractNum w:abstractNumId="97" w15:restartNumberingAfterBreak="0">
    <w:nsid w:val="7C687DA6"/>
    <w:multiLevelType w:val="hybridMultilevel"/>
    <w:tmpl w:val="2CF412C4"/>
    <w:lvl w:ilvl="0" w:tplc="4ACE3190">
      <w:numFmt w:val="bullet"/>
      <w:lvlText w:val=""/>
      <w:lvlJc w:val="left"/>
      <w:pPr>
        <w:ind w:left="463" w:hanging="360"/>
      </w:pPr>
      <w:rPr>
        <w:rFonts w:ascii="Symbol" w:eastAsia="Symbol" w:hAnsi="Symbol" w:cs="Symbol" w:hint="default"/>
        <w:w w:val="100"/>
        <w:sz w:val="24"/>
        <w:szCs w:val="24"/>
      </w:rPr>
    </w:lvl>
    <w:lvl w:ilvl="1" w:tplc="EA0A0ED4">
      <w:numFmt w:val="bullet"/>
      <w:lvlText w:val="•"/>
      <w:lvlJc w:val="left"/>
      <w:pPr>
        <w:ind w:left="891" w:hanging="360"/>
      </w:pPr>
      <w:rPr>
        <w:rFonts w:hint="default"/>
      </w:rPr>
    </w:lvl>
    <w:lvl w:ilvl="2" w:tplc="2FF89B56">
      <w:numFmt w:val="bullet"/>
      <w:lvlText w:val="•"/>
      <w:lvlJc w:val="left"/>
      <w:pPr>
        <w:ind w:left="1323" w:hanging="360"/>
      </w:pPr>
      <w:rPr>
        <w:rFonts w:hint="default"/>
      </w:rPr>
    </w:lvl>
    <w:lvl w:ilvl="3" w:tplc="C890DE88">
      <w:numFmt w:val="bullet"/>
      <w:lvlText w:val="•"/>
      <w:lvlJc w:val="left"/>
      <w:pPr>
        <w:ind w:left="1755" w:hanging="360"/>
      </w:pPr>
      <w:rPr>
        <w:rFonts w:hint="default"/>
      </w:rPr>
    </w:lvl>
    <w:lvl w:ilvl="4" w:tplc="8FC60224">
      <w:numFmt w:val="bullet"/>
      <w:lvlText w:val="•"/>
      <w:lvlJc w:val="left"/>
      <w:pPr>
        <w:ind w:left="2187" w:hanging="360"/>
      </w:pPr>
      <w:rPr>
        <w:rFonts w:hint="default"/>
      </w:rPr>
    </w:lvl>
    <w:lvl w:ilvl="5" w:tplc="97BEC13E">
      <w:numFmt w:val="bullet"/>
      <w:lvlText w:val="•"/>
      <w:lvlJc w:val="left"/>
      <w:pPr>
        <w:ind w:left="2619" w:hanging="360"/>
      </w:pPr>
      <w:rPr>
        <w:rFonts w:hint="default"/>
      </w:rPr>
    </w:lvl>
    <w:lvl w:ilvl="6" w:tplc="EBB4EEB4">
      <w:numFmt w:val="bullet"/>
      <w:lvlText w:val="•"/>
      <w:lvlJc w:val="left"/>
      <w:pPr>
        <w:ind w:left="3051" w:hanging="360"/>
      </w:pPr>
      <w:rPr>
        <w:rFonts w:hint="default"/>
      </w:rPr>
    </w:lvl>
    <w:lvl w:ilvl="7" w:tplc="2056E6C2">
      <w:numFmt w:val="bullet"/>
      <w:lvlText w:val="•"/>
      <w:lvlJc w:val="left"/>
      <w:pPr>
        <w:ind w:left="3483" w:hanging="360"/>
      </w:pPr>
      <w:rPr>
        <w:rFonts w:hint="default"/>
      </w:rPr>
    </w:lvl>
    <w:lvl w:ilvl="8" w:tplc="4CCEE9E4">
      <w:numFmt w:val="bullet"/>
      <w:lvlText w:val="•"/>
      <w:lvlJc w:val="left"/>
      <w:pPr>
        <w:ind w:left="3915" w:hanging="360"/>
      </w:pPr>
      <w:rPr>
        <w:rFonts w:hint="default"/>
      </w:rPr>
    </w:lvl>
  </w:abstractNum>
  <w:abstractNum w:abstractNumId="98" w15:restartNumberingAfterBreak="0">
    <w:nsid w:val="7C9E0C4E"/>
    <w:multiLevelType w:val="hybridMultilevel"/>
    <w:tmpl w:val="64D47DE8"/>
    <w:lvl w:ilvl="0" w:tplc="B5E2404C">
      <w:numFmt w:val="bullet"/>
      <w:lvlText w:val=""/>
      <w:lvlJc w:val="left"/>
      <w:pPr>
        <w:ind w:left="580" w:hanging="360"/>
      </w:pPr>
      <w:rPr>
        <w:rFonts w:ascii="Symbol" w:eastAsia="Symbol" w:hAnsi="Symbol" w:cs="Symbol" w:hint="default"/>
        <w:w w:val="100"/>
        <w:sz w:val="24"/>
        <w:szCs w:val="24"/>
      </w:rPr>
    </w:lvl>
    <w:lvl w:ilvl="1" w:tplc="FBB4C0A2">
      <w:numFmt w:val="bullet"/>
      <w:lvlText w:val="•"/>
      <w:lvlJc w:val="left"/>
      <w:pPr>
        <w:ind w:left="1502" w:hanging="360"/>
      </w:pPr>
      <w:rPr>
        <w:rFonts w:hint="default"/>
      </w:rPr>
    </w:lvl>
    <w:lvl w:ilvl="2" w:tplc="914C8AD2">
      <w:numFmt w:val="bullet"/>
      <w:lvlText w:val="•"/>
      <w:lvlJc w:val="left"/>
      <w:pPr>
        <w:ind w:left="2424" w:hanging="360"/>
      </w:pPr>
      <w:rPr>
        <w:rFonts w:hint="default"/>
      </w:rPr>
    </w:lvl>
    <w:lvl w:ilvl="3" w:tplc="2F263E58">
      <w:numFmt w:val="bullet"/>
      <w:lvlText w:val="•"/>
      <w:lvlJc w:val="left"/>
      <w:pPr>
        <w:ind w:left="3346" w:hanging="360"/>
      </w:pPr>
      <w:rPr>
        <w:rFonts w:hint="default"/>
      </w:rPr>
    </w:lvl>
    <w:lvl w:ilvl="4" w:tplc="FF22790A">
      <w:numFmt w:val="bullet"/>
      <w:lvlText w:val="•"/>
      <w:lvlJc w:val="left"/>
      <w:pPr>
        <w:ind w:left="4268" w:hanging="360"/>
      </w:pPr>
      <w:rPr>
        <w:rFonts w:hint="default"/>
      </w:rPr>
    </w:lvl>
    <w:lvl w:ilvl="5" w:tplc="DB62C10E">
      <w:numFmt w:val="bullet"/>
      <w:lvlText w:val="•"/>
      <w:lvlJc w:val="left"/>
      <w:pPr>
        <w:ind w:left="5190" w:hanging="360"/>
      </w:pPr>
      <w:rPr>
        <w:rFonts w:hint="default"/>
      </w:rPr>
    </w:lvl>
    <w:lvl w:ilvl="6" w:tplc="C24A1F26">
      <w:numFmt w:val="bullet"/>
      <w:lvlText w:val="•"/>
      <w:lvlJc w:val="left"/>
      <w:pPr>
        <w:ind w:left="6112" w:hanging="360"/>
      </w:pPr>
      <w:rPr>
        <w:rFonts w:hint="default"/>
      </w:rPr>
    </w:lvl>
    <w:lvl w:ilvl="7" w:tplc="72A494E0">
      <w:numFmt w:val="bullet"/>
      <w:lvlText w:val="•"/>
      <w:lvlJc w:val="left"/>
      <w:pPr>
        <w:ind w:left="7034" w:hanging="360"/>
      </w:pPr>
      <w:rPr>
        <w:rFonts w:hint="default"/>
      </w:rPr>
    </w:lvl>
    <w:lvl w:ilvl="8" w:tplc="B888D856">
      <w:numFmt w:val="bullet"/>
      <w:lvlText w:val="•"/>
      <w:lvlJc w:val="left"/>
      <w:pPr>
        <w:ind w:left="7956" w:hanging="360"/>
      </w:pPr>
      <w:rPr>
        <w:rFonts w:hint="default"/>
      </w:rPr>
    </w:lvl>
  </w:abstractNum>
  <w:abstractNum w:abstractNumId="99" w15:restartNumberingAfterBreak="0">
    <w:nsid w:val="7E462A9F"/>
    <w:multiLevelType w:val="hybridMultilevel"/>
    <w:tmpl w:val="90466A26"/>
    <w:lvl w:ilvl="0" w:tplc="D44262E2">
      <w:start w:val="1"/>
      <w:numFmt w:val="decimal"/>
      <w:lvlText w:val="(%1)"/>
      <w:lvlJc w:val="left"/>
      <w:pPr>
        <w:ind w:left="460" w:hanging="360"/>
        <w:jc w:val="right"/>
      </w:pPr>
      <w:rPr>
        <w:rFonts w:ascii="Times New Roman" w:eastAsia="Times New Roman" w:hAnsi="Times New Roman" w:cs="Times New Roman" w:hint="default"/>
        <w:w w:val="99"/>
        <w:sz w:val="24"/>
        <w:szCs w:val="24"/>
      </w:rPr>
    </w:lvl>
    <w:lvl w:ilvl="1" w:tplc="EEB2DAE4">
      <w:start w:val="1"/>
      <w:numFmt w:val="upperLetter"/>
      <w:lvlText w:val="(%2)"/>
      <w:lvlJc w:val="left"/>
      <w:pPr>
        <w:ind w:left="820" w:hanging="360"/>
      </w:pPr>
      <w:rPr>
        <w:rFonts w:ascii="Times New Roman" w:eastAsia="Times New Roman" w:hAnsi="Times New Roman" w:cs="Times New Roman" w:hint="default"/>
        <w:spacing w:val="-2"/>
        <w:w w:val="99"/>
        <w:sz w:val="24"/>
        <w:szCs w:val="24"/>
      </w:rPr>
    </w:lvl>
    <w:lvl w:ilvl="2" w:tplc="E6DE8908">
      <w:start w:val="1"/>
      <w:numFmt w:val="lowerRoman"/>
      <w:lvlText w:val="(%3)"/>
      <w:lvlJc w:val="left"/>
      <w:pPr>
        <w:ind w:left="1180" w:hanging="360"/>
      </w:pPr>
      <w:rPr>
        <w:rFonts w:ascii="Times New Roman" w:eastAsia="Times New Roman" w:hAnsi="Times New Roman" w:cs="Times New Roman" w:hint="default"/>
        <w:spacing w:val="-4"/>
        <w:w w:val="99"/>
        <w:sz w:val="24"/>
        <w:szCs w:val="24"/>
      </w:rPr>
    </w:lvl>
    <w:lvl w:ilvl="3" w:tplc="5E9E63C2">
      <w:start w:val="1"/>
      <w:numFmt w:val="upperRoman"/>
      <w:lvlText w:val="(%4)"/>
      <w:lvlJc w:val="left"/>
      <w:pPr>
        <w:ind w:left="1540" w:hanging="360"/>
      </w:pPr>
      <w:rPr>
        <w:rFonts w:ascii="Times New Roman" w:eastAsia="Times New Roman" w:hAnsi="Times New Roman" w:cs="Times New Roman" w:hint="default"/>
        <w:spacing w:val="-4"/>
        <w:w w:val="99"/>
        <w:sz w:val="24"/>
        <w:szCs w:val="24"/>
      </w:rPr>
    </w:lvl>
    <w:lvl w:ilvl="4" w:tplc="614C27AC">
      <w:numFmt w:val="bullet"/>
      <w:lvlText w:val="•"/>
      <w:lvlJc w:val="left"/>
      <w:pPr>
        <w:ind w:left="2631" w:hanging="360"/>
      </w:pPr>
      <w:rPr>
        <w:rFonts w:hint="default"/>
      </w:rPr>
    </w:lvl>
    <w:lvl w:ilvl="5" w:tplc="7F7C161E">
      <w:numFmt w:val="bullet"/>
      <w:lvlText w:val="•"/>
      <w:lvlJc w:val="left"/>
      <w:pPr>
        <w:ind w:left="3722" w:hanging="360"/>
      </w:pPr>
      <w:rPr>
        <w:rFonts w:hint="default"/>
      </w:rPr>
    </w:lvl>
    <w:lvl w:ilvl="6" w:tplc="02D0553A">
      <w:numFmt w:val="bullet"/>
      <w:lvlText w:val="•"/>
      <w:lvlJc w:val="left"/>
      <w:pPr>
        <w:ind w:left="4814" w:hanging="360"/>
      </w:pPr>
      <w:rPr>
        <w:rFonts w:hint="default"/>
      </w:rPr>
    </w:lvl>
    <w:lvl w:ilvl="7" w:tplc="05866684">
      <w:numFmt w:val="bullet"/>
      <w:lvlText w:val="•"/>
      <w:lvlJc w:val="left"/>
      <w:pPr>
        <w:ind w:left="5905" w:hanging="360"/>
      </w:pPr>
      <w:rPr>
        <w:rFonts w:hint="default"/>
      </w:rPr>
    </w:lvl>
    <w:lvl w:ilvl="8" w:tplc="44780528">
      <w:numFmt w:val="bullet"/>
      <w:lvlText w:val="•"/>
      <w:lvlJc w:val="left"/>
      <w:pPr>
        <w:ind w:left="6997" w:hanging="360"/>
      </w:pPr>
      <w:rPr>
        <w:rFonts w:hint="default"/>
      </w:rPr>
    </w:lvl>
  </w:abstractNum>
  <w:abstractNum w:abstractNumId="100" w15:restartNumberingAfterBreak="0">
    <w:nsid w:val="7FE41C99"/>
    <w:multiLevelType w:val="multilevel"/>
    <w:tmpl w:val="CA3A8D68"/>
    <w:lvl w:ilvl="0">
      <w:start w:val="21"/>
      <w:numFmt w:val="upperLetter"/>
      <w:lvlText w:val="%1"/>
      <w:lvlJc w:val="left"/>
      <w:pPr>
        <w:ind w:left="587" w:hanging="487"/>
      </w:pPr>
      <w:rPr>
        <w:rFonts w:hint="default"/>
      </w:rPr>
    </w:lvl>
    <w:lvl w:ilvl="1">
      <w:start w:val="19"/>
      <w:numFmt w:val="upperLetter"/>
      <w:lvlText w:val="%1.%2."/>
      <w:lvlJc w:val="left"/>
      <w:pPr>
        <w:ind w:left="587" w:hanging="487"/>
      </w:pPr>
      <w:rPr>
        <w:rFonts w:ascii="Times New Roman" w:eastAsia="Times New Roman" w:hAnsi="Times New Roman" w:cs="Times New Roman" w:hint="default"/>
        <w:b/>
        <w:bCs/>
        <w:i/>
        <w:w w:val="99"/>
        <w:sz w:val="24"/>
        <w:szCs w:val="24"/>
      </w:rPr>
    </w:lvl>
    <w:lvl w:ilvl="2">
      <w:start w:val="1"/>
      <w:numFmt w:val="upperLetter"/>
      <w:lvlText w:val="(%3)"/>
      <w:lvlJc w:val="left"/>
      <w:pPr>
        <w:ind w:left="1300" w:hanging="360"/>
        <w:jc w:val="right"/>
      </w:pPr>
      <w:rPr>
        <w:rFonts w:ascii="Times New Roman" w:eastAsia="Times New Roman" w:hAnsi="Times New Roman" w:cs="Times New Roman" w:hint="default"/>
        <w:b/>
        <w:bCs/>
        <w:spacing w:val="-2"/>
        <w:w w:val="99"/>
        <w:sz w:val="24"/>
        <w:szCs w:val="24"/>
      </w:rPr>
    </w:lvl>
    <w:lvl w:ilvl="3">
      <w:start w:val="1"/>
      <w:numFmt w:val="lowerRoman"/>
      <w:lvlText w:val="(%4)"/>
      <w:lvlJc w:val="left"/>
      <w:pPr>
        <w:ind w:left="1660" w:hanging="360"/>
        <w:jc w:val="right"/>
      </w:pPr>
      <w:rPr>
        <w:rFonts w:ascii="Times New Roman" w:eastAsia="Times New Roman" w:hAnsi="Times New Roman" w:cs="Times New Roman" w:hint="default"/>
        <w:spacing w:val="-5"/>
        <w:w w:val="99"/>
        <w:sz w:val="24"/>
        <w:szCs w:val="24"/>
      </w:rPr>
    </w:lvl>
    <w:lvl w:ilvl="4">
      <w:numFmt w:val="bullet"/>
      <w:lvlText w:val="•"/>
      <w:lvlJc w:val="left"/>
      <w:pPr>
        <w:ind w:left="3162" w:hanging="360"/>
      </w:pPr>
      <w:rPr>
        <w:rFonts w:hint="default"/>
      </w:rPr>
    </w:lvl>
    <w:lvl w:ilvl="5">
      <w:numFmt w:val="bullet"/>
      <w:lvlText w:val="•"/>
      <w:lvlJc w:val="left"/>
      <w:pPr>
        <w:ind w:left="4225" w:hanging="360"/>
      </w:pPr>
      <w:rPr>
        <w:rFonts w:hint="default"/>
      </w:rPr>
    </w:lvl>
    <w:lvl w:ilvl="6">
      <w:numFmt w:val="bullet"/>
      <w:lvlText w:val="•"/>
      <w:lvlJc w:val="left"/>
      <w:pPr>
        <w:ind w:left="5288" w:hanging="360"/>
      </w:pPr>
      <w:rPr>
        <w:rFonts w:hint="default"/>
      </w:rPr>
    </w:lvl>
    <w:lvl w:ilvl="7">
      <w:numFmt w:val="bullet"/>
      <w:lvlText w:val="•"/>
      <w:lvlJc w:val="left"/>
      <w:pPr>
        <w:ind w:left="6351" w:hanging="360"/>
      </w:pPr>
      <w:rPr>
        <w:rFonts w:hint="default"/>
      </w:rPr>
    </w:lvl>
    <w:lvl w:ilvl="8">
      <w:numFmt w:val="bullet"/>
      <w:lvlText w:val="•"/>
      <w:lvlJc w:val="left"/>
      <w:pPr>
        <w:ind w:left="7414" w:hanging="360"/>
      </w:pPr>
      <w:rPr>
        <w:rFonts w:hint="default"/>
      </w:rPr>
    </w:lvl>
  </w:abstractNum>
  <w:num w:numId="1">
    <w:abstractNumId w:val="82"/>
  </w:num>
  <w:num w:numId="2">
    <w:abstractNumId w:val="83"/>
  </w:num>
  <w:num w:numId="3">
    <w:abstractNumId w:val="56"/>
  </w:num>
  <w:num w:numId="4">
    <w:abstractNumId w:val="18"/>
  </w:num>
  <w:num w:numId="5">
    <w:abstractNumId w:val="55"/>
  </w:num>
  <w:num w:numId="6">
    <w:abstractNumId w:val="87"/>
  </w:num>
  <w:num w:numId="7">
    <w:abstractNumId w:val="92"/>
  </w:num>
  <w:num w:numId="8">
    <w:abstractNumId w:val="38"/>
  </w:num>
  <w:num w:numId="9">
    <w:abstractNumId w:val="70"/>
  </w:num>
  <w:num w:numId="10">
    <w:abstractNumId w:val="69"/>
  </w:num>
  <w:num w:numId="11">
    <w:abstractNumId w:val="67"/>
  </w:num>
  <w:num w:numId="12">
    <w:abstractNumId w:val="77"/>
  </w:num>
  <w:num w:numId="13">
    <w:abstractNumId w:val="26"/>
  </w:num>
  <w:num w:numId="14">
    <w:abstractNumId w:val="1"/>
  </w:num>
  <w:num w:numId="15">
    <w:abstractNumId w:val="81"/>
  </w:num>
  <w:num w:numId="16">
    <w:abstractNumId w:val="7"/>
  </w:num>
  <w:num w:numId="17">
    <w:abstractNumId w:val="27"/>
  </w:num>
  <w:num w:numId="18">
    <w:abstractNumId w:val="4"/>
  </w:num>
  <w:num w:numId="19">
    <w:abstractNumId w:val="84"/>
  </w:num>
  <w:num w:numId="20">
    <w:abstractNumId w:val="5"/>
  </w:num>
  <w:num w:numId="21">
    <w:abstractNumId w:val="2"/>
  </w:num>
  <w:num w:numId="22">
    <w:abstractNumId w:val="30"/>
  </w:num>
  <w:num w:numId="23">
    <w:abstractNumId w:val="86"/>
  </w:num>
  <w:num w:numId="24">
    <w:abstractNumId w:val="15"/>
  </w:num>
  <w:num w:numId="25">
    <w:abstractNumId w:val="78"/>
  </w:num>
  <w:num w:numId="26">
    <w:abstractNumId w:val="95"/>
  </w:num>
  <w:num w:numId="27">
    <w:abstractNumId w:val="85"/>
  </w:num>
  <w:num w:numId="28">
    <w:abstractNumId w:val="21"/>
  </w:num>
  <w:num w:numId="29">
    <w:abstractNumId w:val="25"/>
  </w:num>
  <w:num w:numId="30">
    <w:abstractNumId w:val="22"/>
  </w:num>
  <w:num w:numId="31">
    <w:abstractNumId w:val="0"/>
  </w:num>
  <w:num w:numId="32">
    <w:abstractNumId w:val="66"/>
  </w:num>
  <w:num w:numId="33">
    <w:abstractNumId w:val="14"/>
  </w:num>
  <w:num w:numId="34">
    <w:abstractNumId w:val="58"/>
  </w:num>
  <w:num w:numId="35">
    <w:abstractNumId w:val="76"/>
  </w:num>
  <w:num w:numId="36">
    <w:abstractNumId w:val="43"/>
  </w:num>
  <w:num w:numId="37">
    <w:abstractNumId w:val="37"/>
  </w:num>
  <w:num w:numId="38">
    <w:abstractNumId w:val="46"/>
  </w:num>
  <w:num w:numId="39">
    <w:abstractNumId w:val="12"/>
  </w:num>
  <w:num w:numId="40">
    <w:abstractNumId w:val="44"/>
  </w:num>
  <w:num w:numId="41">
    <w:abstractNumId w:val="36"/>
  </w:num>
  <w:num w:numId="42">
    <w:abstractNumId w:val="10"/>
  </w:num>
  <w:num w:numId="43">
    <w:abstractNumId w:val="11"/>
  </w:num>
  <w:num w:numId="44">
    <w:abstractNumId w:val="63"/>
  </w:num>
  <w:num w:numId="45">
    <w:abstractNumId w:val="40"/>
  </w:num>
  <w:num w:numId="46">
    <w:abstractNumId w:val="13"/>
  </w:num>
  <w:num w:numId="47">
    <w:abstractNumId w:val="45"/>
  </w:num>
  <w:num w:numId="48">
    <w:abstractNumId w:val="34"/>
  </w:num>
  <w:num w:numId="49">
    <w:abstractNumId w:val="93"/>
  </w:num>
  <w:num w:numId="50">
    <w:abstractNumId w:val="64"/>
  </w:num>
  <w:num w:numId="51">
    <w:abstractNumId w:val="53"/>
  </w:num>
  <w:num w:numId="52">
    <w:abstractNumId w:val="65"/>
  </w:num>
  <w:num w:numId="53">
    <w:abstractNumId w:val="23"/>
  </w:num>
  <w:num w:numId="54">
    <w:abstractNumId w:val="54"/>
  </w:num>
  <w:num w:numId="55">
    <w:abstractNumId w:val="79"/>
  </w:num>
  <w:num w:numId="56">
    <w:abstractNumId w:val="50"/>
  </w:num>
  <w:num w:numId="57">
    <w:abstractNumId w:val="90"/>
  </w:num>
  <w:num w:numId="58">
    <w:abstractNumId w:val="97"/>
  </w:num>
  <w:num w:numId="59">
    <w:abstractNumId w:val="48"/>
  </w:num>
  <w:num w:numId="60">
    <w:abstractNumId w:val="8"/>
  </w:num>
  <w:num w:numId="61">
    <w:abstractNumId w:val="3"/>
  </w:num>
  <w:num w:numId="62">
    <w:abstractNumId w:val="60"/>
  </w:num>
  <w:num w:numId="63">
    <w:abstractNumId w:val="96"/>
  </w:num>
  <w:num w:numId="64">
    <w:abstractNumId w:val="57"/>
  </w:num>
  <w:num w:numId="65">
    <w:abstractNumId w:val="74"/>
  </w:num>
  <w:num w:numId="66">
    <w:abstractNumId w:val="71"/>
  </w:num>
  <w:num w:numId="67">
    <w:abstractNumId w:val="89"/>
  </w:num>
  <w:num w:numId="68">
    <w:abstractNumId w:val="35"/>
  </w:num>
  <w:num w:numId="69">
    <w:abstractNumId w:val="16"/>
  </w:num>
  <w:num w:numId="70">
    <w:abstractNumId w:val="75"/>
  </w:num>
  <w:num w:numId="71">
    <w:abstractNumId w:val="62"/>
  </w:num>
  <w:num w:numId="72">
    <w:abstractNumId w:val="33"/>
  </w:num>
  <w:num w:numId="73">
    <w:abstractNumId w:val="42"/>
  </w:num>
  <w:num w:numId="74">
    <w:abstractNumId w:val="61"/>
  </w:num>
  <w:num w:numId="75">
    <w:abstractNumId w:val="47"/>
  </w:num>
  <w:num w:numId="76">
    <w:abstractNumId w:val="80"/>
  </w:num>
  <w:num w:numId="77">
    <w:abstractNumId w:val="68"/>
  </w:num>
  <w:num w:numId="78">
    <w:abstractNumId w:val="39"/>
  </w:num>
  <w:num w:numId="79">
    <w:abstractNumId w:val="59"/>
  </w:num>
  <w:num w:numId="80">
    <w:abstractNumId w:val="94"/>
  </w:num>
  <w:num w:numId="81">
    <w:abstractNumId w:val="41"/>
  </w:num>
  <w:num w:numId="82">
    <w:abstractNumId w:val="72"/>
  </w:num>
  <w:num w:numId="83">
    <w:abstractNumId w:val="31"/>
  </w:num>
  <w:num w:numId="84">
    <w:abstractNumId w:val="28"/>
  </w:num>
  <w:num w:numId="85">
    <w:abstractNumId w:val="32"/>
  </w:num>
  <w:num w:numId="86">
    <w:abstractNumId w:val="99"/>
  </w:num>
  <w:num w:numId="87">
    <w:abstractNumId w:val="9"/>
  </w:num>
  <w:num w:numId="88">
    <w:abstractNumId w:val="20"/>
  </w:num>
  <w:num w:numId="89">
    <w:abstractNumId w:val="29"/>
  </w:num>
  <w:num w:numId="90">
    <w:abstractNumId w:val="98"/>
  </w:num>
  <w:num w:numId="91">
    <w:abstractNumId w:val="100"/>
  </w:num>
  <w:num w:numId="92">
    <w:abstractNumId w:val="6"/>
  </w:num>
  <w:num w:numId="93">
    <w:abstractNumId w:val="51"/>
  </w:num>
  <w:num w:numId="94">
    <w:abstractNumId w:val="91"/>
  </w:num>
  <w:num w:numId="95">
    <w:abstractNumId w:val="17"/>
  </w:num>
  <w:num w:numId="96">
    <w:abstractNumId w:val="73"/>
  </w:num>
  <w:num w:numId="97">
    <w:abstractNumId w:val="52"/>
  </w:num>
  <w:num w:numId="98">
    <w:abstractNumId w:val="24"/>
  </w:num>
  <w:num w:numId="99">
    <w:abstractNumId w:val="88"/>
  </w:num>
  <w:num w:numId="100">
    <w:abstractNumId w:val="49"/>
  </w:num>
  <w:num w:numId="101">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A5"/>
    <w:rsid w:val="00005DBA"/>
    <w:rsid w:val="00043B4E"/>
    <w:rsid w:val="00050620"/>
    <w:rsid w:val="00067449"/>
    <w:rsid w:val="00081571"/>
    <w:rsid w:val="00085CE4"/>
    <w:rsid w:val="000D141C"/>
    <w:rsid w:val="000E655E"/>
    <w:rsid w:val="000F5F16"/>
    <w:rsid w:val="00201CBD"/>
    <w:rsid w:val="0023253F"/>
    <w:rsid w:val="00236983"/>
    <w:rsid w:val="002505FF"/>
    <w:rsid w:val="00257837"/>
    <w:rsid w:val="00277488"/>
    <w:rsid w:val="002947EA"/>
    <w:rsid w:val="00294FEC"/>
    <w:rsid w:val="00295DFF"/>
    <w:rsid w:val="002C2785"/>
    <w:rsid w:val="002C4221"/>
    <w:rsid w:val="002D13F7"/>
    <w:rsid w:val="002D5B7A"/>
    <w:rsid w:val="003263D1"/>
    <w:rsid w:val="003636C0"/>
    <w:rsid w:val="003717F5"/>
    <w:rsid w:val="00391FED"/>
    <w:rsid w:val="00394E4E"/>
    <w:rsid w:val="003B38DB"/>
    <w:rsid w:val="003C75E7"/>
    <w:rsid w:val="003D3A42"/>
    <w:rsid w:val="003E2CA1"/>
    <w:rsid w:val="00415ADD"/>
    <w:rsid w:val="004329BC"/>
    <w:rsid w:val="00433714"/>
    <w:rsid w:val="004E13A5"/>
    <w:rsid w:val="00512B0B"/>
    <w:rsid w:val="00523403"/>
    <w:rsid w:val="00526F67"/>
    <w:rsid w:val="00540B75"/>
    <w:rsid w:val="00550721"/>
    <w:rsid w:val="0055629B"/>
    <w:rsid w:val="0057094E"/>
    <w:rsid w:val="00573FE2"/>
    <w:rsid w:val="005747E8"/>
    <w:rsid w:val="005977F7"/>
    <w:rsid w:val="005B1AD1"/>
    <w:rsid w:val="005E5D3D"/>
    <w:rsid w:val="006223EC"/>
    <w:rsid w:val="0063306B"/>
    <w:rsid w:val="00653A80"/>
    <w:rsid w:val="00660733"/>
    <w:rsid w:val="00681463"/>
    <w:rsid w:val="00681A38"/>
    <w:rsid w:val="006D2311"/>
    <w:rsid w:val="006D5565"/>
    <w:rsid w:val="006F3E24"/>
    <w:rsid w:val="006F68FA"/>
    <w:rsid w:val="006F7740"/>
    <w:rsid w:val="00701551"/>
    <w:rsid w:val="00707A56"/>
    <w:rsid w:val="00710481"/>
    <w:rsid w:val="0072702F"/>
    <w:rsid w:val="00727C13"/>
    <w:rsid w:val="00750AA3"/>
    <w:rsid w:val="00757038"/>
    <w:rsid w:val="00777F16"/>
    <w:rsid w:val="007A723C"/>
    <w:rsid w:val="007B1827"/>
    <w:rsid w:val="007C4DEE"/>
    <w:rsid w:val="007D612A"/>
    <w:rsid w:val="007D7613"/>
    <w:rsid w:val="00816541"/>
    <w:rsid w:val="00827283"/>
    <w:rsid w:val="00843DA1"/>
    <w:rsid w:val="00874EB8"/>
    <w:rsid w:val="008D61FD"/>
    <w:rsid w:val="00924147"/>
    <w:rsid w:val="00933BC6"/>
    <w:rsid w:val="0095423F"/>
    <w:rsid w:val="00954889"/>
    <w:rsid w:val="00970EEC"/>
    <w:rsid w:val="00987F91"/>
    <w:rsid w:val="009913F4"/>
    <w:rsid w:val="009B365F"/>
    <w:rsid w:val="009D45EA"/>
    <w:rsid w:val="009E2B82"/>
    <w:rsid w:val="00A3152C"/>
    <w:rsid w:val="00A60E7F"/>
    <w:rsid w:val="00A863CE"/>
    <w:rsid w:val="00AB2451"/>
    <w:rsid w:val="00AD6ACF"/>
    <w:rsid w:val="00B00C94"/>
    <w:rsid w:val="00B11879"/>
    <w:rsid w:val="00B14282"/>
    <w:rsid w:val="00B70ABE"/>
    <w:rsid w:val="00B723A2"/>
    <w:rsid w:val="00B75199"/>
    <w:rsid w:val="00BA59C9"/>
    <w:rsid w:val="00BB3703"/>
    <w:rsid w:val="00BF09E9"/>
    <w:rsid w:val="00BF2931"/>
    <w:rsid w:val="00C14876"/>
    <w:rsid w:val="00C22F65"/>
    <w:rsid w:val="00C65832"/>
    <w:rsid w:val="00C96F1F"/>
    <w:rsid w:val="00CA1DBE"/>
    <w:rsid w:val="00D035FC"/>
    <w:rsid w:val="00D151CC"/>
    <w:rsid w:val="00D47E70"/>
    <w:rsid w:val="00D537D2"/>
    <w:rsid w:val="00D6272E"/>
    <w:rsid w:val="00DB75DD"/>
    <w:rsid w:val="00DC17E7"/>
    <w:rsid w:val="00DE50FA"/>
    <w:rsid w:val="00DF47EA"/>
    <w:rsid w:val="00E04AFE"/>
    <w:rsid w:val="00E04DEF"/>
    <w:rsid w:val="00E3560C"/>
    <w:rsid w:val="00E5223F"/>
    <w:rsid w:val="00E56E23"/>
    <w:rsid w:val="00E745A4"/>
    <w:rsid w:val="00E754E4"/>
    <w:rsid w:val="00E858D2"/>
    <w:rsid w:val="00E967B5"/>
    <w:rsid w:val="00EC4D48"/>
    <w:rsid w:val="00EE4FB1"/>
    <w:rsid w:val="00F05BCA"/>
    <w:rsid w:val="00F2363D"/>
    <w:rsid w:val="00F26B04"/>
    <w:rsid w:val="00F31EE6"/>
    <w:rsid w:val="00F35976"/>
    <w:rsid w:val="00F55B95"/>
    <w:rsid w:val="00F7132F"/>
    <w:rsid w:val="00F90E34"/>
    <w:rsid w:val="00F94571"/>
    <w:rsid w:val="00F95312"/>
    <w:rsid w:val="00FB2F65"/>
    <w:rsid w:val="00FC7DAC"/>
    <w:rsid w:val="00FF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A8FF"/>
  <w15:docId w15:val="{F2E4F14D-465C-4F0F-B455-2A95DA9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4"/>
      <w:ind w:left="341"/>
      <w:outlineLvl w:val="0"/>
    </w:pPr>
    <w:rPr>
      <w:rFonts w:ascii="Arial" w:eastAsia="Arial" w:hAnsi="Arial" w:cs="Arial"/>
      <w:b/>
      <w:bCs/>
      <w:sz w:val="32"/>
      <w:szCs w:val="32"/>
    </w:rPr>
  </w:style>
  <w:style w:type="paragraph" w:styleId="Heading2">
    <w:name w:val="heading 2"/>
    <w:basedOn w:val="Normal"/>
    <w:uiPriority w:val="9"/>
    <w:unhideWhenUsed/>
    <w:qFormat/>
    <w:pPr>
      <w:ind w:left="2885" w:right="1796"/>
      <w:jc w:val="center"/>
      <w:outlineLvl w:val="1"/>
    </w:pPr>
    <w:rPr>
      <w:b/>
      <w:bCs/>
      <w:sz w:val="28"/>
      <w:szCs w:val="28"/>
    </w:rPr>
  </w:style>
  <w:style w:type="paragraph" w:styleId="Heading3">
    <w:name w:val="heading 3"/>
    <w:basedOn w:val="Normal"/>
    <w:uiPriority w:val="9"/>
    <w:unhideWhenUsed/>
    <w:qFormat/>
    <w:pPr>
      <w:spacing w:before="211"/>
      <w:ind w:left="341"/>
      <w:outlineLvl w:val="2"/>
    </w:pPr>
    <w:rPr>
      <w:rFonts w:ascii="Arial" w:eastAsia="Arial" w:hAnsi="Arial" w:cs="Arial"/>
      <w:b/>
      <w:bCs/>
      <w:sz w:val="26"/>
      <w:szCs w:val="26"/>
    </w:rPr>
  </w:style>
  <w:style w:type="paragraph" w:styleId="Heading4">
    <w:name w:val="heading 4"/>
    <w:basedOn w:val="Normal"/>
    <w:uiPriority w:val="9"/>
    <w:unhideWhenUsed/>
    <w:qFormat/>
    <w:pPr>
      <w:ind w:left="100"/>
      <w:outlineLvl w:val="3"/>
    </w:pPr>
    <w:rPr>
      <w:b/>
      <w:bCs/>
      <w:sz w:val="24"/>
      <w:szCs w:val="24"/>
    </w:rPr>
  </w:style>
  <w:style w:type="paragraph" w:styleId="Heading5">
    <w:name w:val="heading 5"/>
    <w:basedOn w:val="Normal"/>
    <w:uiPriority w:val="9"/>
    <w:unhideWhenUsed/>
    <w:qFormat/>
    <w:pPr>
      <w:spacing w:before="119"/>
      <w:ind w:left="10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right="21"/>
      <w:jc w:val="center"/>
    </w:pPr>
    <w:rPr>
      <w:b/>
      <w:bCs/>
      <w:sz w:val="24"/>
      <w:szCs w:val="24"/>
    </w:rPr>
  </w:style>
  <w:style w:type="paragraph" w:styleId="TOC2">
    <w:name w:val="toc 2"/>
    <w:basedOn w:val="Normal"/>
    <w:uiPriority w:val="1"/>
    <w:qFormat/>
    <w:pPr>
      <w:spacing w:before="120"/>
      <w:ind w:right="15"/>
      <w:jc w:val="center"/>
    </w:pPr>
    <w:rPr>
      <w:sz w:val="24"/>
      <w:szCs w:val="24"/>
    </w:rPr>
  </w:style>
  <w:style w:type="paragraph" w:styleId="TOC3">
    <w:name w:val="toc 3"/>
    <w:basedOn w:val="Normal"/>
    <w:uiPriority w:val="1"/>
    <w:qFormat/>
    <w:pPr>
      <w:spacing w:before="120"/>
      <w:ind w:left="100"/>
    </w:pPr>
    <w:rPr>
      <w:sz w:val="24"/>
      <w:szCs w:val="24"/>
    </w:rPr>
  </w:style>
  <w:style w:type="paragraph" w:styleId="TOC4">
    <w:name w:val="toc 4"/>
    <w:basedOn w:val="Normal"/>
    <w:uiPriority w:val="1"/>
    <w:qFormat/>
    <w:pPr>
      <w:ind w:left="1367"/>
    </w:pPr>
    <w:rPr>
      <w:sz w:val="24"/>
      <w:szCs w:val="24"/>
    </w:rPr>
  </w:style>
  <w:style w:type="paragraph" w:styleId="TOC5">
    <w:name w:val="toc 5"/>
    <w:basedOn w:val="Normal"/>
    <w:uiPriority w:val="1"/>
    <w:qFormat/>
    <w:pPr>
      <w:spacing w:before="119"/>
      <w:ind w:left="1451"/>
    </w:pPr>
    <w:rPr>
      <w:sz w:val="24"/>
      <w:szCs w:val="24"/>
    </w:rPr>
  </w:style>
  <w:style w:type="paragraph" w:styleId="TOC6">
    <w:name w:val="toc 6"/>
    <w:basedOn w:val="Normal"/>
    <w:uiPriority w:val="1"/>
    <w:qFormat/>
    <w:pPr>
      <w:spacing w:before="119"/>
      <w:ind w:left="1811"/>
    </w:pPr>
    <w:rPr>
      <w:sz w:val="24"/>
      <w:szCs w:val="24"/>
    </w:rPr>
  </w:style>
  <w:style w:type="paragraph" w:styleId="TOC7">
    <w:name w:val="toc 7"/>
    <w:basedOn w:val="Normal"/>
    <w:uiPriority w:val="1"/>
    <w:qFormat/>
    <w:pPr>
      <w:ind w:left="2332"/>
    </w:pPr>
    <w:rPr>
      <w:sz w:val="24"/>
      <w:szCs w:val="24"/>
    </w:rPr>
  </w:style>
  <w:style w:type="paragraph" w:styleId="TOC8">
    <w:name w:val="toc 8"/>
    <w:basedOn w:val="Normal"/>
    <w:uiPriority w:val="1"/>
    <w:qFormat/>
    <w:pPr>
      <w:ind w:left="2693"/>
    </w:pPr>
    <w:rPr>
      <w:sz w:val="24"/>
      <w:szCs w:val="24"/>
    </w:rPr>
  </w:style>
  <w:style w:type="paragraph" w:styleId="TOC9">
    <w:name w:val="toc 9"/>
    <w:basedOn w:val="Normal"/>
    <w:uiPriority w:val="1"/>
    <w:qFormat/>
    <w:pPr>
      <w:spacing w:before="119"/>
      <w:ind w:left="2712"/>
    </w:pPr>
    <w:rPr>
      <w:sz w:val="24"/>
      <w:szCs w:val="24"/>
    </w:rPr>
  </w:style>
  <w:style w:type="paragraph" w:styleId="BodyText">
    <w:name w:val="Body Text"/>
    <w:basedOn w:val="Normal"/>
    <w:uiPriority w:val="1"/>
    <w:qFormat/>
    <w:pPr>
      <w:spacing w:before="119"/>
      <w:ind w:left="100"/>
    </w:pPr>
    <w:rPr>
      <w:sz w:val="24"/>
      <w:szCs w:val="24"/>
    </w:rPr>
  </w:style>
  <w:style w:type="paragraph" w:styleId="ListParagraph">
    <w:name w:val="List Paragraph"/>
    <w:basedOn w:val="Normal"/>
    <w:uiPriority w:val="1"/>
    <w:qFormat/>
    <w:pPr>
      <w:spacing w:before="119"/>
      <w:ind w:left="460" w:hanging="360"/>
    </w:pPr>
  </w:style>
  <w:style w:type="paragraph" w:customStyle="1" w:styleId="TableParagraph">
    <w:name w:val="Table Paragraph"/>
    <w:basedOn w:val="Normal"/>
    <w:uiPriority w:val="1"/>
    <w:qFormat/>
    <w:pPr>
      <w:ind w:left="103"/>
    </w:pPr>
  </w:style>
  <w:style w:type="paragraph" w:customStyle="1" w:styleId="IndentText1">
    <w:name w:val="Indent Text 1"/>
    <w:basedOn w:val="Normal"/>
    <w:rsid w:val="003D3A42"/>
    <w:pPr>
      <w:widowControl/>
      <w:autoSpaceDE/>
      <w:autoSpaceDN/>
      <w:spacing w:before="120"/>
      <w:ind w:left="720"/>
    </w:pPr>
    <w:rPr>
      <w:sz w:val="24"/>
      <w:szCs w:val="24"/>
    </w:rPr>
  </w:style>
  <w:style w:type="paragraph" w:styleId="Header">
    <w:name w:val="header"/>
    <w:basedOn w:val="Normal"/>
    <w:link w:val="HeaderChar"/>
    <w:uiPriority w:val="99"/>
    <w:unhideWhenUsed/>
    <w:rsid w:val="005E5D3D"/>
    <w:pPr>
      <w:tabs>
        <w:tab w:val="center" w:pos="4680"/>
        <w:tab w:val="right" w:pos="9360"/>
      </w:tabs>
    </w:pPr>
  </w:style>
  <w:style w:type="character" w:customStyle="1" w:styleId="HeaderChar">
    <w:name w:val="Header Char"/>
    <w:basedOn w:val="DefaultParagraphFont"/>
    <w:link w:val="Header"/>
    <w:uiPriority w:val="99"/>
    <w:rsid w:val="005E5D3D"/>
    <w:rPr>
      <w:rFonts w:ascii="Times New Roman" w:eastAsia="Times New Roman" w:hAnsi="Times New Roman" w:cs="Times New Roman"/>
    </w:rPr>
  </w:style>
  <w:style w:type="paragraph" w:styleId="Footer">
    <w:name w:val="footer"/>
    <w:basedOn w:val="Normal"/>
    <w:link w:val="FooterChar"/>
    <w:uiPriority w:val="99"/>
    <w:unhideWhenUsed/>
    <w:rsid w:val="005E5D3D"/>
    <w:pPr>
      <w:tabs>
        <w:tab w:val="center" w:pos="4680"/>
        <w:tab w:val="right" w:pos="9360"/>
      </w:tabs>
    </w:pPr>
  </w:style>
  <w:style w:type="character" w:customStyle="1" w:styleId="FooterChar">
    <w:name w:val="Footer Char"/>
    <w:basedOn w:val="DefaultParagraphFont"/>
    <w:link w:val="Footer"/>
    <w:uiPriority w:val="99"/>
    <w:rsid w:val="005E5D3D"/>
    <w:rPr>
      <w:rFonts w:ascii="Times New Roman" w:eastAsia="Times New Roman" w:hAnsi="Times New Roman" w:cs="Times New Roman"/>
    </w:rPr>
  </w:style>
  <w:style w:type="paragraph" w:customStyle="1" w:styleId="Default">
    <w:name w:val="Default"/>
    <w:rsid w:val="00E56E23"/>
    <w:pPr>
      <w:widowControl/>
      <w:adjustRightInd w:val="0"/>
    </w:pPr>
    <w:rPr>
      <w:rFonts w:ascii="Calibri" w:eastAsia="Times New Roman" w:hAnsi="Calibri" w:cs="Calibri"/>
      <w:color w:val="000000"/>
      <w:sz w:val="24"/>
      <w:szCs w:val="24"/>
    </w:rPr>
  </w:style>
  <w:style w:type="paragraph" w:customStyle="1" w:styleId="Level1Bullet">
    <w:name w:val="Level 1 Bullet"/>
    <w:basedOn w:val="Normal"/>
    <w:rsid w:val="007C4DEE"/>
    <w:pPr>
      <w:widowControl/>
      <w:numPr>
        <w:numId w:val="97"/>
      </w:numPr>
      <w:tabs>
        <w:tab w:val="left" w:pos="360"/>
        <w:tab w:val="left" w:pos="1080"/>
        <w:tab w:val="left" w:pos="1440"/>
      </w:tabs>
      <w:autoSpaceDE/>
      <w:autoSpaceDN/>
      <w:spacing w:before="120"/>
    </w:pPr>
    <w:rPr>
      <w:sz w:val="24"/>
      <w:szCs w:val="24"/>
    </w:rPr>
  </w:style>
  <w:style w:type="paragraph" w:customStyle="1" w:styleId="12ptBoldCenteredBefore12pt">
    <w:name w:val="12 pt Bold Centered Before:  12 pt"/>
    <w:basedOn w:val="Normal"/>
    <w:rsid w:val="007C4DEE"/>
    <w:pPr>
      <w:widowControl/>
      <w:tabs>
        <w:tab w:val="left" w:pos="360"/>
        <w:tab w:val="left" w:pos="1080"/>
        <w:tab w:val="left" w:pos="1440"/>
      </w:tabs>
      <w:autoSpaceDE/>
      <w:autoSpaceDN/>
      <w:spacing w:before="240"/>
      <w:jc w:val="center"/>
    </w:pPr>
    <w:rPr>
      <w:b/>
      <w:bCs/>
      <w:sz w:val="24"/>
      <w:szCs w:val="20"/>
    </w:rPr>
  </w:style>
  <w:style w:type="paragraph" w:customStyle="1" w:styleId="12ptBoldBefore12pt">
    <w:name w:val="12 pt Bold Before: 12 pt"/>
    <w:basedOn w:val="Normal"/>
    <w:link w:val="12ptBoldBefore12ptChar"/>
    <w:rsid w:val="007C4DEE"/>
    <w:pPr>
      <w:widowControl/>
      <w:tabs>
        <w:tab w:val="left" w:pos="360"/>
        <w:tab w:val="left" w:pos="1080"/>
        <w:tab w:val="left" w:pos="1440"/>
      </w:tabs>
      <w:autoSpaceDE/>
      <w:autoSpaceDN/>
      <w:spacing w:before="240"/>
    </w:pPr>
    <w:rPr>
      <w:b/>
      <w:bCs/>
      <w:sz w:val="24"/>
      <w:szCs w:val="24"/>
    </w:rPr>
  </w:style>
  <w:style w:type="character" w:customStyle="1" w:styleId="12ptBoldBefore12ptChar">
    <w:name w:val="12 pt Bold Before: 12 pt Char"/>
    <w:link w:val="12ptBoldBefore12pt"/>
    <w:rsid w:val="007C4DEE"/>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DC1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C17E7"/>
    <w:rPr>
      <w:rFonts w:ascii="Courier New" w:eastAsia="Courier New" w:hAnsi="Courier New" w:cs="Times New Roman"/>
      <w:sz w:val="20"/>
      <w:szCs w:val="20"/>
    </w:rPr>
  </w:style>
  <w:style w:type="paragraph" w:customStyle="1" w:styleId="Body">
    <w:name w:val="Body"/>
    <w:uiPriority w:val="99"/>
    <w:rsid w:val="00DB75DD"/>
    <w:pPr>
      <w:keepNext/>
      <w:widowControl/>
      <w:suppressAutoHyphens/>
      <w:adjustRightInd w:val="0"/>
      <w:spacing w:before="80" w:after="140" w:line="280" w:lineRule="atLeast"/>
    </w:pPr>
    <w:rPr>
      <w:rFonts w:ascii="Times New Roman" w:eastAsia="Times New Roman" w:hAnsi="Times New Roman" w:cs="Times New Roman"/>
      <w:color w:val="000000"/>
      <w:w w:val="0"/>
      <w:sz w:val="24"/>
      <w:szCs w:val="24"/>
    </w:rPr>
  </w:style>
  <w:style w:type="paragraph" w:styleId="BalloonText">
    <w:name w:val="Balloon Text"/>
    <w:basedOn w:val="Normal"/>
    <w:link w:val="BalloonTextChar"/>
    <w:uiPriority w:val="99"/>
    <w:semiHidden/>
    <w:unhideWhenUsed/>
    <w:rsid w:val="00BA5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gpo.gov/fdsys/pkg/FR-2005-10-13/pdf/05-20035.pdf" TargetMode="External"/><Relationship Id="rId117" Type="http://schemas.openxmlformats.org/officeDocument/2006/relationships/fontTable" Target="fontTable.xml"/><Relationship Id="rId21" Type="http://schemas.openxmlformats.org/officeDocument/2006/relationships/hyperlink" Target="https://www.hud.gov/sites/documents/DOC_8993.PDF" TargetMode="External"/><Relationship Id="rId42" Type="http://schemas.openxmlformats.org/officeDocument/2006/relationships/hyperlink" Target="http://www.ssa.gov/" TargetMode="External"/><Relationship Id="rId47" Type="http://schemas.openxmlformats.org/officeDocument/2006/relationships/hyperlink" Target="mailto:SAFMRs@hud.gov" TargetMode="External"/><Relationship Id="rId63" Type="http://schemas.openxmlformats.org/officeDocument/2006/relationships/hyperlink" Target="https://www.victimsofcrime.org/our-programs/stalking-resource-center" TargetMode="External"/><Relationship Id="rId68" Type="http://schemas.openxmlformats.org/officeDocument/2006/relationships/footer" Target="footer10.xml"/><Relationship Id="rId84" Type="http://schemas.openxmlformats.org/officeDocument/2006/relationships/footer" Target="footer26.xml"/><Relationship Id="rId89" Type="http://schemas.openxmlformats.org/officeDocument/2006/relationships/footer" Target="footer31.xml"/><Relationship Id="rId112" Type="http://schemas.openxmlformats.org/officeDocument/2006/relationships/footer" Target="footer54.xml"/><Relationship Id="rId16" Type="http://schemas.openxmlformats.org/officeDocument/2006/relationships/hyperlink" Target="https://www.hud.gov/sites/documents/FORM50058INSTRUCTBOOKLET.PDF" TargetMode="External"/><Relationship Id="rId107" Type="http://schemas.openxmlformats.org/officeDocument/2006/relationships/footer" Target="footer49.xml"/><Relationship Id="rId11" Type="http://schemas.openxmlformats.org/officeDocument/2006/relationships/hyperlink" Target="http://edocket.access.gpo.gov/2008/pdf/E8-19435.pdf" TargetMode="External"/><Relationship Id="rId32" Type="http://schemas.openxmlformats.org/officeDocument/2006/relationships/hyperlink" Target="http://www.ccnbchas.org/" TargetMode="External"/><Relationship Id="rId37" Type="http://schemas.openxmlformats.org/officeDocument/2006/relationships/hyperlink" Target="http://www.hhs.gov/ocr/privacy/" TargetMode="External"/><Relationship Id="rId53"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58"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74" Type="http://schemas.openxmlformats.org/officeDocument/2006/relationships/footer" Target="footer16.xml"/><Relationship Id="rId79" Type="http://schemas.openxmlformats.org/officeDocument/2006/relationships/footer" Target="footer21.xml"/><Relationship Id="rId102" Type="http://schemas.openxmlformats.org/officeDocument/2006/relationships/footer" Target="footer44.xml"/><Relationship Id="rId5" Type="http://schemas.openxmlformats.org/officeDocument/2006/relationships/webSettings" Target="webSettings.xml"/><Relationship Id="rId90" Type="http://schemas.openxmlformats.org/officeDocument/2006/relationships/footer" Target="footer32.xml"/><Relationship Id="rId95" Type="http://schemas.openxmlformats.org/officeDocument/2006/relationships/footer" Target="footer37.xml"/><Relationship Id="rId22" Type="http://schemas.openxmlformats.org/officeDocument/2006/relationships/hyperlink" Target="https://www.hud.gov/sites/documents/PIH2017-12EIVNOTICE.PDF" TargetMode="External"/><Relationship Id="rId27" Type="http://schemas.openxmlformats.org/officeDocument/2006/relationships/hyperlink" Target="http://www.gpo.gov/fdsys/pkg/FR-2010-10-27/pdf/2010-26914.pdf" TargetMode="External"/><Relationship Id="rId43" Type="http://schemas.openxmlformats.org/officeDocument/2006/relationships/footer" Target="footer6.xml"/><Relationship Id="rId48" Type="http://schemas.openxmlformats.org/officeDocument/2006/relationships/hyperlink" Target="https://www.law.cornell.edu/definitions/index.php?width=840&amp;amp;height=800&amp;amp;iframe=true&amp;amp;def_id=c53cf78cbf206c9ab3ef77db1a2fe6f6&amp;amp;term_occur=999&amp;amp;term_src=Title%3A24%3ASubtitle%3AB%3AChapter%3AIX%3APart%3A982%3ASubpart%3AL%3A982.552" TargetMode="External"/><Relationship Id="rId64" Type="http://schemas.openxmlformats.org/officeDocument/2006/relationships/hyperlink" Target="https://www.victimsofcrime.org/our-programs/stalking-resource-center" TargetMode="External"/><Relationship Id="rId69" Type="http://schemas.openxmlformats.org/officeDocument/2006/relationships/footer" Target="footer11.xml"/><Relationship Id="rId113" Type="http://schemas.openxmlformats.org/officeDocument/2006/relationships/footer" Target="footer55.xml"/><Relationship Id="rId118" Type="http://schemas.openxmlformats.org/officeDocument/2006/relationships/theme" Target="theme/theme1.xml"/><Relationship Id="rId80" Type="http://schemas.openxmlformats.org/officeDocument/2006/relationships/footer" Target="footer22.xml"/><Relationship Id="rId85" Type="http://schemas.openxmlformats.org/officeDocument/2006/relationships/footer" Target="footer27.xml"/><Relationship Id="rId12" Type="http://schemas.openxmlformats.org/officeDocument/2006/relationships/hyperlink" Target="http://www.hud.gov/sites/documents/eivsecguidepha.pdf" TargetMode="External"/><Relationship Id="rId17" Type="http://schemas.openxmlformats.org/officeDocument/2006/relationships/hyperlink" Target="https://www.justice.gov/sites/default/files/crt/legacy/2010/12/14/joint_statement_ra.pdf" TargetMode="External"/><Relationship Id="rId33" Type="http://schemas.openxmlformats.org/officeDocument/2006/relationships/footer" Target="footer2.xml"/><Relationship Id="rId38" Type="http://schemas.openxmlformats.org/officeDocument/2006/relationships/hyperlink" Target="http://www.ssa.gov/" TargetMode="External"/><Relationship Id="rId59"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103" Type="http://schemas.openxmlformats.org/officeDocument/2006/relationships/footer" Target="footer45.xml"/><Relationship Id="rId108" Type="http://schemas.openxmlformats.org/officeDocument/2006/relationships/footer" Target="footer50.xml"/><Relationship Id="rId54" Type="http://schemas.openxmlformats.org/officeDocument/2006/relationships/hyperlink" Target="https://www.law.cornell.edu/definitions/index.php?width=840&amp;amp;height=800&amp;amp;iframe=true&amp;amp;def_id=e3b0880323aa156a7c5817572c88fd3c&amp;amp;term_occur=999&amp;amp;term_src=Title%3A24%3ASubtitle%3AB%3AChapter%3AIX%3APart%3A982%3ASubpart%3AL%3A982.552" TargetMode="External"/><Relationship Id="rId70" Type="http://schemas.openxmlformats.org/officeDocument/2006/relationships/footer" Target="footer12.xml"/><Relationship Id="rId75" Type="http://schemas.openxmlformats.org/officeDocument/2006/relationships/footer" Target="footer17.xml"/><Relationship Id="rId91" Type="http://schemas.openxmlformats.org/officeDocument/2006/relationships/footer" Target="footer33.xml"/><Relationship Id="rId96"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ud.gov/sites/dfiles/PIH/documents/PIH-2018-24_EIV_SSN_Notice_FINAL.pdf" TargetMode="External"/><Relationship Id="rId28" Type="http://schemas.openxmlformats.org/officeDocument/2006/relationships/hyperlink" Target="http://www.hud.gov/" TargetMode="External"/><Relationship Id="rId49"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114" Type="http://schemas.openxmlformats.org/officeDocument/2006/relationships/footer" Target="footer56.xml"/><Relationship Id="rId10" Type="http://schemas.openxmlformats.org/officeDocument/2006/relationships/hyperlink" Target="http://www.hud.gov/program_offices/public_indian_housing/phr/about/ao_faq_eid.cfm" TargetMode="External"/><Relationship Id="rId31" Type="http://schemas.openxmlformats.org/officeDocument/2006/relationships/hyperlink" Target="http://www.hud.gov/program_offices/public_indian_housing/programs/hcv/guidebook" TargetMode="External"/><Relationship Id="rId44" Type="http://schemas.openxmlformats.org/officeDocument/2006/relationships/footer" Target="footer7.xml"/><Relationship Id="rId52"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60" Type="http://schemas.openxmlformats.org/officeDocument/2006/relationships/hyperlink" Target="https://www.law.cornell.edu/definitions/index.php?width=840&amp;amp;height=800&amp;amp;iframe=true&amp;amp;def_id=e3b0880323aa156a7c5817572c88fd3c&amp;amp;term_occur=999&amp;amp;term_src=Title%3A24%3ASubtitle%3AB%3AChapter%3AIX%3APart%3A982%3ASubpart%3AL%3A982.552" TargetMode="External"/><Relationship Id="rId65" Type="http://schemas.openxmlformats.org/officeDocument/2006/relationships/hyperlink" Target="https://ohl.rainn.org/online/" TargetMode="External"/><Relationship Id="rId73" Type="http://schemas.openxmlformats.org/officeDocument/2006/relationships/footer" Target="footer15.xml"/><Relationship Id="rId78" Type="http://schemas.openxmlformats.org/officeDocument/2006/relationships/footer" Target="footer20.xml"/><Relationship Id="rId81" Type="http://schemas.openxmlformats.org/officeDocument/2006/relationships/footer" Target="footer23.xml"/><Relationship Id="rId86" Type="http://schemas.openxmlformats.org/officeDocument/2006/relationships/footer" Target="footer28.xml"/><Relationship Id="rId94" Type="http://schemas.openxmlformats.org/officeDocument/2006/relationships/footer" Target="footer36.xml"/><Relationship Id="rId99" Type="http://schemas.openxmlformats.org/officeDocument/2006/relationships/footer" Target="footer41.xml"/><Relationship Id="rId10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yperlink" Target="http://www.ecfr.gov/" TargetMode="External"/><Relationship Id="rId13" Type="http://schemas.openxmlformats.org/officeDocument/2006/relationships/hyperlink" Target="http://www.archives.gov/federal-register/codification/executive-order/11063" TargetMode="External"/><Relationship Id="rId18" Type="http://schemas.openxmlformats.org/officeDocument/2006/relationships/hyperlink" Target="https://www.lep.gov/guidance/HUD_guidance_Jan07.pdf" TargetMode="External"/><Relationship Id="rId39" Type="http://schemas.openxmlformats.org/officeDocument/2006/relationships/hyperlink" Target="http://help/" TargetMode="External"/><Relationship Id="rId109" Type="http://schemas.openxmlformats.org/officeDocument/2006/relationships/footer" Target="footer51.xml"/><Relationship Id="rId34" Type="http://schemas.openxmlformats.org/officeDocument/2006/relationships/footer" Target="footer3.xml"/><Relationship Id="rId50"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55" Type="http://schemas.openxmlformats.org/officeDocument/2006/relationships/hyperlink" Target="https://www.law.cornell.edu/definitions/index.php?width=840&amp;amp;height=800&amp;amp;iframe=true&amp;amp;def_id=c53cf78cbf206c9ab3ef77db1a2fe6f6&amp;amp;term_occur=999&amp;amp;term_src=Title%3A24%3ASubtitle%3AB%3AChapter%3AIX%3APart%3A982%3ASubpart%3AL%3A982.552" TargetMode="External"/><Relationship Id="rId76" Type="http://schemas.openxmlformats.org/officeDocument/2006/relationships/footer" Target="footer18.xml"/><Relationship Id="rId97" Type="http://schemas.openxmlformats.org/officeDocument/2006/relationships/footer" Target="footer39.xml"/><Relationship Id="rId104"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footer" Target="footer13.xml"/><Relationship Id="rId92" Type="http://schemas.openxmlformats.org/officeDocument/2006/relationships/footer" Target="footer34.xml"/><Relationship Id="rId2" Type="http://schemas.openxmlformats.org/officeDocument/2006/relationships/numbering" Target="numbering.xml"/><Relationship Id="rId29" Type="http://schemas.openxmlformats.org/officeDocument/2006/relationships/hyperlink" Target="https://www.hud.gov/program_offices/administration/hudclips" TargetMode="External"/><Relationship Id="rId24" Type="http://schemas.openxmlformats.org/officeDocument/2006/relationships/hyperlink" Target="https://www.hud.gov/sites/dfiles/PIH/documents/PIH-2018-24_EIV_SSN_Notice_FINAL.pdf" TargetMode="External"/><Relationship Id="rId40" Type="http://schemas.openxmlformats.org/officeDocument/2006/relationships/hyperlink" Target="http://www.ssa.gov/" TargetMode="External"/><Relationship Id="rId45" Type="http://schemas.openxmlformats.org/officeDocument/2006/relationships/footer" Target="footer8.xml"/><Relationship Id="rId66" Type="http://schemas.openxmlformats.org/officeDocument/2006/relationships/hyperlink" Target="https://www.victimsofcrime.org/our-programs/stalking-resource-center" TargetMode="External"/><Relationship Id="rId87" Type="http://schemas.openxmlformats.org/officeDocument/2006/relationships/footer" Target="footer29.xml"/><Relationship Id="rId110" Type="http://schemas.openxmlformats.org/officeDocument/2006/relationships/footer" Target="footer52.xml"/><Relationship Id="rId115" Type="http://schemas.openxmlformats.org/officeDocument/2006/relationships/footer" Target="footer57.xml"/><Relationship Id="rId61" Type="http://schemas.openxmlformats.org/officeDocument/2006/relationships/hyperlink" Target="https://www.gpo.gov/fdsys/pkg/FR-2016-11-16/pdf/2016-25888.pdf" TargetMode="External"/><Relationship Id="rId82" Type="http://schemas.openxmlformats.org/officeDocument/2006/relationships/footer" Target="footer24.xml"/><Relationship Id="rId19" Type="http://schemas.openxmlformats.org/officeDocument/2006/relationships/hyperlink" Target="https://www.hud.gov/sites/dfiles/PIH/documents/PIH-2018-24_EIV_SSN_Notice_FINAL.pdf" TargetMode="External"/><Relationship Id="rId14" Type="http://schemas.openxmlformats.org/officeDocument/2006/relationships/hyperlink" Target="http://www.federalregister.gov/" TargetMode="External"/><Relationship Id="rId30" Type="http://schemas.openxmlformats.org/officeDocument/2006/relationships/hyperlink" Target="http://www.hud.gov/program_offices/public_indian_housing/programs/hcv/guidebook" TargetMode="External"/><Relationship Id="rId35" Type="http://schemas.openxmlformats.org/officeDocument/2006/relationships/footer" Target="footer4.xml"/><Relationship Id="rId56" Type="http://schemas.openxmlformats.org/officeDocument/2006/relationships/hyperlink" Target="https://www.law.cornell.edu/definitions/index.php?width=840&amp;amp;height=800&amp;amp;iframe=true&amp;amp;def_id=3b4d5083a1b40906b99b82eff55c2461&amp;amp;term_occur=999&amp;amp;term_src=Title%3A24%3ASubtitle%3AB%3AChapter%3AIX%3APart%3A982%3ASubpart%3AL%3A982.552" TargetMode="External"/><Relationship Id="rId77" Type="http://schemas.openxmlformats.org/officeDocument/2006/relationships/footer" Target="footer19.xml"/><Relationship Id="rId100" Type="http://schemas.openxmlformats.org/officeDocument/2006/relationships/footer" Target="footer42.xml"/><Relationship Id="rId105" Type="http://schemas.openxmlformats.org/officeDocument/2006/relationships/footer" Target="footer47.xml"/><Relationship Id="rId8" Type="http://schemas.openxmlformats.org/officeDocument/2006/relationships/footer" Target="footer1.xml"/><Relationship Id="rId51" Type="http://schemas.openxmlformats.org/officeDocument/2006/relationships/hyperlink" Target="https://www.law.cornell.edu/definitions/index.php?width=840&amp;amp;height=800&amp;amp;iframe=true&amp;amp;def_id=9d649778ebbf57e8c7796ad6c83632dd&amp;amp;term_occur=999&amp;amp;term_src=Title%3A24%3ASubtitle%3AB%3AChapter%3AIX%3APart%3A982%3ASubpart%3AL%3A982.552" TargetMode="External"/><Relationship Id="rId72" Type="http://schemas.openxmlformats.org/officeDocument/2006/relationships/footer" Target="footer14.xml"/><Relationship Id="rId93" Type="http://schemas.openxmlformats.org/officeDocument/2006/relationships/footer" Target="footer35.xml"/><Relationship Id="rId98" Type="http://schemas.openxmlformats.org/officeDocument/2006/relationships/footer" Target="footer40.xml"/><Relationship Id="rId3" Type="http://schemas.openxmlformats.org/officeDocument/2006/relationships/styles" Target="styles.xml"/><Relationship Id="rId25" Type="http://schemas.openxmlformats.org/officeDocument/2006/relationships/hyperlink" Target="https://www.whitehouse.gov/sites/whitehouse.gov/files/omb/circulars/A133/a133.pdf" TargetMode="External"/><Relationship Id="rId46" Type="http://schemas.openxmlformats.org/officeDocument/2006/relationships/footer" Target="footer9.xml"/><Relationship Id="rId67" Type="http://schemas.openxmlformats.org/officeDocument/2006/relationships/hyperlink" Target="https://www.victimsofcrime.org/our-programs/stalking-resource-center" TargetMode="External"/><Relationship Id="rId116" Type="http://schemas.openxmlformats.org/officeDocument/2006/relationships/footer" Target="footer58.xml"/><Relationship Id="rId20" Type="http://schemas.openxmlformats.org/officeDocument/2006/relationships/hyperlink" Target="https://www.hud.gov/sites/dfiles/PIH/documents/PIH-2018-24_EIV_SSN_Notice_FINAL.pdf" TargetMode="External"/><Relationship Id="rId41" Type="http://schemas.openxmlformats.org/officeDocument/2006/relationships/hyperlink" Target="http://help/" TargetMode="External"/><Relationship Id="rId62" Type="http://schemas.openxmlformats.org/officeDocument/2006/relationships/hyperlink" Target="https://www.gpo.gov/fdsys/pkg/FR-2016-11-16/pdf/2016-25888.pdf" TargetMode="External"/><Relationship Id="rId83" Type="http://schemas.openxmlformats.org/officeDocument/2006/relationships/footer" Target="footer25.xml"/><Relationship Id="rId88" Type="http://schemas.openxmlformats.org/officeDocument/2006/relationships/footer" Target="footer30.xml"/><Relationship Id="rId111" Type="http://schemas.openxmlformats.org/officeDocument/2006/relationships/footer" Target="footer53.xml"/><Relationship Id="rId15" Type="http://schemas.openxmlformats.org/officeDocument/2006/relationships/hyperlink" Target="https://www.hud.gov/program_offices/public_indian_housing/programs/hcv/guidebook" TargetMode="External"/><Relationship Id="rId36" Type="http://schemas.openxmlformats.org/officeDocument/2006/relationships/footer" Target="footer5.xml"/><Relationship Id="rId57" Type="http://schemas.openxmlformats.org/officeDocument/2006/relationships/hyperlink" Target="https://www.law.cornell.edu/definitions/index.php?width=840&amp;amp;height=800&amp;amp;iframe=true&amp;amp;def_id=9d649778ebbf57e8c7796ad6c83632dd&amp;amp;term_occur=999&amp;amp;term_src=Title%3A24%3ASubtitle%3AB%3AChapter%3AIX%3APart%3A982%3ASubpart%3AL%3A982.552" TargetMode="External"/><Relationship Id="rId106"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A7DB-8582-4C42-9705-6D5FE36E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516</Pages>
  <Words>186172</Words>
  <Characters>1061184</Characters>
  <Application>Microsoft Office Word</Application>
  <DocSecurity>0</DocSecurity>
  <Lines>8843</Lines>
  <Paragraphs>2489</Paragraphs>
  <ScaleCrop>false</ScaleCrop>
  <HeadingPairs>
    <vt:vector size="2" baseType="variant">
      <vt:variant>
        <vt:lpstr>Title</vt:lpstr>
      </vt:variant>
      <vt:variant>
        <vt:i4>1</vt:i4>
      </vt:variant>
    </vt:vector>
  </HeadingPairs>
  <TitlesOfParts>
    <vt:vector size="1" baseType="lpstr">
      <vt:lpstr>Admin Plan</vt:lpstr>
    </vt:vector>
  </TitlesOfParts>
  <Company/>
  <LinksUpToDate>false</LinksUpToDate>
  <CharactersWithSpaces>1244867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Plan</dc:title>
  <dc:creator>NMA</dc:creator>
  <cp:lastModifiedBy>Matthew Vorderstrasse</cp:lastModifiedBy>
  <cp:revision>2</cp:revision>
  <cp:lastPrinted>2024-10-22T21:40:00Z</cp:lastPrinted>
  <dcterms:created xsi:type="dcterms:W3CDTF">2024-12-13T07:27:00Z</dcterms:created>
  <dcterms:modified xsi:type="dcterms:W3CDTF">2024-12-13T07:27:00Z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2024-01-30T00:00:00Z</vt:filetime>
  </property>
</Properties>
</file>